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A7" w:rsidRDefault="00350DA7" w:rsidP="00350DA7">
      <w:pPr>
        <w:pStyle w:val="a5"/>
        <w:spacing w:before="0" w:beforeAutospacing="0" w:line="600" w:lineRule="atLeast"/>
        <w:ind w:firstLine="480"/>
      </w:pPr>
      <w:r>
        <w:rPr>
          <w:rFonts w:ascii="MS Mincho" w:eastAsia="MS Mincho" w:hAnsi="MS Mincho" w:cs="MS Mincho" w:hint="eastAsia"/>
          <w:sz w:val="32"/>
          <w:szCs w:val="32"/>
        </w:rPr>
        <w:t>​</w:t>
      </w:r>
      <w:r>
        <w:rPr>
          <w:rFonts w:ascii="仿宋_GB2312" w:eastAsia="仿宋_GB2312" w:hint="eastAsia"/>
          <w:sz w:val="32"/>
          <w:szCs w:val="32"/>
        </w:rPr>
        <w:t>各省、自治区、直辖市公安厅、局治安（户政、人口管理）总队（局、办），新疆生产建设兵团公安局治安总队：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t>为进一步推动死亡人员户口未销问题的妥善解决，提高人口统计工作的准确性，切实维护户口登记工作正常秩序，我局根据户籍管理相关法律及政策规定，经广泛征求各地公安机关及部内有关单位意见并报部领导审定，制定了《死亡人员户口注销工作规范》。</w:t>
      </w:r>
      <w:proofErr w:type="gramStart"/>
      <w:r>
        <w:rPr>
          <w:rFonts w:ascii="仿宋_GB2312" w:eastAsia="仿宋_GB2312" w:hint="eastAsia"/>
          <w:sz w:val="32"/>
          <w:szCs w:val="32"/>
        </w:rPr>
        <w:t>现传发给</w:t>
      </w:r>
      <w:proofErr w:type="gramEnd"/>
      <w:r>
        <w:rPr>
          <w:rFonts w:ascii="仿宋_GB2312" w:eastAsia="仿宋_GB2312" w:hint="eastAsia"/>
          <w:sz w:val="32"/>
          <w:szCs w:val="32"/>
        </w:rPr>
        <w:t>你们，请即组织各级治安户政部门和派出所民警认真学习，严格遵照执行。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局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t>2017年7月31日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44"/>
          <w:szCs w:val="44"/>
        </w:rPr>
        <w:t>死亡人员户口注销工作规范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公民死亡或者被宣告死亡后，应当在一个月以内，由户主、亲属、抚养人或者村（居）民委员会凭死亡人员的居民户口簿、居民身份证及以下死亡证明材料之一，向死亡人员户口所在地公安派出所申报注销户口登记：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t>（一）医疗机构出具的《死亡医学证明（推断）书》；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t>（二）公安、司法部门出具的非正常死亡证明；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t>（三）人民法院出具的宣告死亡生效判决书；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lastRenderedPageBreak/>
        <w:t>（四）其他能够证明死亡的材料。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公民死亡未按规定申报户口注销的，死亡人员户口所在地公安派出</w:t>
      </w:r>
      <w:r>
        <w:rPr>
          <w:rStyle w:val="a6"/>
          <w:rFonts w:ascii="仿宋_GB2312" w:eastAsia="仿宋_GB2312" w:hint="eastAsia"/>
          <w:sz w:val="32"/>
          <w:szCs w:val="32"/>
        </w:rPr>
        <w:t>所应当会同有关部门进行调查。经调查核实确已死亡的，</w:t>
      </w:r>
      <w:r>
        <w:rPr>
          <w:rFonts w:ascii="仿宋_GB2312" w:eastAsia="仿宋_GB2312" w:hint="eastAsia"/>
          <w:sz w:val="32"/>
          <w:szCs w:val="32"/>
        </w:rPr>
        <w:t>公安派出所</w:t>
      </w:r>
      <w:r>
        <w:rPr>
          <w:rStyle w:val="a6"/>
          <w:rFonts w:ascii="仿宋_GB2312" w:eastAsia="仿宋_GB2312" w:hint="eastAsia"/>
          <w:sz w:val="32"/>
          <w:szCs w:val="32"/>
        </w:rPr>
        <w:t>应当在履行告知或者公示程序后注销户口。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公安派出所办理死亡登记，应当在死亡人员《常住人口登记表》和居民户口簿死亡人员页加盖户口注销章，注明死亡时间、原因，并缴销其居民身份证。全</w:t>
      </w:r>
      <w:proofErr w:type="gramStart"/>
      <w:r>
        <w:rPr>
          <w:rFonts w:ascii="仿宋_GB2312" w:eastAsia="仿宋_GB2312" w:hint="eastAsia"/>
          <w:sz w:val="32"/>
          <w:szCs w:val="32"/>
        </w:rPr>
        <w:t>户人员</w:t>
      </w:r>
      <w:proofErr w:type="gramEnd"/>
      <w:r>
        <w:rPr>
          <w:rFonts w:ascii="仿宋_GB2312" w:eastAsia="仿宋_GB2312" w:hint="eastAsia"/>
          <w:sz w:val="32"/>
          <w:szCs w:val="32"/>
        </w:rPr>
        <w:t>死亡的，还应当缴销居民户口簿。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死亡人员亲属在办理相关社会事务时，无法证明人员已经死亡、需要公安派出所出具证明的，</w:t>
      </w:r>
      <w:r>
        <w:rPr>
          <w:rStyle w:val="a6"/>
          <w:rFonts w:ascii="仿宋_GB2312" w:eastAsia="仿宋_GB2312" w:hint="eastAsia"/>
          <w:sz w:val="32"/>
          <w:szCs w:val="32"/>
        </w:rPr>
        <w:t>公安派出所应当及时出具户口注销证明。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建立健全公安与卫生计生、民政、人力资源社会保障等部门的协作配合机制，定期开展死亡人员信息</w:t>
      </w:r>
      <w:r>
        <w:rPr>
          <w:rStyle w:val="a6"/>
          <w:rFonts w:ascii="仿宋_GB2312" w:eastAsia="仿宋_GB2312" w:hint="eastAsia"/>
          <w:sz w:val="32"/>
          <w:szCs w:val="32"/>
        </w:rPr>
        <w:t>多源校核。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对于不依法注销死亡人员户口，骗领退休金、社保金的，</w:t>
      </w:r>
      <w:r>
        <w:rPr>
          <w:rStyle w:val="a6"/>
          <w:rFonts w:ascii="仿宋_GB2312" w:eastAsia="仿宋_GB2312" w:hint="eastAsia"/>
          <w:sz w:val="32"/>
          <w:szCs w:val="32"/>
        </w:rPr>
        <w:t>纳入信用“黑名单”，并通报有关单位和部门，依法采取失信联合惩戒措施。</w:t>
      </w:r>
    </w:p>
    <w:p w:rsidR="00350DA7" w:rsidRDefault="00350DA7" w:rsidP="00350DA7">
      <w:pPr>
        <w:pStyle w:val="a5"/>
        <w:spacing w:line="555" w:lineRule="atLeast"/>
        <w:ind w:firstLine="480"/>
      </w:pPr>
      <w:r>
        <w:rPr>
          <w:rFonts w:ascii="仿宋_GB2312" w:eastAsia="仿宋_GB2312" w:hint="eastAsia"/>
          <w:sz w:val="32"/>
          <w:szCs w:val="32"/>
        </w:rPr>
        <w:lastRenderedPageBreak/>
        <w:t>第七条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使用虚假证明材料冒用死亡人员身份</w:t>
      </w:r>
      <w:r>
        <w:rPr>
          <w:rStyle w:val="a6"/>
          <w:rFonts w:ascii="仿宋_GB2312" w:eastAsia="仿宋_GB2312" w:hint="eastAsia"/>
          <w:sz w:val="32"/>
          <w:szCs w:val="32"/>
        </w:rPr>
        <w:t>骗领</w:t>
      </w:r>
      <w:r>
        <w:rPr>
          <w:rFonts w:ascii="仿宋_GB2312" w:eastAsia="仿宋_GB2312" w:hint="eastAsia"/>
          <w:sz w:val="32"/>
          <w:szCs w:val="32"/>
        </w:rPr>
        <w:t>居民身份证的，以及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使用骗领居民身份证的，分别依照《中华人民共和国居民身份证法》第十六、十七条的规定予以处罚。</w:t>
      </w:r>
    </w:p>
    <w:p w:rsidR="005D598F" w:rsidRPr="00350DA7" w:rsidRDefault="005D598F"/>
    <w:sectPr w:rsidR="005D598F" w:rsidRPr="0035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4" w:rsidRDefault="007B1054" w:rsidP="00350DA7">
      <w:r>
        <w:separator/>
      </w:r>
    </w:p>
  </w:endnote>
  <w:endnote w:type="continuationSeparator" w:id="0">
    <w:p w:rsidR="007B1054" w:rsidRDefault="007B1054" w:rsidP="0035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4" w:rsidRDefault="007B1054" w:rsidP="00350DA7">
      <w:r>
        <w:separator/>
      </w:r>
    </w:p>
  </w:footnote>
  <w:footnote w:type="continuationSeparator" w:id="0">
    <w:p w:rsidR="007B1054" w:rsidRDefault="007B1054" w:rsidP="00350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DE"/>
    <w:rsid w:val="00350DA7"/>
    <w:rsid w:val="005D598F"/>
    <w:rsid w:val="007B1054"/>
    <w:rsid w:val="008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DA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50D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50D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DA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50D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50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公安分局普通用户</dc:creator>
  <cp:keywords/>
  <dc:description/>
  <cp:lastModifiedBy>公安分局普通用户</cp:lastModifiedBy>
  <cp:revision>2</cp:revision>
  <dcterms:created xsi:type="dcterms:W3CDTF">2022-10-21T02:46:00Z</dcterms:created>
  <dcterms:modified xsi:type="dcterms:W3CDTF">2022-10-21T02:46:00Z</dcterms:modified>
</cp:coreProperties>
</file>