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Times New Roman" w:hAnsi="Times New Roman" w:eastAsia="方正小标宋_GBK" w:cs="Times New Roman"/>
          <w:sz w:val="44"/>
          <w:szCs w:val="44"/>
        </w:rPr>
      </w:pPr>
    </w:p>
    <w:p>
      <w:pPr>
        <w:adjustRightInd w:val="0"/>
        <w:snapToGrid w:val="0"/>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重庆市沙坪坝区国有资产监督管理委员会</w:t>
      </w:r>
    </w:p>
    <w:p>
      <w:pPr>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2021年度法治政府建设</w:t>
      </w:r>
      <w:r>
        <w:rPr>
          <w:rFonts w:hint="eastAsia" w:ascii="Times New Roman" w:hAnsi="Times New Roman" w:eastAsia="方正小标宋_GBK" w:cs="Times New Roman"/>
          <w:sz w:val="44"/>
          <w:szCs w:val="44"/>
        </w:rPr>
        <w:t>年度</w:t>
      </w:r>
      <w:r>
        <w:rPr>
          <w:rFonts w:ascii="Times New Roman" w:hAnsi="Times New Roman" w:eastAsia="方正小标宋_GBK" w:cs="Times New Roman"/>
          <w:sz w:val="44"/>
          <w:szCs w:val="44"/>
        </w:rPr>
        <w:t>报告</w:t>
      </w:r>
    </w:p>
    <w:p>
      <w:pPr>
        <w:spacing w:line="570" w:lineRule="exact"/>
        <w:rPr>
          <w:rFonts w:ascii="Times New Roman" w:hAnsi="Times New Roman" w:cs="Times New Roman"/>
        </w:rPr>
      </w:pPr>
    </w:p>
    <w:p>
      <w:pPr>
        <w:spacing w:line="570" w:lineRule="exact"/>
        <w:ind w:firstLine="640" w:firstLineChars="200"/>
        <w:rPr>
          <w:rFonts w:ascii="Times New Roman" w:hAnsi="Times New Roman" w:eastAsia="方正仿宋_GBK" w:cs="Times New Roman"/>
          <w:sz w:val="32"/>
          <w:szCs w:val="32"/>
        </w:rPr>
      </w:pPr>
      <w:bookmarkStart w:id="0" w:name="_GoBack"/>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年，区国资委法治政府建设工作在区委、区政府的正确领导下，坚持</w:t>
      </w:r>
      <w:r>
        <w:rPr>
          <w:rFonts w:ascii="Times New Roman" w:hAnsi="Times New Roman" w:eastAsia="仿宋_GB2312" w:cs="Times New Roman"/>
          <w:color w:val="333333"/>
          <w:sz w:val="32"/>
          <w:szCs w:val="32"/>
          <w:shd w:val="clear" w:color="auto" w:fill="FFFFFF"/>
        </w:rPr>
        <w:t>贯彻落实习近平</w:t>
      </w:r>
      <w:r>
        <w:rPr>
          <w:rFonts w:hint="eastAsia" w:ascii="Times New Roman" w:hAnsi="Times New Roman" w:eastAsia="仿宋_GB2312" w:cs="Times New Roman"/>
          <w:color w:val="333333"/>
          <w:sz w:val="32"/>
          <w:szCs w:val="32"/>
          <w:shd w:val="clear" w:color="auto" w:fill="FFFFFF"/>
        </w:rPr>
        <w:t>法治思想和</w:t>
      </w:r>
      <w:r>
        <w:rPr>
          <w:rFonts w:ascii="Times New Roman" w:hAnsi="Times New Roman" w:eastAsia="方正仿宋_GBK" w:cs="Times New Roman"/>
          <w:sz w:val="32"/>
          <w:szCs w:val="32"/>
        </w:rPr>
        <w:t>《法治政府建设实施纲要（20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napToGrid w:val="0"/>
          <w:kern w:val="0"/>
          <w:sz w:val="32"/>
          <w:szCs w:val="32"/>
        </w:rPr>
        <w:t>《2021年沙坪坝区法治政府建设工作要点》</w:t>
      </w:r>
      <w:r>
        <w:rPr>
          <w:rFonts w:ascii="Times New Roman" w:hAnsi="Times New Roman" w:eastAsia="方正仿宋_GBK" w:cs="Times New Roman"/>
          <w:sz w:val="32"/>
          <w:szCs w:val="32"/>
        </w:rPr>
        <w:t>等文件精神，以积极推进依法行政、加快法治建设为目标，依法履行出资人职责，有效推动企业改革发展，维护企业合法权益，为实现国有资产保值增值提供坚强的法治保障。现将202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年度</w:t>
      </w:r>
      <w:r>
        <w:rPr>
          <w:rFonts w:hint="eastAsia" w:ascii="Times New Roman" w:hAnsi="Times New Roman" w:eastAsia="方正仿宋_GBK" w:cs="Times New Roman"/>
          <w:sz w:val="32"/>
          <w:szCs w:val="32"/>
        </w:rPr>
        <w:t>区国资</w:t>
      </w:r>
      <w:r>
        <w:rPr>
          <w:rFonts w:ascii="Times New Roman" w:hAnsi="Times New Roman" w:eastAsia="方正仿宋_GBK" w:cs="Times New Roman"/>
          <w:sz w:val="32"/>
          <w:szCs w:val="32"/>
        </w:rPr>
        <w:t>委法治政府建设工作情况报告如下∶</w:t>
      </w:r>
    </w:p>
    <w:p>
      <w:pPr>
        <w:numPr>
          <w:ilvl w:val="0"/>
          <w:numId w:val="1"/>
        </w:numPr>
        <w:spacing w:line="570" w:lineRule="exact"/>
        <w:ind w:firstLine="640" w:firstLineChars="200"/>
        <w:rPr>
          <w:rFonts w:ascii="方正黑体_GBK" w:hAnsi="Times New Roman" w:eastAsia="方正黑体_GBK" w:cs="Arial Unicode MS"/>
          <w:color w:val="000000"/>
          <w:sz w:val="32"/>
          <w:szCs w:val="32"/>
          <w:u w:color="000000"/>
        </w:rPr>
      </w:pPr>
      <w:r>
        <w:rPr>
          <w:rFonts w:ascii="方正黑体_GBK" w:hAnsi="Times New Roman" w:eastAsia="方正黑体_GBK" w:cs="Arial Unicode MS"/>
          <w:color w:val="000000"/>
          <w:sz w:val="32"/>
          <w:szCs w:val="32"/>
          <w:u w:color="000000"/>
        </w:rPr>
        <w:t>法治建设工作开展情况</w:t>
      </w:r>
    </w:p>
    <w:p>
      <w:pPr>
        <w:spacing w:line="57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w:t>
      </w:r>
      <w:r>
        <w:rPr>
          <w:rFonts w:hint="eastAsia" w:ascii="Times New Roman" w:hAnsi="Times New Roman" w:eastAsia="方正楷体_GBK" w:cs="Times New Roman"/>
          <w:bCs/>
          <w:sz w:val="32"/>
          <w:szCs w:val="32"/>
        </w:rPr>
        <w:t>加强法治学习，切实提升依法执政水平</w:t>
      </w:r>
    </w:p>
    <w:p>
      <w:pPr>
        <w:pStyle w:val="6"/>
        <w:spacing w:line="570" w:lineRule="exact"/>
        <w:ind w:firstLine="643"/>
        <w:rPr>
          <w:rFonts w:ascii="Times New Roman" w:hAnsi="Times New Roman" w:eastAsia="方正仿宋_GBK" w:cs="Times New Roman"/>
          <w:sz w:val="32"/>
          <w:szCs w:val="32"/>
        </w:rPr>
      </w:pPr>
      <w:r>
        <w:rPr>
          <w:rFonts w:hint="eastAsia" w:ascii="方正仿宋_GBK" w:hAnsi="方正仿宋_GBK" w:eastAsia="方正仿宋_GBK" w:cs="方正仿宋_GBK"/>
          <w:b/>
          <w:sz w:val="32"/>
          <w:szCs w:val="32"/>
        </w:rPr>
        <w:t>一是提高认识。</w:t>
      </w:r>
      <w:r>
        <w:rPr>
          <w:rFonts w:hint="eastAsia" w:ascii="Times New Roman" w:hAnsi="Times New Roman" w:eastAsia="方正仿宋_GBK" w:cs="Times New Roman"/>
          <w:sz w:val="32"/>
          <w:szCs w:val="32"/>
        </w:rPr>
        <w:t>深入学习贯彻习近平总书记关于全面依法治国的重要论述以及中央和市、区关于法治建设工作的系列重要文件精神，将上级精神学深悟透、融会贯通。在实践指导中</w:t>
      </w:r>
      <w:r>
        <w:rPr>
          <w:rFonts w:ascii="Times New Roman" w:hAnsi="Times New Roman" w:eastAsia="方正仿宋_GBK" w:cs="Times New Roman"/>
          <w:sz w:val="32"/>
          <w:szCs w:val="32"/>
        </w:rPr>
        <w:t>实现主要领导亲自抓、分管领导具体抓，层层抓落实，</w:t>
      </w:r>
      <w:r>
        <w:rPr>
          <w:rFonts w:hint="eastAsia" w:ascii="Times New Roman" w:hAnsi="Times New Roman" w:eastAsia="方正仿宋_GBK" w:cs="Times New Roman"/>
          <w:sz w:val="32"/>
          <w:szCs w:val="32"/>
        </w:rPr>
        <w:t>样样</w:t>
      </w:r>
      <w:r>
        <w:rPr>
          <w:rFonts w:ascii="Times New Roman" w:hAnsi="Times New Roman" w:eastAsia="方正仿宋_GBK" w:cs="Times New Roman"/>
          <w:sz w:val="32"/>
          <w:szCs w:val="32"/>
        </w:rPr>
        <w:t>促实效。</w:t>
      </w:r>
      <w:r>
        <w:rPr>
          <w:rFonts w:ascii="方正仿宋_GBK" w:hAnsi="方正仿宋_GBK" w:eastAsia="方正仿宋_GBK" w:cs="方正仿宋_GBK"/>
          <w:b/>
          <w:sz w:val="32"/>
          <w:szCs w:val="32"/>
        </w:rPr>
        <w:t>二是精心组织</w:t>
      </w:r>
      <w:r>
        <w:rPr>
          <w:rFonts w:hint="eastAsia" w:ascii="方正仿宋_GBK" w:hAnsi="方正仿宋_GBK" w:eastAsia="方正仿宋_GBK" w:cs="方正仿宋_GBK"/>
          <w:b/>
          <w:sz w:val="32"/>
          <w:szCs w:val="32"/>
        </w:rPr>
        <w:t>。</w:t>
      </w:r>
      <w:r>
        <w:rPr>
          <w:rFonts w:ascii="Times New Roman" w:hAnsi="Times New Roman" w:eastAsia="方正仿宋_GBK" w:cs="Times New Roman"/>
          <w:sz w:val="32"/>
          <w:szCs w:val="32"/>
        </w:rPr>
        <w:t>在各类学习教育培训中融入法治内容，有序开展专题法治讲座和警示教育培训，深入推进法治机关建设。紧紧结合国资监管工作实际，加强对公司法、企业国有资产法等法律法规和党纪条规的宣传</w:t>
      </w:r>
      <w:r>
        <w:rPr>
          <w:rFonts w:hint="eastAsia" w:ascii="Times New Roman" w:hAnsi="Times New Roman" w:eastAsia="方正仿宋_GBK" w:cs="Times New Roman"/>
          <w:sz w:val="32"/>
          <w:szCs w:val="32"/>
        </w:rPr>
        <w:t>学习</w:t>
      </w:r>
      <w:r>
        <w:rPr>
          <w:rFonts w:ascii="Times New Roman" w:hAnsi="Times New Roman" w:eastAsia="方正仿宋_GBK" w:cs="Times New Roman"/>
          <w:sz w:val="32"/>
          <w:szCs w:val="32"/>
        </w:rPr>
        <w:t>，引导干部职工树立诚信守法、爱岗敬业意识，提高依法管理、依法办事能力。</w:t>
      </w:r>
      <w:r>
        <w:rPr>
          <w:rFonts w:hint="eastAsia" w:ascii="Times New Roman" w:hAnsi="Times New Roman" w:eastAsia="方正仿宋_GBK" w:cs="Times New Roman"/>
          <w:sz w:val="32"/>
          <w:szCs w:val="32"/>
        </w:rPr>
        <w:t>同时</w:t>
      </w:r>
      <w:r>
        <w:rPr>
          <w:rFonts w:ascii="Times New Roman" w:hAnsi="Times New Roman" w:eastAsia="方正仿宋_GBK" w:cs="Times New Roman"/>
          <w:sz w:val="32"/>
          <w:szCs w:val="32"/>
        </w:rPr>
        <w:t>以党风廉政教育活动为抓手，</w:t>
      </w:r>
      <w:r>
        <w:rPr>
          <w:rFonts w:hint="eastAsia" w:ascii="Times New Roman" w:hAnsi="Times New Roman" w:eastAsia="方正仿宋_GBK" w:cs="Times New Roman"/>
          <w:sz w:val="32"/>
          <w:szCs w:val="32"/>
        </w:rPr>
        <w:t>组织600余名区属国有重点企业</w:t>
      </w:r>
      <w:r>
        <w:rPr>
          <w:rFonts w:ascii="Times New Roman" w:hAnsi="Times New Roman" w:eastAsia="方正仿宋_GBK" w:cs="Times New Roman"/>
          <w:sz w:val="32"/>
          <w:szCs w:val="32"/>
        </w:rPr>
        <w:t>干部</w:t>
      </w:r>
      <w:r>
        <w:rPr>
          <w:rFonts w:hint="eastAsia" w:ascii="Times New Roman" w:hAnsi="Times New Roman" w:eastAsia="方正仿宋_GBK" w:cs="Times New Roman"/>
          <w:sz w:val="32"/>
          <w:szCs w:val="32"/>
        </w:rPr>
        <w:t>及员工</w:t>
      </w:r>
      <w:r>
        <w:rPr>
          <w:rFonts w:ascii="Times New Roman" w:hAnsi="Times New Roman" w:eastAsia="方正仿宋_GBK" w:cs="Times New Roman"/>
          <w:sz w:val="32"/>
          <w:szCs w:val="32"/>
        </w:rPr>
        <w:t>通过</w:t>
      </w:r>
      <w:r>
        <w:rPr>
          <w:rFonts w:hint="eastAsia" w:ascii="Times New Roman" w:hAnsi="Times New Roman" w:eastAsia="方正仿宋_GBK" w:cs="Times New Roman"/>
          <w:sz w:val="32"/>
          <w:szCs w:val="32"/>
        </w:rPr>
        <w:t>学习法律法规、</w:t>
      </w:r>
      <w:r>
        <w:rPr>
          <w:rFonts w:ascii="Times New Roman" w:hAnsi="Times New Roman" w:eastAsia="方正仿宋_GBK" w:cs="Times New Roman"/>
          <w:sz w:val="32"/>
          <w:szCs w:val="32"/>
        </w:rPr>
        <w:t>观看廉政教育警示片等多种形式，进一步强化国企领导干部遵纪守法意识。</w:t>
      </w:r>
      <w:r>
        <w:rPr>
          <w:rFonts w:ascii="方正仿宋_GBK" w:hAnsi="方正仿宋_GBK" w:eastAsia="方正仿宋_GBK" w:cs="方正仿宋_GBK"/>
          <w:b/>
          <w:sz w:val="32"/>
          <w:szCs w:val="32"/>
        </w:rPr>
        <w:t>三是统筹安排</w:t>
      </w:r>
      <w:r>
        <w:rPr>
          <w:rFonts w:hint="eastAsia" w:ascii="方正仿宋_GBK" w:hAnsi="方正仿宋_GBK" w:eastAsia="方正仿宋_GBK" w:cs="方正仿宋_GBK"/>
          <w:b/>
          <w:sz w:val="32"/>
          <w:szCs w:val="32"/>
        </w:rPr>
        <w:t>。</w:t>
      </w:r>
      <w:r>
        <w:rPr>
          <w:rFonts w:ascii="Times New Roman" w:hAnsi="Times New Roman" w:eastAsia="方正仿宋_GBK" w:cs="Times New Roman"/>
          <w:sz w:val="32"/>
          <w:szCs w:val="32"/>
        </w:rPr>
        <w:t>将法治建设与国资国企改革工作同部署、同推进、同督促，坚持国资委机关法治建设与国有企业法治建设同部署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不断提高依法行权履职能力和国有企业依法经营管理能力。</w:t>
      </w:r>
    </w:p>
    <w:p>
      <w:pPr>
        <w:spacing w:line="57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二</w:t>
      </w:r>
      <w:r>
        <w:rPr>
          <w:rFonts w:ascii="Times New Roman" w:hAnsi="Times New Roman" w:eastAsia="方正楷体_GBK" w:cs="Times New Roman"/>
          <w:bCs/>
          <w:sz w:val="32"/>
          <w:szCs w:val="32"/>
        </w:rPr>
        <w:t>）</w:t>
      </w:r>
      <w:r>
        <w:rPr>
          <w:rFonts w:hint="eastAsia" w:ascii="方正楷体_GBK" w:hAnsi="Calibri" w:eastAsia="方正楷体_GBK" w:cs="Times New Roman"/>
          <w:kern w:val="0"/>
          <w:sz w:val="32"/>
          <w:szCs w:val="32"/>
        </w:rPr>
        <w:t>全面履行职责，依法强化国资国企监管效能</w:t>
      </w:r>
    </w:p>
    <w:p>
      <w:pPr>
        <w:spacing w:line="57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一是强化制度建设，夯实管理基础。</w:t>
      </w:r>
      <w:r>
        <w:rPr>
          <w:rFonts w:ascii="Times New Roman" w:hAnsi="Times New Roman" w:eastAsia="方正仿宋_GBK" w:cs="Times New Roman"/>
          <w:color w:val="000000" w:themeColor="text1"/>
          <w:sz w:val="32"/>
          <w:szCs w:val="32"/>
          <w14:textFill>
            <w14:solidFill>
              <w14:schemeClr w14:val="tx1"/>
            </w14:solidFill>
          </w14:textFill>
        </w:rPr>
        <w:t>坚持以完善现代企业制度为目标，加快建立健全企业国有资产监督管理制度，</w:t>
      </w:r>
      <w:r>
        <w:rPr>
          <w:rFonts w:hint="eastAsia" w:ascii="Times New Roman" w:hAnsi="Times New Roman" w:eastAsia="方正仿宋_GBK" w:cs="Times New Roman"/>
          <w:color w:val="000000" w:themeColor="text1"/>
          <w:sz w:val="32"/>
          <w:szCs w:val="32"/>
          <w14:textFill>
            <w14:solidFill>
              <w14:schemeClr w14:val="tx1"/>
            </w14:solidFill>
          </w14:textFill>
        </w:rPr>
        <w:t>牵头拟定</w:t>
      </w:r>
      <w:r>
        <w:rPr>
          <w:rFonts w:ascii="Times New Roman" w:hAnsi="Times New Roman" w:eastAsia="方正仿宋_GBK" w:cs="Times New Roman"/>
          <w:color w:val="000000" w:themeColor="text1"/>
          <w:sz w:val="32"/>
          <w:szCs w:val="32"/>
          <w14:textFill>
            <w14:solidFill>
              <w14:schemeClr w14:val="tx1"/>
            </w14:solidFill>
          </w14:textFill>
        </w:rPr>
        <w:t>《关于推行经理层成员任期制和契约化管理有关事项的通知》等文件，为企业规范运营提供制度保障；同步督促企业结合自身实际，对制度进行转化，推动国资监管制度落地见效。</w:t>
      </w:r>
      <w:r>
        <w:rPr>
          <w:rFonts w:ascii="Times New Roman" w:hAnsi="Times New Roman" w:eastAsia="方正仿宋_GBK" w:cs="Times New Roman"/>
          <w:b/>
          <w:bCs/>
          <w:color w:val="000000" w:themeColor="text1"/>
          <w:sz w:val="32"/>
          <w:szCs w:val="32"/>
          <w14:textFill>
            <w14:solidFill>
              <w14:schemeClr w14:val="tx1"/>
            </w14:solidFill>
          </w14:textFill>
        </w:rPr>
        <w:t>二是创新监管方式，提升监管效能。</w:t>
      </w:r>
      <w:r>
        <w:rPr>
          <w:rFonts w:ascii="Times New Roman" w:hAnsi="Times New Roman" w:eastAsia="方正仿宋_GBK" w:cs="Times New Roman"/>
          <w:color w:val="000000" w:themeColor="text1"/>
          <w:sz w:val="32"/>
          <w:szCs w:val="32"/>
          <w14:textFill>
            <w14:solidFill>
              <w14:schemeClr w14:val="tx1"/>
            </w14:solidFill>
          </w14:textFill>
        </w:rPr>
        <w:t>多维度监督</w:t>
      </w:r>
      <w:r>
        <w:rPr>
          <w:rFonts w:hint="eastAsia" w:ascii="方正仿宋_GBK" w:hAnsi="方正仿宋_GBK" w:eastAsia="方正仿宋_GBK" w:cs="方正仿宋_GBK"/>
          <w:color w:val="000000" w:themeColor="text1"/>
          <w:sz w:val="32"/>
          <w:szCs w:val="32"/>
          <w14:textFill>
            <w14:solidFill>
              <w14:schemeClr w14:val="tx1"/>
            </w14:solidFill>
          </w14:textFill>
        </w:rPr>
        <w:t>企业“三重一大”执行</w:t>
      </w:r>
      <w:r>
        <w:rPr>
          <w:rFonts w:ascii="Times New Roman" w:hAnsi="Times New Roman" w:eastAsia="方正仿宋_GBK" w:cs="Times New Roman"/>
          <w:color w:val="000000" w:themeColor="text1"/>
          <w:sz w:val="32"/>
          <w:szCs w:val="32"/>
          <w14:textFill>
            <w14:solidFill>
              <w14:schemeClr w14:val="tx1"/>
            </w14:solidFill>
          </w14:textFill>
        </w:rPr>
        <w:t>情况，列席区属国有企业党委会</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董事会和总经理办公会</w:t>
      </w:r>
      <w:r>
        <w:rPr>
          <w:rFonts w:hint="eastAsia" w:ascii="Times New Roman" w:hAnsi="Times New Roman" w:eastAsia="方正仿宋_GBK" w:cs="Times New Roman"/>
          <w:color w:val="000000" w:themeColor="text1"/>
          <w:sz w:val="32"/>
          <w:szCs w:val="32"/>
          <w14:textFill>
            <w14:solidFill>
              <w14:schemeClr w14:val="tx1"/>
            </w14:solidFill>
          </w14:textFill>
        </w:rPr>
        <w:t>10余次</w:t>
      </w:r>
      <w:r>
        <w:rPr>
          <w:rFonts w:ascii="Times New Roman" w:hAnsi="Times New Roman" w:eastAsia="方正仿宋_GBK" w:cs="Times New Roman"/>
          <w:color w:val="000000" w:themeColor="text1"/>
          <w:sz w:val="32"/>
          <w:szCs w:val="32"/>
          <w14:textFill>
            <w14:solidFill>
              <w14:schemeClr w14:val="tx1"/>
            </w14:solidFill>
          </w14:textFill>
        </w:rPr>
        <w:t>，深入掌握企业经营发展状况；</w:t>
      </w:r>
      <w:r>
        <w:rPr>
          <w:rFonts w:hint="eastAsia" w:ascii="Times New Roman" w:hAnsi="Times New Roman" w:eastAsia="方正仿宋_GBK" w:cs="Times New Roman"/>
          <w:color w:val="000000" w:themeColor="text1"/>
          <w:sz w:val="32"/>
          <w:szCs w:val="32"/>
          <w14:textFill>
            <w14:solidFill>
              <w14:schemeClr w14:val="tx1"/>
            </w14:solidFill>
          </w14:textFill>
        </w:rPr>
        <w:t>充分发挥监事会联席会议作用，</w:t>
      </w:r>
      <w:r>
        <w:rPr>
          <w:rFonts w:ascii="Times New Roman" w:hAnsi="Times New Roman" w:eastAsia="方正仿宋_GBK" w:cs="Times New Roman"/>
          <w:color w:val="000000" w:themeColor="text1"/>
          <w:sz w:val="32"/>
          <w:szCs w:val="32"/>
          <w14:textFill>
            <w14:solidFill>
              <w14:schemeClr w14:val="tx1"/>
            </w14:solidFill>
          </w14:textFill>
        </w:rPr>
        <w:t>强化重点事项监督，听取</w:t>
      </w:r>
      <w:r>
        <w:rPr>
          <w:rFonts w:hint="eastAsia" w:ascii="Times New Roman" w:hAnsi="Times New Roman" w:eastAsia="方正仿宋_GBK" w:cs="Times New Roman"/>
          <w:color w:val="000000" w:themeColor="text1"/>
          <w:sz w:val="32"/>
          <w:szCs w:val="32"/>
          <w14:textFill>
            <w14:solidFill>
              <w14:schemeClr w14:val="tx1"/>
            </w14:solidFill>
          </w14:textFill>
        </w:rPr>
        <w:t>监事会</w:t>
      </w:r>
      <w:r>
        <w:rPr>
          <w:rFonts w:ascii="Times New Roman" w:hAnsi="Times New Roman" w:eastAsia="方正仿宋_GBK" w:cs="Times New Roman"/>
          <w:color w:val="000000" w:themeColor="text1"/>
          <w:sz w:val="32"/>
          <w:szCs w:val="32"/>
          <w14:textFill>
            <w14:solidFill>
              <w14:schemeClr w14:val="tx1"/>
            </w14:solidFill>
          </w14:textFill>
        </w:rPr>
        <w:t>主席报告20余次，督促监事会主席组织开展专项检查57次，</w:t>
      </w:r>
      <w:r>
        <w:rPr>
          <w:rFonts w:hint="eastAsia" w:ascii="Times New Roman" w:hAnsi="Times New Roman" w:eastAsia="方正仿宋_GBK" w:cs="Times New Roman"/>
          <w:color w:val="000000" w:themeColor="text1"/>
          <w:sz w:val="32"/>
          <w:szCs w:val="32"/>
          <w14:textFill>
            <w14:solidFill>
              <w14:schemeClr w14:val="tx1"/>
            </w14:solidFill>
          </w14:textFill>
        </w:rPr>
        <w:t>促进企业监事会有效履行监督职责。</w:t>
      </w:r>
      <w:r>
        <w:rPr>
          <w:rFonts w:ascii="Times New Roman" w:hAnsi="Times New Roman" w:eastAsia="方正仿宋_GBK" w:cs="Times New Roman"/>
          <w:b/>
          <w:bCs/>
          <w:color w:val="000000" w:themeColor="text1"/>
          <w:sz w:val="32"/>
          <w:szCs w:val="32"/>
          <w14:textFill>
            <w14:solidFill>
              <w14:schemeClr w14:val="tx1"/>
            </w14:solidFill>
          </w14:textFill>
        </w:rPr>
        <w:t>三是建立联动机制，凝聚督查合力。</w:t>
      </w:r>
      <w:r>
        <w:rPr>
          <w:rFonts w:ascii="Times New Roman" w:hAnsi="Times New Roman" w:eastAsia="方正仿宋_GBK" w:cs="Times New Roman"/>
          <w:color w:val="000000" w:themeColor="text1"/>
          <w:sz w:val="32"/>
          <w:szCs w:val="32"/>
          <w14:textFill>
            <w14:solidFill>
              <w14:schemeClr w14:val="tx1"/>
            </w14:solidFill>
          </w14:textFill>
        </w:rPr>
        <w:t>深入区属国有企业开展</w:t>
      </w:r>
      <w:r>
        <w:rPr>
          <w:rFonts w:hint="eastAsia" w:ascii="Times New Roman" w:hAnsi="Times New Roman" w:eastAsia="方正仿宋_GBK" w:cs="Times New Roman"/>
          <w:color w:val="000000" w:themeColor="text1"/>
          <w:sz w:val="32"/>
          <w:szCs w:val="32"/>
          <w14:textFill>
            <w14:solidFill>
              <w14:schemeClr w14:val="tx1"/>
            </w14:solidFill>
          </w14:textFill>
        </w:rPr>
        <w:t>专项检查，下发督查整改通知书5份，督促企业整改落实</w:t>
      </w:r>
      <w:r>
        <w:rPr>
          <w:rFonts w:ascii="Times New Roman" w:hAnsi="Times New Roman" w:eastAsia="方正仿宋_GBK" w:cs="Times New Roman"/>
          <w:color w:val="000000" w:themeColor="text1"/>
          <w:sz w:val="32"/>
          <w:szCs w:val="32"/>
          <w14:textFill>
            <w14:solidFill>
              <w14:schemeClr w14:val="tx1"/>
            </w14:solidFill>
          </w14:textFill>
        </w:rPr>
        <w:t>；组织党政机关和事业单位所属企业自查并进行抽查，</w:t>
      </w:r>
      <w:r>
        <w:rPr>
          <w:rFonts w:hint="eastAsia" w:ascii="Times New Roman" w:hAnsi="Times New Roman" w:eastAsia="方正仿宋_GBK" w:cs="Times New Roman"/>
          <w:color w:val="000000" w:themeColor="text1"/>
          <w:sz w:val="32"/>
          <w:szCs w:val="32"/>
          <w14:textFill>
            <w14:solidFill>
              <w14:schemeClr w14:val="tx1"/>
            </w14:solidFill>
          </w14:textFill>
        </w:rPr>
        <w:t>针对重点问题，下发督查整改通知书3份，</w:t>
      </w:r>
      <w:r>
        <w:rPr>
          <w:rFonts w:ascii="Times New Roman" w:hAnsi="Times New Roman" w:eastAsia="方正仿宋_GBK" w:cs="Times New Roman"/>
          <w:color w:val="000000" w:themeColor="text1"/>
          <w:sz w:val="32"/>
          <w:szCs w:val="32"/>
          <w14:textFill>
            <w14:solidFill>
              <w14:schemeClr w14:val="tx1"/>
            </w14:solidFill>
          </w14:textFill>
        </w:rPr>
        <w:t>建立健全横向到边、纵向到底的国资国企监管体系。</w:t>
      </w:r>
    </w:p>
    <w:p>
      <w:pPr>
        <w:spacing w:line="570" w:lineRule="exact"/>
        <w:ind w:firstLine="627" w:firstLineChars="196"/>
        <w:rPr>
          <w:rFonts w:ascii="Times New Roman" w:hAnsi="Times New Roman" w:eastAsia="方正仿宋_GBK" w:cs="Times New Roman"/>
          <w:sz w:val="32"/>
          <w:szCs w:val="32"/>
        </w:rPr>
      </w:pP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三</w:t>
      </w:r>
      <w:r>
        <w:rPr>
          <w:rFonts w:ascii="Times New Roman" w:hAnsi="Times New Roman" w:eastAsia="方正楷体_GBK" w:cs="Times New Roman"/>
          <w:bCs/>
          <w:sz w:val="32"/>
          <w:szCs w:val="32"/>
        </w:rPr>
        <w:t>）</w:t>
      </w:r>
      <w:r>
        <w:rPr>
          <w:rFonts w:hint="eastAsia" w:ascii="方正楷体_GBK" w:hAnsi="Calibri" w:eastAsia="方正楷体_GBK" w:cs="Times New Roman"/>
          <w:kern w:val="0"/>
          <w:sz w:val="32"/>
          <w:szCs w:val="32"/>
        </w:rPr>
        <w:t>对标权责清单，稳步推进国资国企深化改革</w:t>
      </w:r>
    </w:p>
    <w:p>
      <w:pPr>
        <w:spacing w:line="570" w:lineRule="exact"/>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一是完成全民所有制企业公司制改革任务。</w:t>
      </w:r>
      <w:r>
        <w:rPr>
          <w:rFonts w:hint="eastAsia" w:ascii="方正仿宋_GBK" w:hAnsi="方正仿宋_GBK" w:eastAsia="方正仿宋_GBK" w:cs="方正仿宋_GBK"/>
          <w:color w:val="000000" w:themeColor="text1"/>
          <w:sz w:val="32"/>
          <w:szCs w:val="32"/>
          <w14:textFill>
            <w14:solidFill>
              <w14:schemeClr w14:val="tx1"/>
            </w14:solidFill>
          </w14:textFill>
        </w:rPr>
        <w:t>建立企业改革工作周调度及通报机制，及时处理企业注销清税资金、资产产权不清等历史遗留问题30余个，提前完成市级下达的89家全民所有制企业公司制改革任务。</w:t>
      </w:r>
      <w:r>
        <w:rPr>
          <w:rFonts w:hint="eastAsia" w:ascii="方正仿宋_GBK" w:hAnsi="方正仿宋_GBK" w:eastAsia="方正仿宋_GBK" w:cs="方正仿宋_GBK"/>
          <w:b/>
          <w:bCs/>
          <w:color w:val="000000" w:themeColor="text1"/>
          <w:sz w:val="32"/>
          <w:szCs w:val="32"/>
          <w14:textFill>
            <w14:solidFill>
              <w14:schemeClr w14:val="tx1"/>
            </w14:solidFill>
          </w14:textFill>
        </w:rPr>
        <w:t>二是推动党政机关和事业单位经营性国有资产集中统一监管全覆盖。</w:t>
      </w:r>
      <w:r>
        <w:rPr>
          <w:rFonts w:hint="eastAsia" w:ascii="方正仿宋_GBK" w:hAnsi="方正仿宋_GBK" w:eastAsia="方正仿宋_GBK" w:cs="方正仿宋_GBK"/>
          <w:color w:val="000000" w:themeColor="text1"/>
          <w:sz w:val="32"/>
          <w:szCs w:val="32"/>
          <w14:textFill>
            <w14:solidFill>
              <w14:schemeClr w14:val="tx1"/>
            </w14:solidFill>
          </w14:textFill>
        </w:rPr>
        <w:t>截至2021年底，全区党政机关和事业单位经营性国有资产集中统一监管工作全面完成市级考核任务。72家党政机关和事业单位所属企业通过关闭注销、国有资本转让退出、整合移交等方式，实现与主管部门脱钩，进一步建立健全产权清晰、权责明确、政企分开、管理科学的现代企业制度。</w:t>
      </w:r>
      <w:r>
        <w:rPr>
          <w:rFonts w:hint="eastAsia" w:ascii="方正仿宋_GBK" w:hAnsi="方正仿宋_GBK" w:eastAsia="方正仿宋_GBK" w:cs="方正仿宋_GBK"/>
          <w:b/>
          <w:bCs/>
          <w:color w:val="000000" w:themeColor="text1"/>
          <w:sz w:val="32"/>
          <w:szCs w:val="32"/>
          <w14:textFill>
            <w14:solidFill>
              <w14:schemeClr w14:val="tx1"/>
            </w14:solidFill>
          </w14:textFill>
        </w:rPr>
        <w:t>三是推动我区首例区属国有重点企业股权多样化改革成功落地。</w:t>
      </w:r>
      <w:r>
        <w:rPr>
          <w:rFonts w:hint="eastAsia" w:ascii="方正仿宋_GBK" w:hAnsi="方正仿宋_GBK" w:eastAsia="方正仿宋_GBK" w:cs="方正仿宋_GBK"/>
          <w:color w:val="000000" w:themeColor="text1"/>
          <w:sz w:val="32"/>
          <w:szCs w:val="32"/>
          <w14:textFill>
            <w14:solidFill>
              <w14:schemeClr w14:val="tx1"/>
            </w14:solidFill>
          </w14:textFill>
        </w:rPr>
        <w:t>以祥安公司为改革主体，深入开展调研，积极与战略投资意向方开展多轮多层级商谈15次，形成股权多元化改革方案，改革</w:t>
      </w:r>
      <w:r>
        <w:rPr>
          <w:rFonts w:hint="eastAsia" w:ascii="方正仿宋_GBK" w:hAnsi="方正仿宋_GBK" w:eastAsia="方正仿宋_GBK" w:cs="方正仿宋_GBK"/>
          <w:sz w:val="32"/>
          <w:szCs w:val="32"/>
        </w:rPr>
        <w:t>后实现国资收益约2亿元。</w:t>
      </w:r>
    </w:p>
    <w:p>
      <w:pPr>
        <w:widowControl/>
        <w:spacing w:line="570" w:lineRule="exact"/>
        <w:ind w:firstLine="645"/>
        <w:jc w:val="left"/>
        <w:rPr>
          <w:rFonts w:ascii="微软雅黑" w:hAnsi="微软雅黑" w:eastAsia="微软雅黑" w:cs="宋体"/>
          <w:kern w:val="0"/>
          <w:sz w:val="27"/>
          <w:szCs w:val="27"/>
        </w:rPr>
      </w:pPr>
      <w:r>
        <w:rPr>
          <w:rFonts w:hint="eastAsia" w:ascii="方正楷体_GBK" w:hAnsi="微软雅黑" w:eastAsia="方正楷体_GBK" w:cs="宋体"/>
          <w:kern w:val="0"/>
          <w:sz w:val="32"/>
          <w:szCs w:val="32"/>
        </w:rPr>
        <w:t>（四）化解社会矛盾纠纷，严控企业安全生产和信访稳定</w:t>
      </w:r>
    </w:p>
    <w:p>
      <w:pPr>
        <w:widowControl/>
        <w:spacing w:line="570" w:lineRule="exact"/>
        <w:ind w:firstLine="645"/>
        <w:jc w:val="left"/>
        <w:rPr>
          <w:rFonts w:ascii="微软雅黑" w:hAnsi="微软雅黑" w:eastAsia="微软雅黑" w:cs="宋体"/>
          <w:kern w:val="0"/>
          <w:sz w:val="27"/>
          <w:szCs w:val="27"/>
        </w:rPr>
      </w:pPr>
      <w:r>
        <w:rPr>
          <w:rFonts w:hint="eastAsia" w:ascii="方正仿宋_GBK" w:hAnsi="Times New Roman" w:eastAsia="方正仿宋_GBK" w:cs="Times New Roman"/>
          <w:b/>
          <w:kern w:val="0"/>
          <w:sz w:val="32"/>
          <w:szCs w:val="32"/>
        </w:rPr>
        <w:t>一是加大安全生产稳定指导力度。</w:t>
      </w:r>
      <w:r>
        <w:rPr>
          <w:rFonts w:hint="eastAsia" w:ascii="方正仿宋_GBK" w:hAnsi="方正仿宋_GBK" w:eastAsia="方正仿宋_GBK" w:cs="方正仿宋_GBK"/>
          <w:sz w:val="32"/>
          <w:szCs w:val="32"/>
        </w:rPr>
        <w:t>切实履行出资人对企业安全生产工作的指导职责，进一步督促企业落实安全生产主体责任，</w:t>
      </w:r>
      <w:r>
        <w:rPr>
          <w:rFonts w:hint="eastAsia" w:ascii="方正仿宋_GBK" w:hAnsi="Times New Roman" w:eastAsia="方正仿宋_GBK" w:cs="Times New Roman"/>
          <w:kern w:val="0"/>
          <w:sz w:val="32"/>
          <w:szCs w:val="32"/>
        </w:rPr>
        <w:t>部署和做好节假日前安全检查、高温汛期安全防范、建党百年安全维稳等重点工作。</w:t>
      </w:r>
      <w:r>
        <w:rPr>
          <w:rFonts w:hint="eastAsia" w:ascii="方正仿宋_GBK" w:hAnsi="Times New Roman" w:eastAsia="方正仿宋_GBK" w:cs="Times New Roman"/>
          <w:b/>
          <w:kern w:val="0"/>
          <w:sz w:val="32"/>
          <w:szCs w:val="32"/>
        </w:rPr>
        <w:t>二是稳步推进涉企社会风险稳定工作</w:t>
      </w:r>
      <w:r>
        <w:rPr>
          <w:rFonts w:hint="eastAsia" w:ascii="方正仿宋_GBK" w:hAnsi="微软雅黑" w:eastAsia="方正仿宋_GBK" w:cs="宋体"/>
          <w:b/>
          <w:kern w:val="0"/>
          <w:sz w:val="32"/>
          <w:szCs w:val="32"/>
        </w:rPr>
        <w:t>。</w:t>
      </w:r>
      <w:r>
        <w:rPr>
          <w:rFonts w:hint="eastAsia" w:ascii="方正仿宋_GBK" w:hAnsi="微软雅黑" w:eastAsia="方正仿宋_GBK" w:cs="宋体"/>
          <w:kern w:val="0"/>
          <w:sz w:val="32"/>
          <w:szCs w:val="32"/>
        </w:rPr>
        <w:t>按照行业主管部门要求，针对涉及区属国有企业</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人事纠纷、债权债务等容易引发过激行为方面风险隐患排查，</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进一步强化和落实主体责任，</w:t>
      </w:r>
      <w:r>
        <w:rPr>
          <w:rStyle w:val="14"/>
          <w:rFonts w:ascii="Times New Roman" w:hAnsi="Times New Roman" w:eastAsia="方正仿宋_GBK" w:cs="Times New Roman"/>
          <w:color w:val="auto"/>
          <w:sz w:val="32"/>
          <w:szCs w:val="32"/>
        </w:rPr>
        <w:t>确保</w:t>
      </w:r>
      <w:r>
        <w:rPr>
          <w:rStyle w:val="14"/>
          <w:rFonts w:ascii="Times New Roman" w:hAnsi="Times New Roman" w:eastAsia="方正仿宋_GBK" w:cs="Times New Roman"/>
          <w:color w:val="auto"/>
          <w:kern w:val="0"/>
          <w:sz w:val="32"/>
          <w:szCs w:val="32"/>
          <w:lang w:bidi="ar"/>
        </w:rPr>
        <w:t>责任到位、措施到位、防控到位</w:t>
      </w:r>
      <w:r>
        <w:rPr>
          <w:rStyle w:val="14"/>
          <w:rFonts w:hint="eastAsia" w:ascii="Times New Roman" w:hAnsi="Times New Roman" w:eastAsia="方正仿宋_GBK" w:cs="Times New Roman"/>
          <w:color w:val="auto"/>
          <w:kern w:val="0"/>
          <w:sz w:val="32"/>
          <w:szCs w:val="32"/>
          <w:lang w:bidi="ar"/>
        </w:rPr>
        <w:t>。</w:t>
      </w:r>
    </w:p>
    <w:p>
      <w:pPr>
        <w:spacing w:line="570" w:lineRule="exact"/>
        <w:ind w:firstLine="627" w:firstLineChars="196"/>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二、第一责任人履职情况</w:t>
      </w:r>
    </w:p>
    <w:p>
      <w:pPr>
        <w:spacing w:line="570" w:lineRule="exact"/>
        <w:ind w:firstLine="627"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区国资委党委书记、主任高度重视法治政府建设，深入贯彻落实中央和市、区委关于法治建设的重大决策部署，自觉运用法治思维和法治方式深化国企改革，切实把国有资产监督管理工作纳入法治化轨道。</w:t>
      </w:r>
    </w:p>
    <w:p>
      <w:pPr>
        <w:spacing w:line="570" w:lineRule="exact"/>
        <w:ind w:firstLine="630" w:firstLineChars="196"/>
        <w:rPr>
          <w:rFonts w:ascii="方正楷体_GBK" w:hAnsi="方正楷体_GBK" w:eastAsia="方正楷体_GBK" w:cs="方正楷体_GBK"/>
          <w:sz w:val="32"/>
          <w:szCs w:val="32"/>
        </w:rPr>
      </w:pPr>
      <w:r>
        <w:rPr>
          <w:rFonts w:hint="eastAsia" w:ascii="方正仿宋_GBK" w:hAnsi="方正仿宋_GBK" w:eastAsia="方正仿宋_GBK" w:cs="方正仿宋_GBK"/>
          <w:b/>
          <w:bCs/>
          <w:sz w:val="32"/>
          <w:szCs w:val="32"/>
        </w:rPr>
        <w:t>一是强化理论学习。</w:t>
      </w:r>
      <w:r>
        <w:rPr>
          <w:rFonts w:hint="eastAsia" w:ascii="方正仿宋_GBK" w:hAnsi="方正仿宋_GBK" w:eastAsia="方正仿宋_GBK" w:cs="方正仿宋_GBK"/>
          <w:sz w:val="32"/>
          <w:szCs w:val="32"/>
        </w:rPr>
        <w:t>建立领导班子定期学法制度，将习近平总书记全面依法治国新理念新思想新战略作为党组理论学习中心组必学内容，推动领导班子带头遵法学法守法用法。以“三会一课”、理论中心组（扩大）学习为载体，深入学习了《中国共产党廉洁自律准则》《中国共产党纪律处分条例》等党内法规，以及《宪法》《公司法》等法律法规。</w:t>
      </w:r>
    </w:p>
    <w:p>
      <w:pPr>
        <w:spacing w:line="570" w:lineRule="exact"/>
        <w:ind w:firstLine="630"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二是建立工作小组确保责任到位。</w:t>
      </w:r>
      <w:r>
        <w:rPr>
          <w:rFonts w:hint="eastAsia" w:ascii="方正仿宋_GBK" w:hAnsi="方正仿宋_GBK" w:eastAsia="方正仿宋_GBK" w:cs="方正仿宋_GBK"/>
          <w:sz w:val="32"/>
          <w:szCs w:val="32"/>
        </w:rPr>
        <w:t>成立以党委书记为组长、党委成员为副组长，相关科室负责人为成员的法治建设工作领导小组，形成上下贯通、逐级落实的工作机制。</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三是健全完善依法决策机制。</w:t>
      </w:r>
      <w:r>
        <w:rPr>
          <w:rFonts w:hint="eastAsia" w:ascii="方正仿宋_GBK" w:hAnsi="方正仿宋_GBK" w:eastAsia="方正仿宋_GBK" w:cs="方正仿宋_GBK"/>
          <w:sz w:val="32"/>
          <w:szCs w:val="32"/>
        </w:rPr>
        <w:t>严格遵守重大行政决策程序，认真执行《沙坪坝区国资委“三重一大”事项决策制度》等制度，充分发挥法律顾问作用，在涉及统计改革及人、财、物等重大决策事项方面，严格遵守法定权限，依法履行法定程序。全力推进《重庆市沙坪坝区区属国有企业重大事项决策管理实施办法（试行）》的制定，进一步完善国有企业决策管理程序。</w:t>
      </w:r>
    </w:p>
    <w:p>
      <w:pPr>
        <w:spacing w:line="570" w:lineRule="exact"/>
        <w:ind w:firstLine="643" w:firstLineChars="200"/>
      </w:pPr>
      <w:r>
        <w:rPr>
          <w:rFonts w:hint="eastAsia" w:ascii="方正仿宋_GBK" w:hAnsi="方正仿宋_GBK" w:eastAsia="方正仿宋_GBK" w:cs="方正仿宋_GBK"/>
          <w:b/>
          <w:bCs/>
          <w:sz w:val="32"/>
          <w:szCs w:val="32"/>
        </w:rPr>
        <w:t>四是确保职能发挥到位。</w:t>
      </w:r>
      <w:r>
        <w:rPr>
          <w:rFonts w:hint="eastAsia" w:ascii="方正仿宋_GBK" w:hAnsi="方正仿宋_GBK" w:eastAsia="方正仿宋_GBK" w:cs="方正仿宋_GBK"/>
          <w:sz w:val="32"/>
          <w:szCs w:val="32"/>
        </w:rPr>
        <w:t>将《</w:t>
      </w:r>
      <w:r>
        <w:rPr>
          <w:rFonts w:hint="eastAsia" w:ascii="Times New Roman" w:hAnsi="Times New Roman" w:eastAsia="方正仿宋_GBK" w:cs="Times New Roman"/>
          <w:sz w:val="32"/>
          <w:szCs w:val="32"/>
        </w:rPr>
        <w:t>2021年沙坪坝区法治政府建设工作要点</w:t>
      </w:r>
      <w:r>
        <w:rPr>
          <w:rFonts w:hint="eastAsia" w:ascii="方正仿宋_GBK" w:hAnsi="方正仿宋_GBK" w:eastAsia="方正仿宋_GBK" w:cs="方正仿宋_GBK"/>
          <w:sz w:val="32"/>
          <w:szCs w:val="32"/>
        </w:rPr>
        <w:t>》任务分解落实到相关科室，定期督促落实，及时研究解决有关重大问题。完善并制定落实相关具体办法措施，不断提升决策的科学化、民主化、法治化水平，努力在运用法治手段促进国有企业发展方面取得新成效。</w:t>
      </w:r>
    </w:p>
    <w:p>
      <w:pPr>
        <w:spacing w:line="570" w:lineRule="exact"/>
        <w:ind w:firstLine="627" w:firstLineChars="196"/>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三、存在的问题和原因</w:t>
      </w:r>
    </w:p>
    <w:p>
      <w:pPr>
        <w:spacing w:line="570" w:lineRule="exact"/>
        <w:ind w:firstLine="640" w:firstLineChars="200"/>
        <w:rPr>
          <w:rFonts w:eastAsia="方正仿宋_GBK"/>
          <w:kern w:val="0"/>
          <w:sz w:val="32"/>
          <w:szCs w:val="32"/>
          <w:lang w:val="zh-CN"/>
        </w:rPr>
      </w:pPr>
      <w:r>
        <w:rPr>
          <w:rFonts w:hint="eastAsia" w:eastAsia="方正仿宋_GBK"/>
          <w:kern w:val="0"/>
          <w:sz w:val="32"/>
          <w:szCs w:val="32"/>
        </w:rPr>
        <w:t>区国资委</w:t>
      </w:r>
      <w:r>
        <w:rPr>
          <w:rFonts w:eastAsia="方正仿宋_GBK"/>
          <w:kern w:val="0"/>
          <w:sz w:val="32"/>
          <w:szCs w:val="32"/>
        </w:rPr>
        <w:t>法治建设工作虽然取得了</w:t>
      </w:r>
      <w:r>
        <w:rPr>
          <w:rFonts w:hint="eastAsia" w:eastAsia="方正仿宋_GBK"/>
          <w:kern w:val="0"/>
          <w:sz w:val="32"/>
          <w:szCs w:val="32"/>
        </w:rPr>
        <w:t>一定</w:t>
      </w:r>
      <w:r>
        <w:rPr>
          <w:rFonts w:eastAsia="方正仿宋_GBK"/>
          <w:kern w:val="0"/>
          <w:sz w:val="32"/>
          <w:szCs w:val="32"/>
        </w:rPr>
        <w:t>的成绩，</w:t>
      </w:r>
      <w:r>
        <w:rPr>
          <w:rFonts w:hint="eastAsia" w:ascii="Times New Roman" w:hAnsi="Times New Roman" w:eastAsia="方正仿宋_GBK" w:cs="Times New Roman"/>
          <w:sz w:val="32"/>
          <w:szCs w:val="32"/>
        </w:rPr>
        <w:t>但仍存在一些问题和不足。</w:t>
      </w:r>
    </w:p>
    <w:p>
      <w:pPr>
        <w:spacing w:line="570" w:lineRule="exact"/>
        <w:ind w:firstLine="630" w:firstLineChars="196"/>
        <w:rPr>
          <w:rFonts w:ascii="Times New Roman" w:hAnsi="Times New Roman" w:eastAsia="方正仿宋_GBK" w:cs="Times New Roman"/>
          <w:sz w:val="32"/>
          <w:szCs w:val="32"/>
        </w:rPr>
      </w:pPr>
      <w:r>
        <w:rPr>
          <w:rFonts w:hint="eastAsia" w:eastAsia="方正仿宋_GBK"/>
          <w:b/>
          <w:bCs/>
          <w:sz w:val="32"/>
          <w:szCs w:val="32"/>
          <w:lang w:val="zh-CN"/>
        </w:rPr>
        <w:t>一</w:t>
      </w:r>
      <w:r>
        <w:rPr>
          <w:rFonts w:eastAsia="方正仿宋_GBK"/>
          <w:b/>
          <w:bCs/>
          <w:sz w:val="32"/>
          <w:szCs w:val="32"/>
          <w:lang w:val="zh-CN"/>
        </w:rPr>
        <w:t>是</w:t>
      </w:r>
      <w:r>
        <w:rPr>
          <w:rFonts w:hint="eastAsia" w:ascii="方正仿宋_GBK" w:hAnsi="方正仿宋_GBK" w:eastAsia="方正仿宋_GBK" w:cs="方正仿宋_GBK"/>
          <w:kern w:val="0"/>
          <w:sz w:val="32"/>
          <w:szCs w:val="32"/>
        </w:rPr>
        <w:t>国资国企监管工作有待进一步加强。当前国资国企监管工作</w:t>
      </w:r>
      <w:r>
        <w:rPr>
          <w:rFonts w:hint="eastAsia" w:ascii="方正仿宋_GBK" w:hAnsi="方正仿宋_GBK" w:eastAsia="方正仿宋_GBK" w:cs="方正仿宋_GBK"/>
          <w:sz w:val="32"/>
          <w:szCs w:val="32"/>
        </w:rPr>
        <w:t>离</w:t>
      </w:r>
      <w:r>
        <w:rPr>
          <w:rFonts w:hint="eastAsia" w:ascii="Times New Roman" w:hAnsi="Times New Roman" w:eastAsia="方正仿宋_GBK" w:cs="Times New Roman"/>
          <w:sz w:val="32"/>
          <w:szCs w:val="32"/>
        </w:rPr>
        <w:t>以管资本为主推进职能转变和国资监管大格局的工作要求还有一定的差距，需进一步厘清权责边界，动态调整出资人监管权力和责任清单并严格执行。</w:t>
      </w:r>
    </w:p>
    <w:p>
      <w:pPr>
        <w:pStyle w:val="3"/>
        <w:spacing w:after="0" w:line="570" w:lineRule="exact"/>
        <w:ind w:firstLine="643" w:firstLineChars="200"/>
        <w:rPr>
          <w:rFonts w:hint="eastAsia" w:eastAsia="方正仿宋_GBK"/>
          <w:kern w:val="0"/>
          <w:sz w:val="32"/>
          <w:szCs w:val="32"/>
        </w:rPr>
      </w:pPr>
      <w:r>
        <w:rPr>
          <w:rFonts w:hint="eastAsia" w:eastAsia="方正仿宋_GBK"/>
          <w:b/>
          <w:bCs/>
          <w:kern w:val="0"/>
          <w:sz w:val="32"/>
          <w:szCs w:val="32"/>
        </w:rPr>
        <w:t>二</w:t>
      </w:r>
      <w:r>
        <w:rPr>
          <w:rFonts w:eastAsia="方正仿宋_GBK"/>
          <w:b/>
          <w:bCs/>
          <w:kern w:val="0"/>
          <w:sz w:val="32"/>
          <w:szCs w:val="32"/>
        </w:rPr>
        <w:t>是</w:t>
      </w:r>
      <w:r>
        <w:rPr>
          <w:rFonts w:eastAsia="方正仿宋_GBK"/>
          <w:kern w:val="0"/>
          <w:sz w:val="32"/>
          <w:szCs w:val="32"/>
        </w:rPr>
        <w:t>在宣传国资国企法律、法规的方式、方法上需进一步增强灵活性</w:t>
      </w:r>
      <w:r>
        <w:rPr>
          <w:rFonts w:hint="eastAsia" w:eastAsia="方正仿宋_GBK"/>
          <w:kern w:val="0"/>
          <w:sz w:val="32"/>
          <w:szCs w:val="32"/>
        </w:rPr>
        <w:t>，</w:t>
      </w:r>
      <w:r>
        <w:rPr>
          <w:rFonts w:hint="eastAsia" w:ascii="方正仿宋_GBK" w:hAnsi="Times New Roman" w:eastAsia="方正仿宋_GBK" w:cs="Times New Roman"/>
          <w:color w:val="262626"/>
          <w:sz w:val="32"/>
          <w:szCs w:val="32"/>
        </w:rPr>
        <w:t>目前还是主要以学习法律法规，观看案例警示片、布置宣传展板等形式开展</w:t>
      </w:r>
      <w:r>
        <w:rPr>
          <w:rFonts w:hint="eastAsia" w:ascii="方正仿宋_GBK" w:hAnsi="微软雅黑" w:eastAsia="方正仿宋_GBK"/>
          <w:color w:val="262626"/>
          <w:sz w:val="32"/>
          <w:szCs w:val="32"/>
        </w:rPr>
        <w:t>法治宣传</w:t>
      </w:r>
      <w:r>
        <w:rPr>
          <w:rFonts w:hint="eastAsia" w:ascii="方正仿宋_GBK" w:hAnsi="Times New Roman" w:eastAsia="方正仿宋_GBK" w:cs="Times New Roman"/>
          <w:color w:val="262626"/>
          <w:sz w:val="32"/>
          <w:szCs w:val="32"/>
        </w:rPr>
        <w:t>教育，</w:t>
      </w:r>
      <w:r>
        <w:rPr>
          <w:rFonts w:eastAsia="方正仿宋_GBK"/>
          <w:kern w:val="0"/>
          <w:sz w:val="32"/>
          <w:szCs w:val="32"/>
        </w:rPr>
        <w:t>在</w:t>
      </w:r>
      <w:r>
        <w:rPr>
          <w:rFonts w:hint="eastAsia" w:eastAsia="方正仿宋_GBK"/>
          <w:kern w:val="0"/>
          <w:sz w:val="32"/>
          <w:szCs w:val="32"/>
        </w:rPr>
        <w:t>学习形式</w:t>
      </w:r>
      <w:r>
        <w:rPr>
          <w:rFonts w:eastAsia="方正仿宋_GBK"/>
          <w:kern w:val="0"/>
          <w:sz w:val="32"/>
          <w:szCs w:val="32"/>
        </w:rPr>
        <w:t>上</w:t>
      </w:r>
      <w:r>
        <w:rPr>
          <w:rFonts w:hint="eastAsia" w:eastAsia="方正仿宋_GBK"/>
          <w:kern w:val="0"/>
          <w:sz w:val="32"/>
          <w:szCs w:val="32"/>
        </w:rPr>
        <w:t>相对保守，</w:t>
      </w:r>
      <w:r>
        <w:rPr>
          <w:rFonts w:eastAsia="方正仿宋_GBK"/>
          <w:kern w:val="0"/>
          <w:sz w:val="32"/>
          <w:szCs w:val="32"/>
        </w:rPr>
        <w:t>需进一步更新。</w:t>
      </w:r>
    </w:p>
    <w:p>
      <w:pPr>
        <w:pStyle w:val="3"/>
        <w:spacing w:after="0" w:line="570" w:lineRule="exact"/>
        <w:ind w:firstLine="643" w:firstLineChars="200"/>
        <w:rPr>
          <w:rFonts w:ascii="方正仿宋_GBK" w:hAnsi="Times New Roman" w:eastAsia="方正仿宋_GBK" w:cs="Times New Roman"/>
          <w:color w:val="262626"/>
          <w:sz w:val="32"/>
          <w:szCs w:val="32"/>
        </w:rPr>
      </w:pPr>
      <w:r>
        <w:rPr>
          <w:rFonts w:hint="eastAsia" w:ascii="方正仿宋_GBK" w:hAnsi="Times New Roman" w:eastAsia="方正仿宋_GBK" w:cs="Times New Roman"/>
          <w:b/>
          <w:color w:val="262626"/>
          <w:sz w:val="32"/>
          <w:szCs w:val="32"/>
        </w:rPr>
        <w:t>三是</w:t>
      </w:r>
      <w:r>
        <w:rPr>
          <w:rFonts w:hint="eastAsia" w:ascii="方正仿宋_GBK" w:hAnsi="Times New Roman" w:eastAsia="方正仿宋_GBK" w:cs="Times New Roman"/>
          <w:color w:val="262626"/>
          <w:sz w:val="32"/>
          <w:szCs w:val="32"/>
        </w:rPr>
        <w:t>对法治建设的新形势把握不够精确，推进依法治国工作具体举措还不够深入，在法治政府建设和业务工作开展上还需结合更紧密。</w:t>
      </w:r>
    </w:p>
    <w:p>
      <w:pPr>
        <w:spacing w:line="570" w:lineRule="exact"/>
        <w:ind w:firstLine="627" w:firstLineChars="196"/>
        <w:rPr>
          <w:rFonts w:eastAsia="方正仿宋_GBK"/>
          <w:kern w:val="0"/>
          <w:sz w:val="32"/>
          <w:szCs w:val="32"/>
        </w:rPr>
      </w:pPr>
      <w:r>
        <w:rPr>
          <w:rFonts w:hint="eastAsia" w:ascii="方正黑体_GBK" w:hAnsi="方正黑体_GBK" w:eastAsia="方正黑体_GBK" w:cs="方正黑体_GBK"/>
          <w:sz w:val="32"/>
          <w:szCs w:val="32"/>
        </w:rPr>
        <w:t>三、下一步工作打算</w:t>
      </w:r>
    </w:p>
    <w:p>
      <w:pPr>
        <w:spacing w:line="570" w:lineRule="exact"/>
        <w:ind w:firstLine="640" w:firstLineChars="200"/>
        <w:rPr>
          <w:rFonts w:eastAsia="方正仿宋_GBK"/>
          <w:b/>
          <w:sz w:val="32"/>
          <w:szCs w:val="32"/>
        </w:rPr>
      </w:pPr>
      <w:r>
        <w:rPr>
          <w:rFonts w:hint="eastAsia" w:ascii="Times New Roman" w:hAnsi="Times New Roman" w:eastAsia="方正仿宋_GBK" w:cs="Times New Roman"/>
          <w:sz w:val="32"/>
          <w:szCs w:val="32"/>
        </w:rPr>
        <w:t>区国资委将按照区委、区政府的决策部署，结合国资监管工作实际，</w:t>
      </w:r>
      <w:r>
        <w:rPr>
          <w:rFonts w:hint="eastAsia" w:ascii="方正仿宋_GBK" w:hAnsi="方正仿宋_GBK" w:eastAsia="方正仿宋_GBK" w:cs="方正仿宋_GBK"/>
          <w:sz w:val="32"/>
          <w:szCs w:val="32"/>
        </w:rPr>
        <w:t>坚持依法治企，</w:t>
      </w:r>
      <w:r>
        <w:rPr>
          <w:rFonts w:hint="eastAsia" w:ascii="Times New Roman" w:hAnsi="Times New Roman" w:eastAsia="方正仿宋_GBK" w:cs="Times New Roman"/>
          <w:sz w:val="32"/>
          <w:szCs w:val="32"/>
        </w:rPr>
        <w:t>继续创新管理方式，规范管理行为，完善信息公开，加大学法、用法力度，提高依法行政能力，促进法治政府建设工作深入开展。</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（一）聚焦深化国企改革，促进区域经济社会发展</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完成国企改革三年行动各项工作任务，全力推进国有企业市场化转型。不断完善现代企业制度，深化“三项制度”改革，坚持市场化选人用人导向，深入推进国有企业薪酬体系改革。加强国有企业运营管理，切实防范化解风险，增强企业核心竞争力，加快推进高质量发展。</w:t>
      </w:r>
    </w:p>
    <w:p>
      <w:pPr>
        <w:adjustRightInd w:val="0"/>
        <w:snapToGrid w:val="0"/>
        <w:spacing w:line="570" w:lineRule="exact"/>
        <w:ind w:left="637" w:leftChars="200" w:hanging="217" w:hangingChars="68"/>
        <w:rPr>
          <w:rFonts w:ascii="Times New Roman" w:hAnsi="Times New Roman" w:eastAsia="方正楷体_GBK" w:cs="方正仿宋_GBK"/>
          <w:color w:val="000000"/>
          <w:sz w:val="32"/>
          <w:szCs w:val="32"/>
        </w:rPr>
      </w:pPr>
      <w:r>
        <w:rPr>
          <w:rFonts w:hint="eastAsia" w:ascii="Times New Roman" w:hAnsi="Times New Roman" w:eastAsia="方正楷体_GBK" w:cs="方正仿宋_GBK"/>
          <w:color w:val="000000"/>
          <w:sz w:val="32"/>
          <w:szCs w:val="32"/>
        </w:rPr>
        <w:t xml:space="preserve"> （二）深学笃用法治思想，确保大局和谐稳定</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rPr>
        <w:t>严格按照相关法律法规，坚持把党的领导、法治政府建设融入公司治理各环节。开展形式多样国法律宣传、法规教育，增强国有企业人员法治意识。加强董事会建设，保障经理层依法行权履职，充分发挥经理层谋经营、抓落实、强管理作用，增强监事会监督的针对性和有效性。坚持授权与监管相结合、放活与管好相统一，在法治轨道上深入推进国企改革发展。</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（三）加快转变监管职能，提升国资国企监管实效</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对国有企业“三重一大”、债务管控等重点领域监管，定期开展专项督查。加快完成国资监管大数据平台建设，全面提升在线监管的针对性和时效性。推进出资人监督、纪检监察监督、巡察监督、审计监督、企业内部监督、社会监督等统筹衔接，形成合力提升监督效能。</w:t>
      </w:r>
    </w:p>
    <w:p>
      <w:pPr>
        <w:adjustRightInd w:val="0"/>
        <w:snapToGrid w:val="0"/>
        <w:spacing w:line="570" w:lineRule="exact"/>
        <w:rPr>
          <w:rFonts w:ascii="Times New Roman" w:hAnsi="Times New Roman" w:eastAsia="方正楷体_GBK" w:cs="方正仿宋_GBK"/>
          <w:color w:val="000000"/>
          <w:sz w:val="32"/>
          <w:szCs w:val="32"/>
        </w:rPr>
      </w:pPr>
      <w:r>
        <w:rPr>
          <w:rFonts w:hint="eastAsia" w:ascii="Times New Roman" w:hAnsi="Times New Roman" w:eastAsia="方正楷体_GBK" w:cs="方正仿宋_GBK"/>
          <w:color w:val="000000"/>
          <w:sz w:val="32"/>
          <w:szCs w:val="32"/>
        </w:rPr>
        <w:t xml:space="preserve"> </w:t>
      </w:r>
    </w:p>
    <w:bookmarkEnd w:id="0"/>
    <w:p>
      <w:pPr>
        <w:pStyle w:val="2"/>
        <w:spacing w:line="570" w:lineRule="exact"/>
      </w:pPr>
    </w:p>
    <w:p>
      <w:pPr>
        <w:spacing w:line="570" w:lineRule="exact"/>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 xml:space="preserve"> 重庆市沙坪坝区国有资产监督管理委员会</w:t>
      </w:r>
    </w:p>
    <w:p>
      <w:pPr>
        <w:spacing w:line="570" w:lineRule="exact"/>
        <w:rPr>
          <w:rFonts w:eastAsia="方正仿宋_GBK"/>
          <w:b/>
          <w:sz w:val="32"/>
          <w:szCs w:val="32"/>
        </w:rPr>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日</w:t>
      </w:r>
    </w:p>
    <w:p>
      <w:pPr>
        <w:spacing w:line="570" w:lineRule="exact"/>
        <w:rPr>
          <w:rFonts w:ascii="Times New Roman" w:hAnsi="Times New Roman" w:eastAsia="方正仿宋_GBK" w:cs="Times New Roman"/>
          <w:sz w:val="32"/>
          <w:szCs w:val="32"/>
        </w:rPr>
      </w:pPr>
    </w:p>
    <w:p>
      <w:pPr>
        <w:pStyle w:val="6"/>
        <w:spacing w:line="570" w:lineRule="exact"/>
        <w:ind w:firstLine="420"/>
        <w:rPr>
          <w:rFonts w:hint="eastAsia"/>
        </w:rPr>
      </w:pPr>
    </w:p>
    <w:p>
      <w:pPr>
        <w:pStyle w:val="6"/>
        <w:spacing w:line="570" w:lineRule="exact"/>
        <w:ind w:firstLine="420"/>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77A00"/>
    <w:multiLevelType w:val="singleLevel"/>
    <w:tmpl w:val="A2277A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831F5"/>
    <w:rsid w:val="00054D19"/>
    <w:rsid w:val="00055C86"/>
    <w:rsid w:val="00056C00"/>
    <w:rsid w:val="00075141"/>
    <w:rsid w:val="001A41AC"/>
    <w:rsid w:val="00467394"/>
    <w:rsid w:val="005655BD"/>
    <w:rsid w:val="006918C1"/>
    <w:rsid w:val="00790177"/>
    <w:rsid w:val="00901986"/>
    <w:rsid w:val="00A23C7C"/>
    <w:rsid w:val="00CE423F"/>
    <w:rsid w:val="00CE4D58"/>
    <w:rsid w:val="00D70B07"/>
    <w:rsid w:val="00E81CA3"/>
    <w:rsid w:val="0A2753F3"/>
    <w:rsid w:val="0AD95465"/>
    <w:rsid w:val="0FB10949"/>
    <w:rsid w:val="10C55C53"/>
    <w:rsid w:val="26EB1FB6"/>
    <w:rsid w:val="32585159"/>
    <w:rsid w:val="346945EA"/>
    <w:rsid w:val="3B235777"/>
    <w:rsid w:val="3F376F02"/>
    <w:rsid w:val="4850775D"/>
    <w:rsid w:val="4A754F7B"/>
    <w:rsid w:val="52B56445"/>
    <w:rsid w:val="53933DA4"/>
    <w:rsid w:val="591F6890"/>
    <w:rsid w:val="5C464991"/>
    <w:rsid w:val="5C763018"/>
    <w:rsid w:val="62A831F5"/>
    <w:rsid w:val="6DAD3E72"/>
    <w:rsid w:val="7460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宋体" w:cs="Arial"/>
      <w:b/>
      <w:bCs/>
      <w:szCs w:val="32"/>
    </w:rPr>
  </w:style>
  <w:style w:type="paragraph" w:styleId="3">
    <w:name w:val="Body Text First Indent"/>
    <w:basedOn w:val="4"/>
    <w:link w:val="19"/>
    <w:unhideWhenUsed/>
    <w:qFormat/>
    <w:uiPriority w:val="99"/>
    <w:pPr>
      <w:ind w:firstLine="420" w:firstLineChars="100"/>
    </w:pPr>
  </w:style>
  <w:style w:type="paragraph" w:styleId="4">
    <w:name w:val="Body Text"/>
    <w:basedOn w:val="1"/>
    <w:next w:val="1"/>
    <w:link w:val="18"/>
    <w:unhideWhenUsed/>
    <w:qFormat/>
    <w:uiPriority w:val="99"/>
    <w:pPr>
      <w:spacing w:after="120"/>
    </w:pPr>
  </w:style>
  <w:style w:type="paragraph" w:styleId="5">
    <w:name w:val="Normal Indent"/>
    <w:basedOn w:val="1"/>
    <w:qFormat/>
    <w:uiPriority w:val="99"/>
    <w:pPr>
      <w:ind w:firstLine="420" w:firstLineChars="200"/>
    </w:pPr>
  </w:style>
  <w:style w:type="paragraph" w:styleId="6">
    <w:name w:val="Plain Text"/>
    <w:basedOn w:val="1"/>
    <w:link w:val="17"/>
    <w:unhideWhenUsed/>
    <w:qFormat/>
    <w:uiPriority w:val="99"/>
    <w:pPr>
      <w:ind w:firstLine="200" w:firstLineChars="200"/>
    </w:pPr>
    <w:rPr>
      <w:rFonts w:ascii="方正黑体_GBK" w:hAnsi="方正黑体_GBK"/>
      <w:szCs w:val="21"/>
    </w:rPr>
  </w:style>
  <w:style w:type="paragraph" w:styleId="7">
    <w:name w:val="Balloon Text"/>
    <w:basedOn w:val="1"/>
    <w:link w:val="20"/>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Message Header"/>
    <w:basedOn w:val="1"/>
    <w:next w:val="4"/>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sz w:val="24"/>
    </w:rPr>
  </w:style>
  <w:style w:type="paragraph" w:styleId="11">
    <w:name w:val="Normal (Web)"/>
    <w:basedOn w:val="1"/>
    <w:qFormat/>
    <w:uiPriority w:val="99"/>
    <w:pPr>
      <w:spacing w:beforeAutospacing="1" w:afterAutospacing="1"/>
      <w:jc w:val="left"/>
    </w:pPr>
    <w:rPr>
      <w:rFonts w:cs="Times New Roman"/>
      <w:kern w:val="0"/>
      <w:sz w:val="24"/>
    </w:rPr>
  </w:style>
  <w:style w:type="character" w:styleId="13">
    <w:name w:val="FollowedHyperlink"/>
    <w:basedOn w:val="12"/>
    <w:uiPriority w:val="0"/>
    <w:rPr>
      <w:color w:val="333333"/>
      <w:u w:val="none"/>
    </w:rPr>
  </w:style>
  <w:style w:type="character" w:styleId="14">
    <w:name w:val="Hyperlink"/>
    <w:basedOn w:val="12"/>
    <w:uiPriority w:val="0"/>
    <w:rPr>
      <w:color w:val="333333"/>
      <w:u w:val="none"/>
    </w:rPr>
  </w:style>
  <w:style w:type="paragraph" w:customStyle="1" w:styleId="16">
    <w:name w:val="正文 A"/>
    <w:qFormat/>
    <w:uiPriority w:val="0"/>
    <w:pPr>
      <w:widowControl w:val="0"/>
      <w:jc w:val="both"/>
    </w:pPr>
    <w:rPr>
      <w:rFonts w:ascii="Times New Roman" w:hAnsi="Times New Roman" w:eastAsia="Arial Unicode MS" w:cs="Arial Unicode MS"/>
      <w:color w:val="000000"/>
      <w:kern w:val="2"/>
      <w:sz w:val="32"/>
      <w:szCs w:val="32"/>
      <w:u w:color="000000"/>
      <w:lang w:val="en-US" w:eastAsia="zh-CN" w:bidi="ar-SA"/>
    </w:rPr>
  </w:style>
  <w:style w:type="character" w:customStyle="1" w:styleId="17">
    <w:name w:val="纯文本 Char"/>
    <w:basedOn w:val="12"/>
    <w:link w:val="6"/>
    <w:uiPriority w:val="0"/>
    <w:rPr>
      <w:rFonts w:hint="eastAsia" w:ascii="宋体" w:hAnsi="Courier New" w:eastAsia="宋体" w:cs="Courier New"/>
      <w:kern w:val="2"/>
      <w:sz w:val="21"/>
      <w:szCs w:val="21"/>
    </w:rPr>
  </w:style>
  <w:style w:type="character" w:customStyle="1" w:styleId="18">
    <w:name w:val="正文文本 Char"/>
    <w:basedOn w:val="12"/>
    <w:link w:val="4"/>
    <w:uiPriority w:val="0"/>
    <w:rPr>
      <w:kern w:val="2"/>
      <w:sz w:val="21"/>
      <w:szCs w:val="22"/>
    </w:rPr>
  </w:style>
  <w:style w:type="character" w:customStyle="1" w:styleId="19">
    <w:name w:val="正文首行缩进 Char"/>
    <w:basedOn w:val="18"/>
    <w:link w:val="3"/>
    <w:uiPriority w:val="0"/>
    <w:rPr>
      <w:kern w:val="2"/>
      <w:sz w:val="21"/>
      <w:szCs w:val="22"/>
    </w:rPr>
  </w:style>
  <w:style w:type="character" w:customStyle="1" w:styleId="20">
    <w:name w:val="批注框文本 Char"/>
    <w:basedOn w:val="12"/>
    <w:link w:val="7"/>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485</Words>
  <Characters>2768</Characters>
  <Lines>23</Lines>
  <Paragraphs>6</Paragraphs>
  <TotalTime>26</TotalTime>
  <ScaleCrop>false</ScaleCrop>
  <LinksUpToDate>false</LinksUpToDate>
  <CharactersWithSpaces>3247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2022-05-23T01:39:00Z</dcterms:created>
  <dc:creator>Y%100R清</dc:creator>
  <cp:lastModifiedBy>HP</cp:lastModifiedBy>
  <cp:lastPrinted>2022-05-20T02:39:00Z</cp:lastPrinted>
  <dcterms:modified xsi:type="dcterms:W3CDTF">2022-05-23T08:59:57Z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KSOSaveFontToCloudKey">
    <vt:lpwstr>455364726_btnclosed</vt:lpwstr>
  </property>
</Properties>
</file>