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附件</w:t>
      </w:r>
      <w:r>
        <w:rPr>
          <w:rFonts w:hint="eastAsia" w:ascii="Times New Roman" w:hAnsi="Times New Roman" w:eastAsia="方正黑体_GBK" w:cs="Times New Roman"/>
          <w:color w:val="000000"/>
          <w:kern w:val="0"/>
          <w:sz w:val="32"/>
          <w:szCs w:val="32"/>
          <w:lang w:val="en-US" w:eastAsia="zh-CN" w:bidi="ar"/>
        </w:rPr>
        <w:t>2</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Style w:val="8"/>
          <w:rFonts w:hint="default" w:ascii="Times New Roman" w:hAnsi="Times New Roman" w:eastAsia="方正小标宋_GBK" w:cs="Times New Roman"/>
          <w:b w:val="0"/>
          <w:bCs/>
          <w:color w:val="000000"/>
          <w:kern w:val="0"/>
          <w:sz w:val="44"/>
          <w:szCs w:val="44"/>
          <w:lang w:val="en-US" w:eastAsia="zh-CN" w:bidi="ar"/>
        </w:rPr>
      </w:pPr>
      <w:r>
        <w:rPr>
          <w:rFonts w:hint="default" w:ascii="Times New Roman" w:hAnsi="Times New Roman" w:eastAsia="方正仿宋_GBK" w:cs="Times New Roman"/>
          <w:color w:val="auto"/>
          <w:kern w:val="0"/>
          <w:sz w:val="32"/>
          <w:szCs w:val="32"/>
          <w:lang w:val="en-US" w:eastAsia="zh-CN" w:bidi="ar"/>
        </w:rPr>
        <w:br w:type="textWrapping"/>
      </w:r>
      <w:r>
        <w:rPr>
          <w:rStyle w:val="8"/>
          <w:rFonts w:hint="default" w:ascii="Times New Roman" w:hAnsi="Times New Roman" w:eastAsia="方正小标宋_GBK" w:cs="Times New Roman"/>
          <w:b w:val="0"/>
          <w:bCs/>
          <w:color w:val="000000"/>
          <w:kern w:val="0"/>
          <w:sz w:val="44"/>
          <w:szCs w:val="44"/>
          <w:lang w:val="en-US" w:eastAsia="zh-CN" w:bidi="ar"/>
        </w:rPr>
        <w:t>创新型中小企业评价标准及指标说明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Style w:val="8"/>
          <w:rFonts w:hint="default" w:ascii="Times New Roman" w:hAnsi="Times New Roman" w:eastAsia="方正小标宋_GBK" w:cs="Times New Roman"/>
          <w:b w:val="0"/>
          <w:bCs/>
          <w:color w:val="000000"/>
          <w:kern w:val="0"/>
          <w:sz w:val="44"/>
          <w:szCs w:val="44"/>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sz w:val="32"/>
          <w:szCs w:val="32"/>
        </w:rPr>
      </w:pPr>
      <w:r>
        <w:rPr>
          <w:rFonts w:hint="default" w:ascii="Times New Roman" w:hAnsi="Times New Roman" w:eastAsia="方正黑体_GBK" w:cs="Times New Roman"/>
          <w:i w:val="0"/>
          <w:sz w:val="32"/>
          <w:szCs w:val="32"/>
        </w:rPr>
        <w:t>一、公告条件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评价得分达到60分以上（其中创新能力指标得分不低于20分、成长性指标及专业化指标得分均不低于15分），或满足下列条件之一：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（一）近三年内获得过国家级、省级科技奖励。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（二）获得高新技术企业、国家级技术创新示范企业、 知识产权优势企业和知识产权示范企业等荣誉（均为有效期内）。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（三）拥有经认定的省部级以上研发机构。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（四）近三年新增股权融资总额（合格机构投资者的实 缴额）500万元以上。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sz w:val="32"/>
          <w:szCs w:val="32"/>
        </w:rPr>
      </w:pPr>
      <w:r>
        <w:rPr>
          <w:rFonts w:hint="default" w:ascii="Times New Roman" w:hAnsi="Times New Roman" w:eastAsia="方正黑体_GBK" w:cs="Times New Roman"/>
          <w:i w:val="0"/>
          <w:sz w:val="32"/>
          <w:szCs w:val="32"/>
        </w:rPr>
        <w:t>二、评价指标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包括创新能力、成长性、专业化三类六个指标，评价结果依分值计算，满分为100分。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i w:val="0"/>
          <w:sz w:val="32"/>
          <w:szCs w:val="32"/>
        </w:rPr>
      </w:pPr>
      <w:r>
        <w:rPr>
          <w:rFonts w:hint="default" w:ascii="Times New Roman" w:hAnsi="Times New Roman" w:eastAsia="方正楷体_GBK" w:cs="Times New Roman"/>
          <w:i w:val="0"/>
          <w:sz w:val="32"/>
          <w:szCs w:val="32"/>
        </w:rPr>
        <w:t>（一）创新能力指标</w:t>
      </w:r>
      <w:r>
        <w:rPr>
          <w:rFonts w:hint="default" w:ascii="Times New Roman" w:hAnsi="Times New Roman" w:eastAsia="方正楷体_GBK" w:cs="Times New Roman"/>
          <w:i w:val="0"/>
          <w:sz w:val="32"/>
          <w:szCs w:val="32"/>
          <w:lang w:eastAsia="zh-CN"/>
        </w:rPr>
        <w:t>。</w:t>
      </w:r>
      <w:r>
        <w:rPr>
          <w:rFonts w:hint="default" w:ascii="Times New Roman" w:hAnsi="Times New Roman" w:eastAsia="方正楷体_GBK" w:cs="Times New Roman"/>
          <w:i w:val="0"/>
          <w:sz w:val="32"/>
          <w:szCs w:val="32"/>
        </w:rPr>
        <w:t>（满分40分）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1.与企业主导产品相关的有效知识产权数量</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Ⅰ类高价值知识产权1项以上（20分）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自主研发的Ⅰ类知识产权1项以上（15分）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Ⅰ类知识产权1项以上（10分）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Ⅱ类知识产权1项以上（5分）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无（0分）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2.上年度研发费用总额占营业收入总额比重</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5%以上（20分）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3%</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5%（15分）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2%</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3%（10分）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1%</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2%（5分）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1%以下（0分）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i w:val="0"/>
          <w:sz w:val="32"/>
          <w:szCs w:val="32"/>
        </w:rPr>
      </w:pPr>
      <w:r>
        <w:rPr>
          <w:rFonts w:hint="default" w:ascii="Times New Roman" w:hAnsi="Times New Roman" w:eastAsia="方正楷体_GBK" w:cs="Times New Roman"/>
          <w:i w:val="0"/>
          <w:sz w:val="32"/>
          <w:szCs w:val="32"/>
        </w:rPr>
        <w:t>（二）成长性指标（满分30分）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3.上年度主营业务收入增长率</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15%以上（20分）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10%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15%（15分）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5%</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10%（10分）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5%（5分）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0%以下（0分）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4.上年度资产负债率</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55%以下（10分）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55%</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75%（5分）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75%以上（0分）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i w:val="0"/>
          <w:sz w:val="32"/>
          <w:szCs w:val="32"/>
        </w:rPr>
      </w:pPr>
      <w:r>
        <w:rPr>
          <w:rFonts w:hint="default" w:ascii="Times New Roman" w:hAnsi="Times New Roman" w:eastAsia="方正楷体_GBK" w:cs="Times New Roman"/>
          <w:i w:val="0"/>
          <w:sz w:val="32"/>
          <w:szCs w:val="32"/>
        </w:rPr>
        <w:t>（三）专业化指标</w:t>
      </w:r>
      <w:r>
        <w:rPr>
          <w:rFonts w:hint="default" w:ascii="Times New Roman" w:hAnsi="Times New Roman" w:eastAsia="方正楷体_GBK" w:cs="Times New Roman"/>
          <w:i w:val="0"/>
          <w:sz w:val="32"/>
          <w:szCs w:val="32"/>
          <w:lang w:eastAsia="zh-CN"/>
        </w:rPr>
        <w:t>。</w:t>
      </w:r>
      <w:r>
        <w:rPr>
          <w:rFonts w:hint="default" w:ascii="Times New Roman" w:hAnsi="Times New Roman" w:eastAsia="方正楷体_GBK" w:cs="Times New Roman"/>
          <w:i w:val="0"/>
          <w:sz w:val="32"/>
          <w:szCs w:val="32"/>
        </w:rPr>
        <w:t>（满分30分）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5.主导产品所属领域情况</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A.属于《战略性新兴产业分类》（10分）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B.属于其他领域（5分）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6.上年度主营业务收入总额占营业收入总额比重</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 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70%以上（20分）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60%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70%（15分）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55%</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60%（10分）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50%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55%（5分）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50%以下（0分）</w:t>
      </w:r>
    </w:p>
    <w:p>
      <w:pPr>
        <w:pStyle w:val="5"/>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40" w:lineRule="atLeast"/>
        <w:ind w:right="0" w:firstLine="64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三、部分指标说明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一</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重大安全（含网络安全、数据安全）、质量、环境污染等事故</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（二）</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省级科技奖励</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包括各省、自治区、直辖市科学技术奖的一、二、三等奖；</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国家级科技奖励</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包括国家科学技术进步奖、国家自然科学奖、国家技术发明奖，以及国防科技奖。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三</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股权融资</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是指公司股东稀释部分公司股权给投资人，以增资扩股（出让股权不超过30%）的方式引进新的股东，从而取得公司融资的方式。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四</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合格机构投资者</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五</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Ⅰ类知识产权</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包括发明专利（含国防专利）、植物新品种、国家级农作物品种、国家新药、国家一级中药保护品种、集成电路布图设计专有权（均不包含转让未满1年的知识产权）。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六</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Ⅰ类高价值知识产权</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须符合以下条件之一：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1.在海外有同族专利权的发明专利或在海外取得收入的其他Ⅰ类知识产权，其中专利限 G20成员、新加坡以及欧洲专利局经实质审查后获得授权的发明专利。</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2.维持年限超过10年的Ⅰ类知识产权。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3.实现较高质押融资金额的Ⅰ类知识产权。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4.获得国家科学技术奖或中国专利奖的Ⅰ类知识产权。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七</w:t>
      </w:r>
      <w:r>
        <w:rPr>
          <w:rFonts w:hint="default" w:ascii="Times New Roman" w:hAnsi="Times New Roman" w:eastAsia="方正仿宋_GBK" w:cs="Times New Roman"/>
          <w:i w:val="0"/>
          <w:sz w:val="32"/>
          <w:szCs w:val="32"/>
        </w:rPr>
        <w:t>）所称</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Ⅱ类知识产权</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包括与主导产品相关的软件著作权（不含商标）、授权后维持超过2年的实用新型专利或外观设计专利（均不包含转让未满1年的知识产权）。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八</w:t>
      </w:r>
      <w:r>
        <w:rPr>
          <w:rFonts w:hint="default" w:ascii="Times New Roman" w:hAnsi="Times New Roman" w:eastAsia="方正仿宋_GBK" w:cs="Times New Roman"/>
          <w:i w:val="0"/>
          <w:sz w:val="32"/>
          <w:szCs w:val="32"/>
        </w:rPr>
        <w:t>）如无特殊说明，所称</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以上</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以下</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，包括本数；所称的</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超过</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，不包括本数。在计算评价指标得分时，如指标值位于两个评分区间边界上，按高分计算得分。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8558C"/>
    <w:rsid w:val="6948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Message Header"/>
    <w:basedOn w:val="1"/>
    <w:next w:val="3"/>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2"/>
    </w:rPr>
  </w:style>
  <w:style w:type="paragraph" w:styleId="3">
    <w:name w:val="Body Text"/>
    <w:basedOn w:val="1"/>
    <w:next w:val="4"/>
    <w:qFormat/>
    <w:uiPriority w:val="0"/>
    <w:pPr>
      <w:spacing w:after="140" w:line="276" w:lineRule="auto"/>
    </w:pPr>
  </w:style>
  <w:style w:type="paragraph" w:customStyle="1" w:styleId="4">
    <w:name w:val="默认"/>
    <w:qFormat/>
    <w:uiPriority w:val="0"/>
    <w:pPr>
      <w:widowControl w:val="0"/>
      <w:suppressAutoHyphens/>
      <w:jc w:val="both"/>
    </w:pPr>
    <w:rPr>
      <w:rFonts w:ascii="Calibri" w:hAnsi="Calibri" w:eastAsia="宋体" w:cs="Times New Roman"/>
      <w:kern w:val="2"/>
      <w:sz w:val="21"/>
      <w:szCs w:val="22"/>
      <w:lang w:val="en-US" w:eastAsia="zh-CN" w:bidi="ar-SA"/>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2024-02-26T03:14:00Z</dcterms:created>
  <dc:creator>小养</dc:creator>
  <cp:lastModifiedBy>小养</cp:lastModifiedBy>
  <dcterms:modified xsi:type="dcterms:W3CDTF">2024-02-26T03:14:32Z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9F39E64ED0C64D7BBCE44C119430D11B</vt:lpwstr>
  </property>
</Properties>
</file>