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_GBK" w:hAnsi="宋体" w:eastAsia="方正小标宋_GBK" w:cs="方正小标宋_GBK"/>
          <w:sz w:val="44"/>
          <w:szCs w:val="44"/>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337820</wp:posOffset>
                </wp:positionV>
                <wp:extent cx="5810250" cy="1676400"/>
                <wp:effectExtent l="0" t="0" r="0" b="0"/>
                <wp:wrapNone/>
                <wp:docPr id="2" name="WordArt 2"/>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5810250" cy="1676400"/>
                        </a:xfrm>
                        <a:prstGeom prst="rect">
                          <a:avLst/>
                        </a:prstGeom>
                      </wps:spPr>
                      <wps:txbx>
                        <w:txbxContent>
                          <w:p>
                            <w:pPr>
                              <w:jc w:val="center"/>
                              <w:rPr>
                                <w:kern w:val="0"/>
                                <w:sz w:val="24"/>
                                <w:szCs w:val="24"/>
                              </w:rPr>
                            </w:pPr>
                            <w:r>
                              <w:rPr>
                                <w:rFonts w:hint="eastAsia" w:ascii="方正小标宋_GBK" w:eastAsia="方正小标宋_GBK"/>
                                <w:color w:val="FF0000"/>
                                <w:sz w:val="72"/>
                                <w:szCs w:val="72"/>
                                <w14:textOutline w14:w="9525" w14:cap="flat" w14:cmpd="sng" w14:algn="ctr">
                                  <w14:solidFill>
                                    <w14:srgbClr w14:val="FF0000"/>
                                  </w14:solidFill>
                                  <w14:prstDash w14:val="solid"/>
                                  <w14:round/>
                                </w14:textOutline>
                              </w:rPr>
                              <w:t>重庆市沙坪坝区民政局文件</w:t>
                            </w:r>
                          </w:p>
                        </w:txbxContent>
                      </wps:txbx>
                      <wps:bodyPr wrap="square" numCol="1" fromWordArt="true">
                        <a:prstTxWarp prst="textPlain">
                          <a:avLst>
                            <a:gd name="adj" fmla="val 50000"/>
                          </a:avLst>
                        </a:prstTxWarp>
                        <a:spAutoFit/>
                      </wps:bodyPr>
                    </wps:wsp>
                  </a:graphicData>
                </a:graphic>
              </wp:anchor>
            </w:drawing>
          </mc:Choice>
          <mc:Fallback>
            <w:pict>
              <v:shape id="WordArt 2" o:spid="_x0000_s1026" o:spt="202" type="#_x0000_t202" style="position:absolute;left:0pt;margin-top:26.6pt;height:132pt;width:457.5pt;mso-position-horizontal:right;mso-position-horizontal-relative:margin;z-index:251659264;mso-width-relative:page;mso-height-relative:page;" filled="f" stroked="f" coordsize="21600,21600" o:gfxdata="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Or8DnXAAAABwEAAA8AAAAAAAAAAQAg&#10;AAAAOAAAAGRycy9kb3ducmV2LnhtbFBLAQIUABQAAAAIAIdO4kARqpUk+QEAAOkDAAAOAAAAAAAA&#10;AAEAIAAAADwBAABkcnMvZTJvRG9jLnhtbFBLBQYAAAAABgAGAFkBAACnBQAAAAA=&#10;" adj="10800">
                <v:fill on="f" focussize="0,0"/>
                <v:stroke on="f"/>
                <v:imagedata o:title=""/>
                <o:lock v:ext="edit" text="t" aspectratio="f"/>
                <v:textbox style="mso-fit-shape-to-text:t;">
                  <w:txbxContent>
                    <w:p>
                      <w:pPr>
                        <w:jc w:val="center"/>
                        <w:rPr>
                          <w:kern w:val="0"/>
                          <w:sz w:val="24"/>
                          <w:szCs w:val="24"/>
                        </w:rPr>
                      </w:pPr>
                      <w:r>
                        <w:rPr>
                          <w:rFonts w:hint="eastAsia" w:ascii="方正小标宋_GBK" w:eastAsia="方正小标宋_GBK"/>
                          <w:color w:val="FF0000"/>
                          <w:sz w:val="72"/>
                          <w:szCs w:val="72"/>
                          <w14:textOutline w14:w="9525" w14:cap="flat" w14:cmpd="sng" w14:algn="ctr">
                            <w14:solidFill>
                              <w14:srgbClr w14:val="FF0000"/>
                            </w14:solidFill>
                            <w14:prstDash w14:val="solid"/>
                            <w14:round/>
                          </w14:textOutline>
                        </w:rPr>
                        <w:t>重庆市沙坪坝区民政局文件</w:t>
                      </w:r>
                    </w:p>
                  </w:txbxContent>
                </v:textbox>
              </v:shape>
            </w:pict>
          </mc:Fallback>
        </mc:AlternateContent>
      </w:r>
    </w:p>
    <w:p>
      <w:pPr>
        <w:spacing w:line="560" w:lineRule="exact"/>
        <w:jc w:val="center"/>
        <w:rPr>
          <w:rFonts w:ascii="方正小标宋_GBK" w:hAnsi="宋体" w:eastAsia="方正小标宋_GBK" w:cs="方正小标宋_GBK"/>
          <w:sz w:val="44"/>
          <w:szCs w:val="44"/>
        </w:rPr>
      </w:pPr>
    </w:p>
    <w:p>
      <w:pPr>
        <w:spacing w:line="560" w:lineRule="exact"/>
        <w:jc w:val="center"/>
        <w:rPr>
          <w:rFonts w:ascii="方正小标宋_GBK" w:hAnsi="宋体" w:eastAsia="方正小标宋_GBK" w:cs="方正小标宋_GBK"/>
          <w:sz w:val="44"/>
          <w:szCs w:val="44"/>
        </w:rPr>
      </w:pPr>
    </w:p>
    <w:p>
      <w:pPr>
        <w:spacing w:line="560" w:lineRule="exact"/>
        <w:rPr>
          <w:rFonts w:ascii="方正小标宋_GBK" w:hAnsi="宋体" w:eastAsia="方正小标宋_GBK" w:cs="方正小标宋_GBK"/>
          <w:sz w:val="44"/>
          <w:szCs w:val="44"/>
        </w:rPr>
      </w:pPr>
    </w:p>
    <w:p>
      <w:pPr>
        <w:tabs>
          <w:tab w:val="left" w:pos="8398"/>
          <w:tab w:val="left" w:pos="8610"/>
        </w:tabs>
        <w:spacing w:line="560" w:lineRule="exact"/>
        <w:jc w:val="center"/>
        <w:rPr>
          <w:rFonts w:ascii="方正楷体_GBK" w:hAnsi="宋体" w:eastAsia="方正楷体_GBK" w:cs="方正小标宋_GBK"/>
          <w:sz w:val="32"/>
          <w:szCs w:val="32"/>
        </w:rPr>
      </w:pPr>
      <w:r>
        <w:rPr>
          <w:rFonts w:hint="eastAsia" w:ascii="方正仿宋_GBK" w:hAnsi="宋体" w:eastAsia="方正仿宋_GBK" w:cs="方正小标宋_GBK"/>
          <w:sz w:val="32"/>
          <w:szCs w:val="32"/>
        </w:rPr>
        <w:t>沙民政发〔</w:t>
      </w:r>
      <w:r>
        <w:rPr>
          <w:rFonts w:ascii="Times New Roman" w:hAnsi="Times New Roman" w:eastAsia="方正仿宋_GBK"/>
          <w:sz w:val="32"/>
          <w:szCs w:val="32"/>
        </w:rPr>
        <w:t>20</w:t>
      </w:r>
      <w:r>
        <w:rPr>
          <w:rFonts w:hint="eastAsia" w:ascii="Times New Roman" w:hAnsi="Times New Roman" w:eastAsia="方正仿宋_GBK"/>
          <w:sz w:val="32"/>
          <w:szCs w:val="32"/>
        </w:rPr>
        <w:t>2</w:t>
      </w:r>
      <w:r>
        <w:rPr>
          <w:rFonts w:hint="eastAsia" w:ascii="Times New Roman" w:hAnsi="Times New Roman" w:eastAsia="方正仿宋_GBK"/>
          <w:sz w:val="32"/>
          <w:szCs w:val="32"/>
          <w:lang w:val="en-US" w:eastAsia="zh-CN"/>
        </w:rPr>
        <w:t>5</w:t>
      </w:r>
      <w:r>
        <w:rPr>
          <w:rFonts w:hint="eastAsia" w:ascii="方正仿宋_GBK" w:hAnsi="宋体" w:eastAsia="方正仿宋_GBK" w:cs="方正小标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5</w:t>
      </w:r>
      <w:r>
        <w:rPr>
          <w:rFonts w:hint="eastAsia" w:ascii="方正仿宋_GBK" w:hAnsi="宋体" w:eastAsia="方正仿宋_GBK" w:cs="方正小标宋_GBK"/>
          <w:sz w:val="32"/>
          <w:szCs w:val="32"/>
        </w:rPr>
        <w:t>号</w:t>
      </w:r>
    </w:p>
    <w:p>
      <w:pPr>
        <w:spacing w:line="560" w:lineRule="exact"/>
        <w:rPr>
          <w:rFonts w:eastAsia="方正小标宋_GBK"/>
          <w:kern w:val="32"/>
          <w:sz w:val="44"/>
          <w:szCs w:val="44"/>
          <w:highlight w:val="none"/>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86360</wp:posOffset>
                </wp:positionV>
                <wp:extent cx="5600700" cy="0"/>
                <wp:effectExtent l="0" t="10795" r="0" b="17780"/>
                <wp:wrapNone/>
                <wp:docPr id="1" name="直接连接符 1"/>
                <wp:cNvGraphicFramePr/>
                <a:graphic xmlns:a="http://schemas.openxmlformats.org/drawingml/2006/main">
                  <a:graphicData uri="http://schemas.microsoft.com/office/word/2010/wordprocessingShape">
                    <wps:wsp>
                      <wps:cNvCnPr/>
                      <wps:spPr>
                        <a:xfrm flipV="true">
                          <a:off x="0" y="0"/>
                          <a:ext cx="560070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8pt;height:0pt;width:441pt;z-index:251660288;mso-width-relative:page;mso-height-relative:page;" filled="f" stroked="t" coordsize="21600,21600" o:gfxdata="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Xgiw41AAAAAYBAAAPAAAAAAAAAAEAIAAAADgAAABkcnMvZG93bnJldi54bWxQSwECFAAUAAAA&#10;CACHTuJA33v4mtwBAACYAwAADgAAAAAAAAABACAAAAA5AQAAZHJzL2Uyb0RvYy54bWxQSwUGAAAA&#10;AAYABgBZAQAAhwUAAAAA&#10;">
                <v:fill on="f" focussize="0,0"/>
                <v:stroke weight="1.75pt" color="#FF0000" joinstyle="round"/>
                <v:imagedata o:title=""/>
                <o:lock v:ext="edit" aspectratio="f"/>
              </v:line>
            </w:pict>
          </mc:Fallback>
        </mc:AlternateContent>
      </w:r>
    </w:p>
    <w:p>
      <w:pPr>
        <w:overflowPunct w:val="0"/>
        <w:adjustRightInd w:val="0"/>
        <w:snapToGrid w:val="0"/>
        <w:spacing w:line="579" w:lineRule="exact"/>
        <w:jc w:val="both"/>
        <w:rPr>
          <w:rFonts w:eastAsia="方正小标宋_GBK"/>
          <w:kern w:val="32"/>
          <w:sz w:val="44"/>
          <w:szCs w:val="44"/>
          <w:highlight w:val="none"/>
        </w:rPr>
      </w:pPr>
    </w:p>
    <w:p>
      <w:pPr>
        <w:keepNext w:val="0"/>
        <w:keepLines w:val="0"/>
        <w:pageBreakBefore w:val="0"/>
        <w:widowControl w:val="0"/>
        <w:kinsoku/>
        <w:wordWrap/>
        <w:topLinePunct w:val="0"/>
        <w:bidi w:val="0"/>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重庆市沙坪坝区民政局</w:t>
      </w:r>
    </w:p>
    <w:p>
      <w:pPr>
        <w:keepNext w:val="0"/>
        <w:keepLines w:val="0"/>
        <w:pageBreakBefore w:val="0"/>
        <w:widowControl w:val="0"/>
        <w:kinsoku/>
        <w:wordWrap/>
        <w:topLinePunct w:val="0"/>
        <w:bidi w:val="0"/>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关于印发《沙坪坝区202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年民政工作要点》</w:t>
      </w:r>
    </w:p>
    <w:p>
      <w:pPr>
        <w:keepNext w:val="0"/>
        <w:keepLines w:val="0"/>
        <w:pageBreakBefore w:val="0"/>
        <w:widowControl w:val="0"/>
        <w:kinsoku/>
        <w:wordWrap/>
        <w:topLinePunct w:val="0"/>
        <w:bidi w:val="0"/>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topLinePunct w:val="0"/>
        <w:bidi w:val="0"/>
        <w:spacing w:line="570" w:lineRule="exact"/>
        <w:rPr>
          <w:rFonts w:ascii="方正仿宋_GBK" w:hAnsi="方正仿宋_GBK" w:eastAsia="方正仿宋_GBK" w:cs="方正仿宋_GBK"/>
          <w:sz w:val="32"/>
          <w:szCs w:val="32"/>
        </w:rPr>
      </w:pPr>
    </w:p>
    <w:p>
      <w:pPr>
        <w:keepNext w:val="0"/>
        <w:keepLines w:val="0"/>
        <w:pageBreakBefore w:val="0"/>
        <w:widowControl w:val="0"/>
        <w:kinsoku/>
        <w:wordWrap/>
        <w:topLinePunct w:val="0"/>
        <w:bidi w:val="0"/>
        <w:spacing w:line="570" w:lineRule="exact"/>
        <w:rPr>
          <w:rFonts w:ascii="Times New Roman" w:hAnsi="Times New Roman" w:eastAsia="方正仿宋_GBK"/>
          <w:sz w:val="32"/>
          <w:szCs w:val="32"/>
        </w:rPr>
      </w:pPr>
      <w:r>
        <w:rPr>
          <w:rFonts w:ascii="Times New Roman" w:hAnsi="Times New Roman" w:eastAsia="方正仿宋_GBK"/>
          <w:sz w:val="32"/>
          <w:szCs w:val="32"/>
        </w:rPr>
        <w:t>各镇人民政府、街道办事处，各有关单位：</w:t>
      </w:r>
    </w:p>
    <w:p>
      <w:pPr>
        <w:keepNext w:val="0"/>
        <w:keepLines w:val="0"/>
        <w:pageBreakBefore w:val="0"/>
        <w:widowControl w:val="0"/>
        <w:kinsoku/>
        <w:wordWrap/>
        <w:overflowPunct w:val="0"/>
        <w:topLinePunct w:val="0"/>
        <w:bidi w:val="0"/>
        <w:adjustRightInd w:val="0"/>
        <w:snapToGrid w:val="0"/>
        <w:spacing w:line="570" w:lineRule="exact"/>
        <w:ind w:firstLine="641"/>
        <w:jc w:val="left"/>
        <w:rPr>
          <w:rFonts w:ascii="Times New Roman" w:hAnsi="Times New Roman" w:eastAsia="方正仿宋_GBK"/>
          <w:sz w:val="32"/>
          <w:szCs w:val="32"/>
        </w:rPr>
      </w:pPr>
      <w:r>
        <w:rPr>
          <w:rFonts w:hint="eastAsia" w:ascii="Times New Roman" w:hAnsi="Times New Roman" w:eastAsia="方正仿宋_GBK"/>
          <w:sz w:val="32"/>
          <w:szCs w:val="32"/>
        </w:rPr>
        <w:t>现将</w:t>
      </w:r>
      <w:r>
        <w:rPr>
          <w:rFonts w:ascii="Times New Roman" w:hAnsi="Times New Roman" w:eastAsia="方正仿宋_GBK"/>
          <w:sz w:val="32"/>
          <w:szCs w:val="32"/>
        </w:rPr>
        <w:t>《沙坪坝区</w:t>
      </w:r>
      <w:r>
        <w:rPr>
          <w:rFonts w:hint="eastAsia" w:ascii="Times New Roman" w:hAnsi="Times New Roman" w:eastAsia="方正仿宋_GBK"/>
          <w:sz w:val="32"/>
          <w:szCs w:val="32"/>
        </w:rPr>
        <w:t>202</w:t>
      </w:r>
      <w:r>
        <w:rPr>
          <w:rFonts w:hint="eastAsia" w:eastAsia="方正仿宋_GBK"/>
          <w:sz w:val="32"/>
          <w:szCs w:val="32"/>
          <w:lang w:val="en-US" w:eastAsia="zh-CN"/>
        </w:rPr>
        <w:t>5</w:t>
      </w:r>
      <w:r>
        <w:rPr>
          <w:rFonts w:hint="eastAsia" w:ascii="Times New Roman" w:hAnsi="Times New Roman" w:eastAsia="方正仿宋_GBK"/>
          <w:sz w:val="32"/>
          <w:szCs w:val="32"/>
        </w:rPr>
        <w:t>年民政工作要点》</w:t>
      </w:r>
      <w:r>
        <w:rPr>
          <w:rFonts w:ascii="Times New Roman" w:hAnsi="Times New Roman" w:eastAsia="方正仿宋_GBK"/>
          <w:sz w:val="32"/>
          <w:szCs w:val="32"/>
        </w:rPr>
        <w:t>印发给你们，请</w:t>
      </w:r>
      <w:r>
        <w:rPr>
          <w:rFonts w:hint="eastAsia" w:ascii="Times New Roman" w:hAnsi="Times New Roman" w:eastAsia="方正仿宋_GBK"/>
          <w:sz w:val="32"/>
          <w:szCs w:val="32"/>
        </w:rPr>
        <w:t>认真贯彻落实</w:t>
      </w:r>
      <w:r>
        <w:rPr>
          <w:rFonts w:ascii="Times New Roman" w:hAnsi="Times New Roman" w:eastAsia="方正仿宋_GBK"/>
          <w:sz w:val="32"/>
          <w:szCs w:val="32"/>
        </w:rPr>
        <w:t>。</w:t>
      </w:r>
    </w:p>
    <w:p>
      <w:pPr>
        <w:keepNext w:val="0"/>
        <w:keepLines w:val="0"/>
        <w:pageBreakBefore w:val="0"/>
        <w:widowControl w:val="0"/>
        <w:kinsoku/>
        <w:wordWrap/>
        <w:topLinePunct w:val="0"/>
        <w:bidi w:val="0"/>
        <w:spacing w:line="570" w:lineRule="exact"/>
        <w:jc w:val="left"/>
        <w:rPr>
          <w:rFonts w:ascii="Times New Roman" w:hAnsi="Times New Roman" w:eastAsia="方正仿宋_GBK"/>
          <w:sz w:val="32"/>
          <w:szCs w:val="32"/>
        </w:rPr>
      </w:pPr>
    </w:p>
    <w:p>
      <w:pPr>
        <w:keepNext w:val="0"/>
        <w:keepLines w:val="0"/>
        <w:pageBreakBefore w:val="0"/>
        <w:widowControl w:val="0"/>
        <w:kinsoku/>
        <w:wordWrap/>
        <w:topLinePunct w:val="0"/>
        <w:bidi w:val="0"/>
        <w:spacing w:line="570" w:lineRule="exact"/>
        <w:ind w:firstLine="5120" w:firstLineChars="1600"/>
        <w:jc w:val="left"/>
        <w:rPr>
          <w:rFonts w:ascii="Times New Roman" w:hAnsi="Times New Roman" w:eastAsia="方正仿宋_GBK"/>
          <w:sz w:val="32"/>
          <w:szCs w:val="32"/>
        </w:rPr>
      </w:pPr>
      <w:r>
        <w:rPr>
          <w:rFonts w:ascii="Times New Roman" w:hAnsi="Times New Roman" w:eastAsia="方正仿宋_GBK"/>
          <w:sz w:val="32"/>
          <w:szCs w:val="32"/>
        </w:rPr>
        <w:t>重庆市沙坪坝区民政局</w:t>
      </w:r>
    </w:p>
    <w:p>
      <w:pPr>
        <w:keepNext w:val="0"/>
        <w:keepLines w:val="0"/>
        <w:pageBreakBefore w:val="0"/>
        <w:widowControl w:val="0"/>
        <w:kinsoku/>
        <w:wordWrap/>
        <w:topLinePunct w:val="0"/>
        <w:bidi w:val="0"/>
        <w:spacing w:line="570" w:lineRule="exact"/>
        <w:ind w:firstLine="5760" w:firstLineChars="180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w:t>
      </w:r>
      <w:r>
        <w:rPr>
          <w:rFonts w:hint="default" w:eastAsia="方正仿宋_GBK"/>
          <w:sz w:val="32"/>
          <w:szCs w:val="32"/>
          <w:lang w:val="en" w:eastAsia="zh-CN"/>
        </w:rPr>
        <w:t>4</w:t>
      </w:r>
      <w:r>
        <w:rPr>
          <w:rFonts w:ascii="Times New Roman" w:hAnsi="Times New Roman" w:eastAsia="方正仿宋_GBK"/>
          <w:sz w:val="32"/>
          <w:szCs w:val="32"/>
        </w:rPr>
        <w:t>日</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Times New Roman" w:hAnsi="Times New Roman"/>
          <w:sz w:val="32"/>
          <w:szCs w:val="32"/>
          <w:lang w:val="en-US" w:eastAsia="zh-CN"/>
        </w:rPr>
      </w:pPr>
    </w:p>
    <w:p>
      <w:pPr>
        <w:keepNext w:val="0"/>
        <w:keepLines w:val="0"/>
        <w:pageBreakBefore w:val="0"/>
        <w:widowControl w:val="0"/>
        <w:kinsoku/>
        <w:wordWrap/>
        <w:overflowPunct w:val="0"/>
        <w:topLinePunct w:val="0"/>
        <w:bidi w:val="0"/>
        <w:adjustRightInd w:val="0"/>
        <w:snapToGrid w:val="0"/>
        <w:spacing w:line="570" w:lineRule="exact"/>
        <w:ind w:firstLine="641"/>
        <w:jc w:val="left"/>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(此件公开发布)</w:t>
      </w:r>
    </w:p>
    <w:p>
      <w:pPr>
        <w:keepNext w:val="0"/>
        <w:keepLines w:val="0"/>
        <w:pageBreakBefore w:val="0"/>
        <w:widowControl w:val="0"/>
        <w:kinsoku/>
        <w:wordWrap/>
        <w:overflowPunct w:val="0"/>
        <w:topLinePunct w:val="0"/>
        <w:autoSpaceDE w:val="0"/>
        <w:autoSpaceDN w:val="0"/>
        <w:bidi w:val="0"/>
        <w:adjustRightInd w:val="0"/>
        <w:snapToGrid w:val="0"/>
        <w:spacing w:line="570" w:lineRule="exact"/>
        <w:jc w:val="center"/>
        <w:rPr>
          <w:color w:val="000000"/>
          <w:sz w:val="24"/>
          <w:highlight w:val="none"/>
        </w:rPr>
      </w:pPr>
    </w:p>
    <w:p>
      <w:pPr>
        <w:pStyle w:val="2"/>
        <w:keepNext w:val="0"/>
        <w:keepLines w:val="0"/>
        <w:pageBreakBefore w:val="0"/>
        <w:widowControl w:val="0"/>
        <w:kinsoku/>
        <w:wordWrap/>
        <w:topLinePunct w:val="0"/>
        <w:bidi w:val="0"/>
        <w:spacing w:line="570" w:lineRule="exact"/>
        <w:rPr>
          <w:color w:val="000000"/>
          <w:sz w:val="24"/>
          <w:highlight w:val="none"/>
        </w:rPr>
      </w:pPr>
    </w:p>
    <w:p>
      <w:pPr>
        <w:pStyle w:val="3"/>
        <w:keepNext w:val="0"/>
        <w:keepLines w:val="0"/>
        <w:pageBreakBefore w:val="0"/>
        <w:widowControl w:val="0"/>
        <w:kinsoku/>
        <w:wordWrap/>
        <w:topLinePunct w:val="0"/>
        <w:bidi w:val="0"/>
        <w:spacing w:line="570" w:lineRule="exact"/>
      </w:pPr>
    </w:p>
    <w:p>
      <w:pPr>
        <w:keepNext w:val="0"/>
        <w:keepLines w:val="0"/>
        <w:pageBreakBefore w:val="0"/>
        <w:widowControl w:val="0"/>
        <w:kinsoku/>
        <w:wordWrap/>
        <w:overflowPunct w:val="0"/>
        <w:topLinePunct w:val="0"/>
        <w:bidi w:val="0"/>
        <w:adjustRightInd w:val="0"/>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rPr>
        <w:t>沙坪坝区202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年民政工作要点</w:t>
      </w:r>
    </w:p>
    <w:p>
      <w:pPr>
        <w:keepNext w:val="0"/>
        <w:keepLines w:val="0"/>
        <w:pageBreakBefore w:val="0"/>
        <w:widowControl w:val="0"/>
        <w:kinsoku/>
        <w:wordWrap/>
        <w:topLinePunct w:val="0"/>
        <w:bidi w:val="0"/>
        <w:spacing w:line="570" w:lineRule="exact"/>
        <w:ind w:firstLine="640" w:firstLineChars="200"/>
        <w:rPr>
          <w:rFonts w:ascii="Times New Roman" w:hAnsi="Times New Roman" w:eastAsia="方正仿宋_GBK"/>
          <w:sz w:val="32"/>
          <w:szCs w:val="32"/>
          <w:highlight w:val="none"/>
        </w:rPr>
      </w:pPr>
    </w:p>
    <w:p>
      <w:pPr>
        <w:keepNext w:val="0"/>
        <w:keepLines w:val="0"/>
        <w:pageBreakBefore w:val="0"/>
        <w:widowControl w:val="0"/>
        <w:kinsoku/>
        <w:wordWrap/>
        <w:topLinePunct w:val="0"/>
        <w:bidi w:val="0"/>
        <w:spacing w:line="570" w:lineRule="exact"/>
        <w:ind w:firstLine="640" w:firstLineChars="200"/>
        <w:rPr>
          <w:rFonts w:eastAsia="方正仿宋_GBK"/>
          <w:sz w:val="32"/>
          <w:szCs w:val="32"/>
          <w:highlight w:val="none"/>
        </w:rPr>
      </w:pPr>
      <w:r>
        <w:rPr>
          <w:rFonts w:ascii="Times New Roman" w:hAnsi="Times New Roman" w:eastAsia="方正仿宋_GBK"/>
          <w:sz w:val="32"/>
          <w:szCs w:val="32"/>
          <w:highlight w:val="none"/>
        </w:rPr>
        <w:t>202</w:t>
      </w:r>
      <w:r>
        <w:rPr>
          <w:rFonts w:hint="eastAsia" w:eastAsia="方正仿宋_GBK"/>
          <w:sz w:val="32"/>
          <w:szCs w:val="32"/>
          <w:highlight w:val="none"/>
          <w:lang w:val="en-US" w:eastAsia="zh-CN"/>
        </w:rPr>
        <w:t>5</w:t>
      </w:r>
      <w:r>
        <w:rPr>
          <w:rFonts w:ascii="Times New Roman" w:hAnsi="Times New Roman" w:eastAsia="方正仿宋_GBK"/>
          <w:sz w:val="32"/>
          <w:szCs w:val="32"/>
          <w:highlight w:val="none"/>
        </w:rPr>
        <w:t>年全区民政工作</w:t>
      </w:r>
      <w:r>
        <w:rPr>
          <w:rFonts w:eastAsia="方正仿宋_GBK"/>
          <w:sz w:val="32"/>
          <w:szCs w:val="32"/>
          <w:highlight w:val="none"/>
        </w:rPr>
        <w:t>要坚持以习近平新时代中国特色社会主义思想为指导，深入学习贯彻党的二十大和二十届二中、三中全会精神，全面贯彻落实习近平总书记关于民政工作重要指示精神和视察重庆重要讲话重要指示精神以及第十五次全国民政会议精神，认真落实</w:t>
      </w:r>
      <w:r>
        <w:rPr>
          <w:rFonts w:hint="eastAsia" w:eastAsia="方正仿宋_GBK"/>
          <w:sz w:val="32"/>
          <w:szCs w:val="32"/>
          <w:highlight w:val="none"/>
          <w:lang w:eastAsia="zh-CN"/>
        </w:rPr>
        <w:t>区</w:t>
      </w:r>
      <w:r>
        <w:rPr>
          <w:rFonts w:eastAsia="方正仿宋_GBK"/>
          <w:sz w:val="32"/>
          <w:szCs w:val="32"/>
          <w:highlight w:val="none"/>
        </w:rPr>
        <w:t>委</w:t>
      </w:r>
      <w:r>
        <w:rPr>
          <w:rFonts w:hint="eastAsia" w:eastAsia="方正仿宋_GBK"/>
          <w:sz w:val="32"/>
          <w:szCs w:val="32"/>
          <w:highlight w:val="none"/>
          <w:lang w:eastAsia="zh-CN"/>
        </w:rPr>
        <w:t>十三</w:t>
      </w:r>
      <w:r>
        <w:rPr>
          <w:rFonts w:eastAsia="方正仿宋_GBK"/>
          <w:sz w:val="32"/>
          <w:szCs w:val="32"/>
          <w:highlight w:val="none"/>
        </w:rPr>
        <w:t>届</w:t>
      </w:r>
      <w:r>
        <w:rPr>
          <w:rFonts w:hint="eastAsia" w:eastAsia="方正仿宋_GBK"/>
          <w:sz w:val="32"/>
          <w:szCs w:val="32"/>
          <w:highlight w:val="none"/>
          <w:lang w:eastAsia="zh-CN"/>
        </w:rPr>
        <w:t>历</w:t>
      </w:r>
      <w:r>
        <w:rPr>
          <w:rFonts w:eastAsia="方正仿宋_GBK"/>
          <w:sz w:val="32"/>
          <w:szCs w:val="32"/>
          <w:highlight w:val="none"/>
        </w:rPr>
        <w:t>次全会</w:t>
      </w:r>
      <w:r>
        <w:rPr>
          <w:rFonts w:hint="eastAsia" w:eastAsia="方正仿宋_GBK"/>
          <w:sz w:val="32"/>
          <w:szCs w:val="32"/>
          <w:highlight w:val="none"/>
          <w:lang w:eastAsia="zh-CN"/>
        </w:rPr>
        <w:t>精神和全市民政工作会议精神</w:t>
      </w:r>
      <w:r>
        <w:rPr>
          <w:rFonts w:eastAsia="方正仿宋_GBK"/>
          <w:sz w:val="32"/>
          <w:szCs w:val="32"/>
          <w:highlight w:val="none"/>
        </w:rPr>
        <w:t>，坚持</w:t>
      </w:r>
      <w:r>
        <w:rPr>
          <w:rFonts w:hint="eastAsia" w:eastAsia="方正仿宋_GBK"/>
          <w:sz w:val="32"/>
          <w:szCs w:val="32"/>
          <w:highlight w:val="none"/>
        </w:rPr>
        <w:t>“</w:t>
      </w:r>
      <w:r>
        <w:rPr>
          <w:rFonts w:eastAsia="方正仿宋_GBK"/>
          <w:sz w:val="32"/>
          <w:szCs w:val="32"/>
          <w:highlight w:val="none"/>
        </w:rPr>
        <w:t>一个统领</w:t>
      </w:r>
      <w:r>
        <w:rPr>
          <w:rFonts w:hint="eastAsia" w:eastAsia="方正仿宋_GBK"/>
          <w:sz w:val="32"/>
          <w:szCs w:val="32"/>
          <w:highlight w:val="none"/>
        </w:rPr>
        <w:t>”</w:t>
      </w:r>
      <w:r>
        <w:rPr>
          <w:rFonts w:eastAsia="方正仿宋_GBK"/>
          <w:sz w:val="32"/>
          <w:szCs w:val="32"/>
          <w:highlight w:val="none"/>
        </w:rPr>
        <w:t>、落实</w:t>
      </w:r>
      <w:r>
        <w:rPr>
          <w:rFonts w:hint="eastAsia" w:eastAsia="方正仿宋_GBK"/>
          <w:sz w:val="32"/>
          <w:szCs w:val="32"/>
          <w:highlight w:val="none"/>
        </w:rPr>
        <w:t>“</w:t>
      </w:r>
      <w:r>
        <w:rPr>
          <w:rFonts w:eastAsia="方正仿宋_GBK"/>
          <w:sz w:val="32"/>
          <w:szCs w:val="32"/>
          <w:highlight w:val="none"/>
        </w:rPr>
        <w:t>一个战略</w:t>
      </w:r>
      <w:r>
        <w:rPr>
          <w:rFonts w:hint="eastAsia" w:eastAsia="方正仿宋_GBK"/>
          <w:sz w:val="32"/>
          <w:szCs w:val="32"/>
          <w:highlight w:val="none"/>
        </w:rPr>
        <w:t>”</w:t>
      </w:r>
      <w:r>
        <w:rPr>
          <w:rFonts w:eastAsia="方正仿宋_GBK"/>
          <w:sz w:val="32"/>
          <w:szCs w:val="32"/>
          <w:highlight w:val="none"/>
        </w:rPr>
        <w:t>、推进</w:t>
      </w:r>
      <w:r>
        <w:rPr>
          <w:rFonts w:hint="eastAsia" w:eastAsia="方正仿宋_GBK"/>
          <w:sz w:val="32"/>
          <w:szCs w:val="32"/>
          <w:highlight w:val="none"/>
        </w:rPr>
        <w:t>“</w:t>
      </w:r>
      <w:r>
        <w:rPr>
          <w:rFonts w:eastAsia="方正仿宋_GBK"/>
          <w:sz w:val="32"/>
          <w:szCs w:val="32"/>
          <w:highlight w:val="none"/>
        </w:rPr>
        <w:t>九项行动</w:t>
      </w:r>
      <w:r>
        <w:rPr>
          <w:rFonts w:hint="eastAsia" w:eastAsia="方正仿宋_GBK"/>
          <w:sz w:val="32"/>
          <w:szCs w:val="32"/>
          <w:highlight w:val="none"/>
        </w:rPr>
        <w:t>”</w:t>
      </w:r>
      <w:r>
        <w:rPr>
          <w:rFonts w:eastAsia="方正仿宋_GBK"/>
          <w:sz w:val="32"/>
          <w:szCs w:val="32"/>
          <w:highlight w:val="none"/>
        </w:rPr>
        <w:t>、实施</w:t>
      </w:r>
      <w:r>
        <w:rPr>
          <w:rFonts w:hint="eastAsia" w:eastAsia="方正仿宋_GBK"/>
          <w:sz w:val="32"/>
          <w:szCs w:val="32"/>
          <w:highlight w:val="none"/>
        </w:rPr>
        <w:t>“七</w:t>
      </w:r>
      <w:r>
        <w:rPr>
          <w:rFonts w:eastAsia="方正仿宋_GBK"/>
          <w:sz w:val="32"/>
          <w:szCs w:val="32"/>
          <w:highlight w:val="none"/>
        </w:rPr>
        <w:t>大工程</w:t>
      </w:r>
      <w:r>
        <w:rPr>
          <w:rFonts w:hint="eastAsia" w:eastAsia="方正仿宋_GBK"/>
          <w:sz w:val="32"/>
          <w:szCs w:val="32"/>
          <w:highlight w:val="none"/>
        </w:rPr>
        <w:t>”</w:t>
      </w:r>
      <w:r>
        <w:rPr>
          <w:rFonts w:eastAsia="方正仿宋_GBK"/>
          <w:sz w:val="32"/>
          <w:szCs w:val="32"/>
          <w:highlight w:val="none"/>
        </w:rPr>
        <w:t>，坚持系统观念、底线思维，深化改革创新、协同增效，注重数字赋能、整体智治，奋力</w:t>
      </w:r>
      <w:r>
        <w:rPr>
          <w:rFonts w:ascii="Times New Roman" w:hAnsi="Times New Roman" w:eastAsia="方正仿宋_GBK"/>
          <w:sz w:val="32"/>
          <w:szCs w:val="32"/>
          <w:highlight w:val="none"/>
        </w:rPr>
        <w:t>推动全区民政工作迈</w:t>
      </w:r>
      <w:r>
        <w:rPr>
          <w:rFonts w:hint="eastAsia" w:eastAsia="方正仿宋_GBK"/>
          <w:sz w:val="32"/>
          <w:szCs w:val="32"/>
          <w:highlight w:val="none"/>
          <w:lang w:eastAsia="zh-CN"/>
        </w:rPr>
        <w:t>上新台阶</w:t>
      </w:r>
      <w:r>
        <w:rPr>
          <w:rFonts w:eastAsia="方正仿宋_GBK"/>
          <w:sz w:val="32"/>
          <w:szCs w:val="32"/>
          <w:highlight w:val="none"/>
        </w:rPr>
        <w:t>，打造更多具有</w:t>
      </w:r>
      <w:r>
        <w:rPr>
          <w:rFonts w:hint="eastAsia" w:eastAsia="方正仿宋_GBK"/>
          <w:sz w:val="32"/>
          <w:szCs w:val="32"/>
          <w:highlight w:val="none"/>
          <w:lang w:eastAsia="zh-CN"/>
        </w:rPr>
        <w:t>沙坪坝</w:t>
      </w:r>
      <w:r>
        <w:rPr>
          <w:rFonts w:eastAsia="方正仿宋_GBK"/>
          <w:sz w:val="32"/>
          <w:szCs w:val="32"/>
          <w:highlight w:val="none"/>
        </w:rPr>
        <w:t>辨识度的标志性成果。</w:t>
      </w:r>
    </w:p>
    <w:p>
      <w:pPr>
        <w:keepNext w:val="0"/>
        <w:keepLines w:val="0"/>
        <w:pageBreakBefore w:val="0"/>
        <w:widowControl w:val="0"/>
        <w:kinsoku/>
        <w:wordWrap/>
        <w:overflowPunct w:val="0"/>
        <w:topLinePunct w:val="0"/>
        <w:bidi w:val="0"/>
        <w:adjustRightInd w:val="0"/>
        <w:snapToGrid w:val="0"/>
        <w:spacing w:line="570" w:lineRule="exact"/>
        <w:ind w:firstLine="640" w:firstLineChars="200"/>
        <w:rPr>
          <w:rFonts w:eastAsia="方正黑体_GBK"/>
          <w:sz w:val="32"/>
          <w:szCs w:val="32"/>
          <w:highlight w:val="none"/>
        </w:rPr>
      </w:pPr>
      <w:r>
        <w:rPr>
          <w:rFonts w:eastAsia="方正黑体_GBK"/>
          <w:sz w:val="32"/>
          <w:szCs w:val="32"/>
          <w:highlight w:val="none"/>
        </w:rPr>
        <w:t>一、坚持</w:t>
      </w:r>
      <w:r>
        <w:rPr>
          <w:rFonts w:hint="eastAsia" w:eastAsia="方正黑体_GBK"/>
          <w:sz w:val="32"/>
          <w:szCs w:val="32"/>
          <w:highlight w:val="none"/>
        </w:rPr>
        <w:t>“</w:t>
      </w:r>
      <w:r>
        <w:rPr>
          <w:rFonts w:eastAsia="方正黑体_GBK"/>
          <w:sz w:val="32"/>
          <w:szCs w:val="32"/>
          <w:highlight w:val="none"/>
        </w:rPr>
        <w:t>党建统领</w:t>
      </w:r>
      <w:r>
        <w:rPr>
          <w:rFonts w:hint="eastAsia" w:eastAsia="方正黑体_GBK"/>
          <w:sz w:val="32"/>
          <w:szCs w:val="32"/>
          <w:highlight w:val="none"/>
        </w:rPr>
        <w:t>”</w:t>
      </w:r>
      <w:r>
        <w:rPr>
          <w:rFonts w:eastAsia="方正黑体_GBK"/>
          <w:sz w:val="32"/>
          <w:szCs w:val="32"/>
          <w:highlight w:val="none"/>
        </w:rPr>
        <w:t>，深入推进全面从严治党</w:t>
      </w:r>
    </w:p>
    <w:p>
      <w:pPr>
        <w:keepNext w:val="0"/>
        <w:keepLines w:val="0"/>
        <w:pageBreakBefore w:val="0"/>
        <w:widowControl w:val="0"/>
        <w:kinsoku/>
        <w:wordWrap/>
        <w:topLinePunct w:val="0"/>
        <w:bidi w:val="0"/>
        <w:spacing w:line="570" w:lineRule="exact"/>
        <w:ind w:firstLine="640" w:firstLineChars="200"/>
        <w:rPr>
          <w:rFonts w:hint="eastAsia" w:eastAsia="方正仿宋_GBK"/>
          <w:sz w:val="32"/>
          <w:szCs w:val="32"/>
          <w:highlight w:val="none"/>
        </w:rPr>
      </w:pPr>
      <w:r>
        <w:rPr>
          <w:rFonts w:hint="eastAsia" w:eastAsia="方正楷体_GBK"/>
          <w:color w:val="000000"/>
          <w:sz w:val="32"/>
          <w:szCs w:val="32"/>
          <w:highlight w:val="none"/>
        </w:rPr>
        <w:t>1.加强政治机关建设。</w:t>
      </w:r>
      <w:r>
        <w:rPr>
          <w:rFonts w:hint="eastAsia" w:eastAsia="方正仿宋_GBK"/>
          <w:sz w:val="32"/>
          <w:szCs w:val="32"/>
          <w:highlight w:val="none"/>
        </w:rPr>
        <w:t>落实新时代党的建设总要求，健全坚定拥护“两个确立”、坚决做到“两个维护”政治铸魂体系。坚持用习近平新时代中国特色社会主义思想凝心铸魂，完善局党委会议第一时间传达学习、局党委理论学习中心组集中学习等制度，加强“三会一课”“民政大讲堂”等集中学习，深学笃行党的创新理论，推动学习贯彻习近平总书记关于民政工作重要论述和重要指示批示精神往深里走、往实里走、往心里走。贯彻执行民主集中制、重大事项请示报告制度、民主生活会和组织生活会、民主评议党员制度，定期专题研究党建工作、每年开展党建述职会，持续推动党的组织制度落地落实。严格执行意识形态工作责任制，完善意识形态工作阵地清单，加强意识形态风险动态排查整治，落实半年一次意识形态工作报告制度。加强社会组织意识形态管控，将社会组织举办论坛、年会、报告会、研讨会等活动申报、管理情况，纳入等级评估指标体系。加强网站、微信公众号等管理，维护网络意识形态安全，弘扬民政正能量。</w:t>
      </w:r>
    </w:p>
    <w:p>
      <w:pPr>
        <w:keepNext w:val="0"/>
        <w:keepLines w:val="0"/>
        <w:pageBreakBefore w:val="0"/>
        <w:widowControl w:val="0"/>
        <w:kinsoku/>
        <w:wordWrap/>
        <w:topLinePunct w:val="0"/>
        <w:bidi w:val="0"/>
        <w:spacing w:line="570" w:lineRule="exact"/>
        <w:ind w:firstLine="640" w:firstLineChars="200"/>
        <w:rPr>
          <w:rFonts w:hint="eastAsia" w:eastAsia="方正楷体_GBK"/>
          <w:color w:val="000000"/>
          <w:sz w:val="32"/>
          <w:szCs w:val="32"/>
          <w:highlight w:val="none"/>
        </w:rPr>
      </w:pPr>
      <w:r>
        <w:rPr>
          <w:rFonts w:hint="eastAsia" w:eastAsia="方正楷体_GBK"/>
          <w:color w:val="000000"/>
          <w:sz w:val="32"/>
          <w:szCs w:val="32"/>
          <w:highlight w:val="none"/>
        </w:rPr>
        <w:t>2.扛稳党建主体责任。</w:t>
      </w:r>
      <w:r>
        <w:rPr>
          <w:rFonts w:hint="eastAsia" w:eastAsia="方正仿宋_GBK"/>
          <w:sz w:val="32"/>
          <w:szCs w:val="32"/>
          <w:highlight w:val="none"/>
        </w:rPr>
        <w:t>自觉扛起全面从严治党主体责任、党组织主要负责人第一责任人责任、班子成员“一岗双责”，加强党建督查检查和考核，强化考核结果运用，推动形成一级抓一级、层层抓落实的工作格局。强化党建统领“八张报表”“八张问题清单”“五项机制”工作体系，更好构建“问题发现靠党建、问题发生查党建、问题解决看党建”格局，实现抓党建带全局效能全面提升。民政系统各级党组织要大力实施民政“红岩先锋行动”，一体推进平安沙坪坝法治沙坪坝建设，深化“大综合一体化”行政执法改革，实施涉企“执法监管一件事”，落实涉企行政检查事项清单管理，集中整治乱收费、乱罚款、乱检查、乱查封，着力营造法治化营商环境。</w:t>
      </w:r>
    </w:p>
    <w:p>
      <w:pPr>
        <w:keepNext w:val="0"/>
        <w:keepLines w:val="0"/>
        <w:pageBreakBefore w:val="0"/>
        <w:widowControl w:val="0"/>
        <w:kinsoku/>
        <w:wordWrap/>
        <w:topLinePunct w:val="0"/>
        <w:bidi w:val="0"/>
        <w:spacing w:line="570" w:lineRule="exact"/>
        <w:ind w:firstLine="640" w:firstLineChars="200"/>
        <w:rPr>
          <w:rFonts w:hint="eastAsia" w:eastAsia="方正楷体_GBK"/>
          <w:color w:val="000000"/>
          <w:sz w:val="32"/>
          <w:szCs w:val="32"/>
          <w:highlight w:val="none"/>
        </w:rPr>
      </w:pPr>
      <w:r>
        <w:rPr>
          <w:rFonts w:hint="eastAsia" w:eastAsia="方正楷体_GBK"/>
          <w:color w:val="000000"/>
          <w:sz w:val="32"/>
          <w:szCs w:val="32"/>
          <w:highlight w:val="none"/>
        </w:rPr>
        <w:t>3.充分发挥基层党组织功能。</w:t>
      </w:r>
      <w:r>
        <w:rPr>
          <w:rFonts w:hint="eastAsia" w:eastAsia="方正仿宋_GBK"/>
          <w:sz w:val="32"/>
          <w:szCs w:val="32"/>
          <w:highlight w:val="none"/>
        </w:rPr>
        <w:t>针对“三基”建设存在的重点难点问题，抓组织、抓队伍、抓制度、抓基础，推动民政系统党的建设全面进步、全面过硬，建设让党和人民群众满意的模范机关。加强党务人才队伍建设，加大优秀党务干部表彰奖励、培养使用力度。区民政局党委要指导各基层党组织结合自身实际和特点，凝练提升党建工作的亮点、特色、成果和经验，大力实施民政“红岩先锋行动”，建强支部战斗堡垒，建设“红岩先锋·六好党员”队伍，促进党建品牌与队伍建设、业务工作全面融合，提升党建工作实效。注重发挥群团组织作用，加强工青妇组织自身建设，不断提高工作能力和服务水平。</w:t>
      </w:r>
    </w:p>
    <w:p>
      <w:pPr>
        <w:keepNext w:val="0"/>
        <w:keepLines w:val="0"/>
        <w:pageBreakBefore w:val="0"/>
        <w:widowControl w:val="0"/>
        <w:kinsoku/>
        <w:wordWrap/>
        <w:topLinePunct w:val="0"/>
        <w:bidi w:val="0"/>
        <w:spacing w:line="570" w:lineRule="exact"/>
        <w:ind w:firstLine="640" w:firstLineChars="200"/>
        <w:rPr>
          <w:rFonts w:hint="eastAsia" w:eastAsia="方正楷体_GBK"/>
          <w:color w:val="000000"/>
          <w:sz w:val="32"/>
          <w:szCs w:val="32"/>
          <w:highlight w:val="none"/>
        </w:rPr>
      </w:pPr>
      <w:r>
        <w:rPr>
          <w:rFonts w:hint="eastAsia" w:eastAsia="方正楷体_GBK"/>
          <w:color w:val="000000"/>
          <w:sz w:val="32"/>
          <w:szCs w:val="32"/>
          <w:highlight w:val="none"/>
        </w:rPr>
        <w:t>4.优化干部队伍选育管用。</w:t>
      </w:r>
      <w:r>
        <w:rPr>
          <w:rFonts w:hint="eastAsia" w:eastAsia="方正仿宋_GBK"/>
          <w:sz w:val="32"/>
          <w:szCs w:val="32"/>
          <w:highlight w:val="none"/>
        </w:rPr>
        <w:t>加强干部源头建设，持续拓宽选人渠道，综合运用多种方式，补充新鲜血液，充实民政系统干部队伍。聚焦新时代干部队伍建设新要求，把干部教育培训工作与学习贯彻习近平总书记关于民政工作的重要论述和重要指示批示精神、与民政重点工作相结合，提高培训的针对性和实效性。加强民政各领域专业人才队伍建设，培养相关领军人才、骨干人才。加强对干部的全方位管理、经常性监督。</w:t>
      </w:r>
    </w:p>
    <w:p>
      <w:pPr>
        <w:keepNext w:val="0"/>
        <w:keepLines w:val="0"/>
        <w:pageBreakBefore w:val="0"/>
        <w:widowControl w:val="0"/>
        <w:kinsoku/>
        <w:wordWrap/>
        <w:topLinePunct w:val="0"/>
        <w:bidi w:val="0"/>
        <w:spacing w:line="570" w:lineRule="exact"/>
        <w:ind w:firstLine="640" w:firstLineChars="200"/>
        <w:rPr>
          <w:rFonts w:hint="eastAsia" w:eastAsia="方正楷体_GBK"/>
          <w:color w:val="000000"/>
          <w:sz w:val="32"/>
          <w:szCs w:val="32"/>
          <w:highlight w:val="none"/>
        </w:rPr>
      </w:pPr>
      <w:r>
        <w:rPr>
          <w:rFonts w:hint="eastAsia" w:eastAsia="方正楷体_GBK"/>
          <w:color w:val="000000"/>
          <w:sz w:val="32"/>
          <w:szCs w:val="32"/>
          <w:highlight w:val="none"/>
        </w:rPr>
        <w:t>5.深入推进党风廉政建设。</w:t>
      </w:r>
      <w:r>
        <w:rPr>
          <w:rFonts w:hint="eastAsia" w:eastAsia="方正仿宋_GBK"/>
          <w:sz w:val="32"/>
          <w:szCs w:val="32"/>
          <w:highlight w:val="none"/>
        </w:rPr>
        <w:t>深入学习贯彻习近平总书记在二十届中央纪委四次全会上的重要讲话精神和二十届中央纪委四次全会、六届市纪委四次全会和十三届区纪委五次全会精神。坚持把政治监督放在首位，进一步完善政治监督具体化、精准化、常态化机制。持续巩固深化党纪学习教育成果，推动党纪学习教育常态化长效化。持续开展“四风”突出问题纠治，认真抓好深入贯彻中央八项规定精神学习教育，深化民政领域群众身边不正之风和腐败问题整治，扎实开展整治殡葬领域腐败乱象专项行动，切实抓好养老服务突出问题专项整治。认真抓好巡察和审计反馈问题整改，规范落实“三重一大”决策制度，修订完善财务管理制度，让权力在阳光下运行。坚持风腐问题同查同治，深化“以案四说”警示教育和以案促改、以案促治工作。</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黑体_GBK"/>
          <w:sz w:val="32"/>
          <w:szCs w:val="32"/>
          <w:highlight w:val="none"/>
        </w:rPr>
      </w:pPr>
      <w:r>
        <w:rPr>
          <w:rFonts w:hint="eastAsia" w:eastAsia="方正黑体_GBK"/>
          <w:sz w:val="32"/>
          <w:szCs w:val="32"/>
          <w:highlight w:val="none"/>
        </w:rPr>
        <w:t>二、落实积极应对人口老龄化国家战略，加强老年友好型社会建设</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黑体_GBK"/>
          <w:sz w:val="32"/>
          <w:szCs w:val="32"/>
          <w:highlight w:val="none"/>
        </w:rPr>
      </w:pPr>
      <w:r>
        <w:rPr>
          <w:rFonts w:hint="eastAsia" w:eastAsia="方正楷体_GBK"/>
          <w:sz w:val="32"/>
          <w:szCs w:val="32"/>
          <w:highlight w:val="none"/>
        </w:rPr>
        <w:t>6.强化老龄办统筹协调作用。</w:t>
      </w:r>
      <w:r>
        <w:rPr>
          <w:rFonts w:hint="eastAsia" w:eastAsia="方正仿宋_GBK"/>
          <w:color w:val="000000"/>
          <w:sz w:val="33"/>
          <w:szCs w:val="33"/>
          <w:highlight w:val="none"/>
        </w:rPr>
        <w:t>着力实施积极应对人口老龄化国家战略，充分发挥区老龄办综合协调、督促指导、组织推进作用，推动老龄工作各项目标任务落到实处、取得实效。筹备召开区老龄委全体会议。制定区老龄委2025年工作要点，印发重庆市沙坪坝区老龄工作委员会工作规则和成员单位职责。开展老龄事业发展监测评价和统计调查工作，建立全区老龄工作专家委员会，完善老龄领域专家决策咨询机制。</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仿宋_GBK"/>
          <w:color w:val="000000"/>
          <w:sz w:val="33"/>
          <w:szCs w:val="33"/>
          <w:highlight w:val="none"/>
        </w:rPr>
      </w:pPr>
      <w:r>
        <w:rPr>
          <w:rFonts w:hint="eastAsia" w:eastAsia="方正楷体_GBK"/>
          <w:sz w:val="32"/>
          <w:szCs w:val="32"/>
          <w:highlight w:val="none"/>
        </w:rPr>
        <w:t>7.推进老年友好型社会建设。</w:t>
      </w:r>
      <w:r>
        <w:rPr>
          <w:rFonts w:hint="eastAsia" w:eastAsia="方正仿宋_GBK"/>
          <w:color w:val="000000"/>
          <w:sz w:val="33"/>
          <w:szCs w:val="33"/>
          <w:highlight w:val="none"/>
        </w:rPr>
        <w:t>加强老年人权益保障，建立维护老年人合法权益工作机制，推动落实老年人优待政策，扎实开展“智慧助老”“反诈防骗”等为老年人办实事活动。开展“红岩·银龄”重阳节敬老、“集体生日”关爱服务、养老服务机构“升国旗、唱国歌”、“敬老月”等系列活动和人口老龄化国情教育，制定人口老龄化国情教育具体举措。强化基础设施建设，建成老年大学5所。加强基层老年协会建设，夯实老龄工作基层基础。</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仿宋_GBK"/>
          <w:color w:val="000000"/>
          <w:sz w:val="33"/>
          <w:szCs w:val="33"/>
          <w:highlight w:val="none"/>
        </w:rPr>
      </w:pPr>
      <w:r>
        <w:rPr>
          <w:rFonts w:hint="eastAsia" w:eastAsia="方正楷体_GBK"/>
          <w:sz w:val="32"/>
          <w:szCs w:val="32"/>
          <w:highlight w:val="none"/>
        </w:rPr>
        <w:t>8.促进老年人社会参与。</w:t>
      </w:r>
      <w:r>
        <w:rPr>
          <w:rFonts w:hint="eastAsia" w:eastAsia="方正仿宋_GBK"/>
          <w:color w:val="000000"/>
          <w:sz w:val="33"/>
          <w:szCs w:val="33"/>
          <w:highlight w:val="none"/>
        </w:rPr>
        <w:t>落实支持老年人社会参与政策，支持老年人参与基层治理、文教卫生、乡村振兴等活动更好发挥老年人积极作用。开展“银龄行动”，助力老年人参与志愿服务，倡导低龄、健康老年人服务高龄、失能老年人。探索建立养老服务时间储蓄管理制度。</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黑体_GBK"/>
          <w:sz w:val="32"/>
          <w:szCs w:val="32"/>
          <w:highlight w:val="none"/>
        </w:rPr>
      </w:pPr>
      <w:r>
        <w:rPr>
          <w:rFonts w:hint="eastAsia" w:eastAsia="方正黑体_GBK"/>
          <w:sz w:val="32"/>
          <w:szCs w:val="32"/>
          <w:highlight w:val="none"/>
        </w:rPr>
        <w:t>三、推进“渝悦养老”行动，深化养老服务改革发展</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仿宋_GBK"/>
          <w:color w:val="000000"/>
          <w:sz w:val="33"/>
          <w:szCs w:val="33"/>
          <w:highlight w:val="none"/>
        </w:rPr>
      </w:pPr>
      <w:r>
        <w:rPr>
          <w:rFonts w:hint="eastAsia" w:eastAsia="方正楷体_GBK"/>
          <w:sz w:val="32"/>
          <w:szCs w:val="32"/>
          <w:highlight w:val="none"/>
        </w:rPr>
        <w:t>9.深化养老服务体系建设。</w:t>
      </w:r>
      <w:r>
        <w:rPr>
          <w:rFonts w:hint="eastAsia" w:eastAsia="方正仿宋_GBK"/>
          <w:color w:val="000000"/>
          <w:sz w:val="33"/>
          <w:szCs w:val="33"/>
          <w:highlight w:val="none"/>
        </w:rPr>
        <w:t>深化养老服务改革发展。完善区县、街镇、村（社区）三级养老服务网络，深化“机构建中心带站点进家庭”可持续社会化运作模式。制定《加强和改进“一老一幼”服务方案》，推进养老托育融合发展。健全农村养老服务体系，加快农村互助养老点建设，持续推动乡镇敬老院公建民营改革，深化互助养老服务模式，做好经济困难失能老年人集中照护服务。</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仿宋_GBK"/>
          <w:color w:val="000000"/>
          <w:sz w:val="33"/>
          <w:szCs w:val="33"/>
          <w:highlight w:val="none"/>
        </w:rPr>
      </w:pPr>
      <w:r>
        <w:rPr>
          <w:rFonts w:hint="eastAsia" w:eastAsia="方正楷体_GBK"/>
          <w:sz w:val="32"/>
          <w:szCs w:val="32"/>
          <w:highlight w:val="none"/>
        </w:rPr>
        <w:t>10.打造15分钟养老生活圈。</w:t>
      </w:r>
      <w:r>
        <w:rPr>
          <w:rFonts w:hint="eastAsia" w:eastAsia="方正仿宋_GBK"/>
          <w:color w:val="000000"/>
          <w:sz w:val="33"/>
          <w:szCs w:val="33"/>
          <w:highlight w:val="none"/>
        </w:rPr>
        <w:t>研究制定沙坪坝区15分钟养老服务圈建设实施方案，发布建设标准、服务清单、政府购买服务清单等。支持社会力量盘活存量资源举办社区嵌入式养老机构，推动现有中心站点提升改造为社区养老服务综合体，支持物业、家政服务企业因地制宜开设社区养老服务站点，落实新建居住区与配套养老服务设施同步规划、同步建设、同步验收、同步交付“四同步”要求。开展困难老年人家庭适老化改造，深化老年食堂可持续运营机制改革，不断扩大助浴、助洁服务试点范围。</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仿宋_GBK"/>
          <w:color w:val="000000"/>
          <w:sz w:val="33"/>
          <w:szCs w:val="33"/>
          <w:highlight w:val="none"/>
        </w:rPr>
      </w:pPr>
      <w:r>
        <w:rPr>
          <w:rFonts w:hint="eastAsia" w:eastAsia="方正楷体_GBK"/>
          <w:sz w:val="32"/>
          <w:szCs w:val="32"/>
          <w:highlight w:val="none"/>
        </w:rPr>
        <w:t>11.健全养老服务综合监管机制。</w:t>
      </w:r>
      <w:r>
        <w:rPr>
          <w:rFonts w:hint="eastAsia" w:eastAsia="方正仿宋_GBK"/>
          <w:color w:val="000000"/>
          <w:sz w:val="33"/>
          <w:szCs w:val="33"/>
          <w:highlight w:val="none"/>
        </w:rPr>
        <w:t>开展养老服务突出问题专项整治。推行养老服务制式合同网签，推动养老机构预收费专户存储管理，探索开展“提存公证”工作。深化养老服务领域安全生产治本攻坚三年行动、养老机构人身安全问题排查整治、养老服务领域打击非法集资专项行动，持续推动解决未经消防验收投入使用养老机构历史遗留问题。制定《沙坪坝区加强养老服务人才队伍建设实施方案》，组织开展养老服务人才技能专项培训。</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ascii="方正仿宋_GBK" w:hAnsi="方正仿宋_GBK" w:eastAsia="方正仿宋_GBK" w:cs="方正仿宋_GBK"/>
          <w:sz w:val="32"/>
          <w:szCs w:val="32"/>
          <w:highlight w:val="none"/>
        </w:rPr>
      </w:pPr>
      <w:r>
        <w:rPr>
          <w:rFonts w:hint="eastAsia" w:eastAsia="方正楷体_GBK"/>
          <w:sz w:val="32"/>
          <w:szCs w:val="32"/>
          <w:highlight w:val="none"/>
        </w:rPr>
        <w:t>12.推动养老事业产业协同发展。</w:t>
      </w:r>
      <w:r>
        <w:rPr>
          <w:rFonts w:hint="eastAsia" w:eastAsia="方正仿宋_GBK"/>
          <w:color w:val="000000"/>
          <w:sz w:val="33"/>
          <w:szCs w:val="33"/>
          <w:highlight w:val="none"/>
        </w:rPr>
        <w:t>实施养老机构分类管理，大力发展以普惠养老为主业的养老服务企业。实施养老产业培育行动，加快“生命健康产业”专班、“一高校一专班”校地合作招商对接，建立服务企业工作专班机制，推动宜德养老服务中心项目建成投运。实施养老产业品牌创建行动，打造具有区域影响力和竞争力的养老服务品牌。实施养老产业开放行动，持续优化营商环境，深化与国投健康产业投资有限公司战略合作。探索开展养老社区建设，探索旅居养老、康养小镇等康养产业新业态。</w:t>
      </w:r>
    </w:p>
    <w:p>
      <w:pPr>
        <w:keepNext w:val="0"/>
        <w:keepLines w:val="0"/>
        <w:pageBreakBefore w:val="0"/>
        <w:widowControl w:val="0"/>
        <w:kinsoku/>
        <w:wordWrap/>
        <w:overflowPunct w:val="0"/>
        <w:topLinePunct w:val="0"/>
        <w:bidi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四、推进</w:t>
      </w:r>
      <w:r>
        <w:rPr>
          <w:rFonts w:hint="eastAsia" w:eastAsia="方正黑体_GBK"/>
          <w:sz w:val="32"/>
          <w:szCs w:val="32"/>
          <w:highlight w:val="none"/>
        </w:rPr>
        <w:t>“</w:t>
      </w:r>
      <w:r>
        <w:rPr>
          <w:rFonts w:eastAsia="方正黑体_GBK"/>
          <w:sz w:val="32"/>
          <w:szCs w:val="32"/>
          <w:highlight w:val="none"/>
        </w:rPr>
        <w:t>精准保障</w:t>
      </w:r>
      <w:r>
        <w:rPr>
          <w:rFonts w:hint="eastAsia" w:eastAsia="方正黑体_GBK"/>
          <w:sz w:val="32"/>
          <w:szCs w:val="32"/>
          <w:highlight w:val="none"/>
        </w:rPr>
        <w:t>”</w:t>
      </w:r>
      <w:r>
        <w:rPr>
          <w:rFonts w:eastAsia="方正黑体_GBK"/>
          <w:sz w:val="32"/>
          <w:szCs w:val="32"/>
          <w:highlight w:val="none"/>
        </w:rPr>
        <w:t>行动，探索建设西部地区促进共同富裕先行区</w:t>
      </w:r>
    </w:p>
    <w:p>
      <w:pPr>
        <w:keepNext w:val="0"/>
        <w:keepLines w:val="0"/>
        <w:pageBreakBefore w:val="0"/>
        <w:widowControl w:val="0"/>
        <w:kinsoku/>
        <w:wordWrap/>
        <w:overflowPunct w:val="0"/>
        <w:topLinePunct w:val="0"/>
        <w:bidi w:val="0"/>
        <w:spacing w:line="570" w:lineRule="exact"/>
        <w:ind w:firstLine="640" w:firstLineChars="200"/>
        <w:textAlignment w:val="center"/>
        <w:rPr>
          <w:rFonts w:hint="eastAsia" w:eastAsia="方正仿宋_GBK"/>
          <w:kern w:val="32"/>
          <w:sz w:val="32"/>
          <w:szCs w:val="32"/>
          <w:highlight w:val="none"/>
          <w:lang w:val="en-US" w:eastAsia="zh-CN"/>
        </w:rPr>
      </w:pPr>
      <w:r>
        <w:rPr>
          <w:rFonts w:eastAsia="方正楷体_GBK"/>
          <w:sz w:val="32"/>
          <w:szCs w:val="32"/>
          <w:highlight w:val="none"/>
        </w:rPr>
        <w:t>1</w:t>
      </w:r>
      <w:r>
        <w:rPr>
          <w:rFonts w:hint="eastAsia" w:eastAsia="方正楷体_GBK"/>
          <w:sz w:val="32"/>
          <w:szCs w:val="32"/>
          <w:highlight w:val="none"/>
        </w:rPr>
        <w:t>3</w:t>
      </w:r>
      <w:r>
        <w:rPr>
          <w:rFonts w:eastAsia="方正楷体_GBK"/>
          <w:sz w:val="32"/>
          <w:szCs w:val="32"/>
          <w:highlight w:val="none"/>
        </w:rPr>
        <w:t>.完善分层分类社会救助体系。</w:t>
      </w:r>
      <w:r>
        <w:rPr>
          <w:rFonts w:eastAsia="方正仿宋_GBK"/>
          <w:kern w:val="32"/>
          <w:sz w:val="32"/>
          <w:szCs w:val="32"/>
          <w:highlight w:val="none"/>
        </w:rPr>
        <w:t>加强低收入人口动态监测做好分层分类社会救助工作</w:t>
      </w:r>
      <w:r>
        <w:rPr>
          <w:rFonts w:eastAsia="方正仿宋_GBK"/>
          <w:sz w:val="32"/>
          <w:szCs w:val="32"/>
          <w:highlight w:val="none"/>
        </w:rPr>
        <w:t>，推进政府救助与慈善帮扶有效衔接，形成一户（人）一条闭环救助链。</w:t>
      </w:r>
      <w:r>
        <w:rPr>
          <w:rFonts w:eastAsia="方正仿宋_GBK"/>
          <w:kern w:val="32"/>
          <w:sz w:val="32"/>
          <w:szCs w:val="32"/>
          <w:highlight w:val="none"/>
        </w:rPr>
        <w:t>推进</w:t>
      </w:r>
      <w:r>
        <w:rPr>
          <w:rFonts w:hint="eastAsia" w:eastAsia="方正仿宋_GBK"/>
          <w:kern w:val="32"/>
          <w:sz w:val="32"/>
          <w:szCs w:val="32"/>
          <w:highlight w:val="none"/>
        </w:rPr>
        <w:t>“</w:t>
      </w:r>
      <w:r>
        <w:rPr>
          <w:rFonts w:eastAsia="方正仿宋_GBK"/>
          <w:kern w:val="32"/>
          <w:sz w:val="32"/>
          <w:szCs w:val="32"/>
          <w:highlight w:val="none"/>
        </w:rPr>
        <w:t>两项政策</w:t>
      </w:r>
      <w:r>
        <w:rPr>
          <w:rFonts w:hint="eastAsia" w:eastAsia="方正仿宋_GBK"/>
          <w:kern w:val="32"/>
          <w:sz w:val="32"/>
          <w:szCs w:val="32"/>
          <w:highlight w:val="none"/>
        </w:rPr>
        <w:t>”</w:t>
      </w:r>
      <w:r>
        <w:rPr>
          <w:rFonts w:eastAsia="方正仿宋_GBK"/>
          <w:kern w:val="32"/>
          <w:sz w:val="32"/>
          <w:szCs w:val="32"/>
          <w:highlight w:val="none"/>
        </w:rPr>
        <w:t>衔接并轨试点。</w:t>
      </w:r>
      <w:r>
        <w:rPr>
          <w:rFonts w:hint="eastAsia" w:eastAsia="方正仿宋_GBK"/>
          <w:kern w:val="32"/>
          <w:sz w:val="32"/>
          <w:szCs w:val="32"/>
          <w:highlight w:val="none"/>
        </w:rPr>
        <w:t>贯彻落实</w:t>
      </w:r>
      <w:r>
        <w:rPr>
          <w:rFonts w:eastAsia="方正仿宋_GBK"/>
          <w:kern w:val="32"/>
          <w:sz w:val="32"/>
          <w:szCs w:val="32"/>
          <w:highlight w:val="none"/>
        </w:rPr>
        <w:t>刚性支出困难家庭认定办法，加强低收入家庭经济状况核对，全面开展低保边缘家庭、刚性支出困难家庭认定工作，推进临时救助工作。</w:t>
      </w:r>
      <w:r>
        <w:rPr>
          <w:rFonts w:hint="eastAsia" w:eastAsia="方正仿宋_GBK"/>
          <w:kern w:val="32"/>
          <w:sz w:val="32"/>
          <w:szCs w:val="32"/>
          <w:highlight w:val="none"/>
        </w:rPr>
        <w:t>坚持贯彻低保标准与我市上年度居民人均消费支出挂钩的动态调整机制。</w:t>
      </w:r>
      <w:r>
        <w:rPr>
          <w:rFonts w:eastAsia="方正仿宋_GBK"/>
          <w:kern w:val="32"/>
          <w:sz w:val="32"/>
          <w:szCs w:val="32"/>
          <w:highlight w:val="none"/>
        </w:rPr>
        <w:t>开展服务类社会救助试点，加快发展</w:t>
      </w:r>
      <w:r>
        <w:rPr>
          <w:rFonts w:hint="eastAsia" w:eastAsia="方正仿宋_GBK"/>
          <w:kern w:val="32"/>
          <w:sz w:val="32"/>
          <w:szCs w:val="32"/>
          <w:highlight w:val="none"/>
        </w:rPr>
        <w:t>“</w:t>
      </w:r>
      <w:r>
        <w:rPr>
          <w:rFonts w:eastAsia="方正仿宋_GBK"/>
          <w:kern w:val="32"/>
          <w:sz w:val="32"/>
          <w:szCs w:val="32"/>
          <w:highlight w:val="none"/>
        </w:rPr>
        <w:t>物质+服务</w:t>
      </w:r>
      <w:r>
        <w:rPr>
          <w:rFonts w:hint="eastAsia" w:eastAsia="方正仿宋_GBK"/>
          <w:kern w:val="32"/>
          <w:sz w:val="32"/>
          <w:szCs w:val="32"/>
          <w:highlight w:val="none"/>
        </w:rPr>
        <w:t>”</w:t>
      </w:r>
      <w:r>
        <w:rPr>
          <w:rFonts w:eastAsia="方正仿宋_GBK"/>
          <w:kern w:val="32"/>
          <w:sz w:val="32"/>
          <w:szCs w:val="32"/>
          <w:highlight w:val="none"/>
        </w:rPr>
        <w:t>社会救助。</w:t>
      </w:r>
      <w:r>
        <w:rPr>
          <w:rFonts w:hint="eastAsia" w:eastAsia="方正仿宋_GBK"/>
          <w:kern w:val="32"/>
          <w:sz w:val="32"/>
          <w:szCs w:val="32"/>
          <w:highlight w:val="none"/>
        </w:rPr>
        <w:t>建立低收入人口联合救助和社区慈善帮扶服务机制。开展低收入群体就业援助</w:t>
      </w:r>
      <w:r>
        <w:rPr>
          <w:rFonts w:hint="eastAsia" w:eastAsia="方正仿宋_GBK"/>
          <w:kern w:val="32"/>
          <w:sz w:val="32"/>
          <w:szCs w:val="32"/>
          <w:highlight w:val="none"/>
          <w:lang w:eastAsia="zh-CN"/>
        </w:rPr>
        <w:t>。</w:t>
      </w:r>
    </w:p>
    <w:p>
      <w:pPr>
        <w:pStyle w:val="3"/>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textAlignment w:val="auto"/>
        <w:rPr>
          <w:rFonts w:eastAsia="方正仿宋_GBK"/>
          <w:color w:val="000000"/>
          <w:sz w:val="32"/>
          <w:szCs w:val="32"/>
          <w:highlight w:val="none"/>
        </w:rPr>
      </w:pPr>
      <w:r>
        <w:rPr>
          <w:rFonts w:eastAsia="方正楷体_GBK"/>
          <w:sz w:val="32"/>
          <w:szCs w:val="32"/>
          <w:highlight w:val="none"/>
        </w:rPr>
        <w:t>1</w:t>
      </w:r>
      <w:r>
        <w:rPr>
          <w:rFonts w:hint="eastAsia" w:eastAsia="方正楷体_GBK"/>
          <w:sz w:val="32"/>
          <w:szCs w:val="32"/>
          <w:highlight w:val="none"/>
        </w:rPr>
        <w:t>4</w:t>
      </w:r>
      <w:r>
        <w:rPr>
          <w:rFonts w:eastAsia="方正楷体_GBK"/>
          <w:sz w:val="32"/>
          <w:szCs w:val="32"/>
          <w:highlight w:val="none"/>
        </w:rPr>
        <w:t>.深化低收入人口联合救助服务。</w:t>
      </w:r>
      <w:r>
        <w:rPr>
          <w:rFonts w:hint="eastAsia" w:ascii="Times New Roman" w:hAnsi="Times New Roman" w:cs="Times New Roman"/>
          <w:szCs w:val="32"/>
          <w:highlight w:val="none"/>
          <w:lang w:eastAsia="zh-CN"/>
        </w:rPr>
        <w:t>迭代升级分层分类社会救助体系，拓展社会救助服务联合体功能，</w:t>
      </w:r>
      <w:r>
        <w:rPr>
          <w:rFonts w:eastAsia="方正仿宋_GBK"/>
          <w:kern w:val="32"/>
          <w:sz w:val="32"/>
          <w:szCs w:val="32"/>
          <w:highlight w:val="none"/>
        </w:rPr>
        <w:t>推动低收入人口联合救助服务机制改革，深化社会救助领域</w:t>
      </w:r>
      <w:r>
        <w:rPr>
          <w:rFonts w:hint="eastAsia" w:eastAsia="方正仿宋_GBK"/>
          <w:kern w:val="32"/>
          <w:sz w:val="32"/>
          <w:szCs w:val="32"/>
          <w:highlight w:val="none"/>
        </w:rPr>
        <w:t>“</w:t>
      </w:r>
      <w:r>
        <w:rPr>
          <w:rFonts w:eastAsia="方正仿宋_GBK"/>
          <w:kern w:val="32"/>
          <w:sz w:val="32"/>
          <w:szCs w:val="32"/>
          <w:highlight w:val="none"/>
        </w:rPr>
        <w:t>高效办成一件事</w:t>
      </w:r>
      <w:r>
        <w:rPr>
          <w:rFonts w:hint="eastAsia" w:eastAsia="方正仿宋_GBK"/>
          <w:kern w:val="32"/>
          <w:sz w:val="32"/>
          <w:szCs w:val="32"/>
          <w:highlight w:val="none"/>
        </w:rPr>
        <w:t>”</w:t>
      </w:r>
      <w:r>
        <w:rPr>
          <w:rFonts w:hint="eastAsia"/>
          <w:kern w:val="32"/>
          <w:sz w:val="32"/>
          <w:szCs w:val="32"/>
          <w:highlight w:val="none"/>
          <w:lang w:eastAsia="zh-CN"/>
        </w:rPr>
        <w:t>。</w:t>
      </w:r>
      <w:r>
        <w:rPr>
          <w:rFonts w:hint="default" w:ascii="Times New Roman" w:hAnsi="Times New Roman" w:cs="Times New Roman"/>
          <w:szCs w:val="32"/>
          <w:highlight w:val="none"/>
        </w:rPr>
        <w:t>以“渝悦救助通”为支撑，持续深化“社会救助一件事”改革，整合优化社会救助申请、审核、确认流程，实现社会救助“一件事”便捷办、精准办、高效办。着力社会救助服务联合体推动协同增效联办机制改革。拓展社会救助服务联合体功能，统筹建立低收入人口联合救助服务机制。统筹推进民政数字化转型，持续加强与区城运中心数据互联互通，提升基层治理能力。推进社会救助与慈善帮扶服务相融合机制建设，促进“物质+服务”社会救助服务提质增效。</w:t>
      </w:r>
      <w:r>
        <w:rPr>
          <w:rFonts w:eastAsia="方正仿宋_GBK"/>
          <w:sz w:val="32"/>
          <w:szCs w:val="32"/>
          <w:highlight w:val="none"/>
        </w:rPr>
        <w:t>畅通社会救助服务热线，强化社会救助宣传。常态化开展社会救助领域群众身边腐败和作风问题综合治理，持续纠治应保未保、漏保、资金发放管理不到位等问题。加强社会救助信访矛盾化解工作，妥善回应困难群众合理诉求。</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bCs/>
          <w:color w:val="000000"/>
          <w:spacing w:val="-3"/>
          <w:sz w:val="32"/>
          <w:szCs w:val="32"/>
          <w:highlight w:val="none"/>
        </w:rPr>
      </w:pPr>
      <w:r>
        <w:rPr>
          <w:rFonts w:hint="eastAsia" w:eastAsia="方正楷体_GBK"/>
          <w:bCs/>
          <w:sz w:val="32"/>
          <w:szCs w:val="32"/>
          <w:highlight w:val="none"/>
        </w:rPr>
        <w:t>15.持续加强残疾人“两项补贴”精准发放管理。</w:t>
      </w:r>
      <w:r>
        <w:rPr>
          <w:rFonts w:hint="eastAsia" w:ascii="Times New Roman" w:hAnsi="Times New Roman" w:eastAsia="方正仿宋_GBK" w:cs="Times New Roman"/>
          <w:kern w:val="2"/>
          <w:sz w:val="32"/>
          <w:szCs w:val="32"/>
          <w:highlight w:val="none"/>
          <w:lang w:val="en-US" w:eastAsia="zh-CN" w:bidi="ar-SA"/>
        </w:rPr>
        <w:t>认真落实《关于加强残疾人两项补贴精准管理的实施意见》要求，强化“跨省通办”“全程网办”“主动服务”“残疾人服务一件事”等便民服务举措，加强补贴资金发放监管，提升精准管理水平。</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color w:val="000000"/>
          <w:sz w:val="32"/>
          <w:szCs w:val="32"/>
          <w:highlight w:val="none"/>
        </w:rPr>
      </w:pPr>
      <w:r>
        <w:rPr>
          <w:rFonts w:hint="eastAsia" w:eastAsia="方正楷体_GBK"/>
          <w:color w:val="000000"/>
          <w:kern w:val="0"/>
          <w:sz w:val="32"/>
          <w:szCs w:val="32"/>
          <w:highlight w:val="none"/>
          <w:shd w:val="clear" w:color="auto" w:fill="FFFFFF"/>
        </w:rPr>
        <w:t>16.提升流浪救助管理服务效能。</w:t>
      </w:r>
      <w:r>
        <w:rPr>
          <w:rFonts w:hint="eastAsia" w:ascii="方正仿宋_GBK" w:hAnsi="方正仿宋_GBK" w:eastAsia="方正仿宋_GBK" w:cs="方正仿宋_GBK"/>
          <w:color w:val="000000"/>
          <w:sz w:val="32"/>
          <w:szCs w:val="32"/>
          <w:highlight w:val="none"/>
        </w:rPr>
        <w:t>认真落实《进一步加强流浪乞讨人员救助管理工作的通知》，探索救助管理规范化、服务专业化、手段数字化、机制协同化、资源系统化的创新发展路径。强化部门协同配合，在街面救助、站内管理、医疗救治、寻亲安置、源头治理等重点工作环节建机制、压责任、提质量、优服务，全面提升救助管理人员能力水平。推进市级区域中心站试点，以点带面，切实发挥优势补齐短板，坚持“立足本区、带动周边”方针，服务全市“</w:t>
      </w:r>
      <w:r>
        <w:rPr>
          <w:rFonts w:hint="default" w:ascii="Times New Roman" w:hAnsi="Times New Roman" w:eastAsia="方正仿宋_GBK" w:cs="Times New Roman"/>
          <w:color w:val="000000"/>
          <w:sz w:val="32"/>
          <w:szCs w:val="32"/>
          <w:highlight w:val="none"/>
        </w:rPr>
        <w:t>1+6+N”</w:t>
      </w:r>
      <w:r>
        <w:rPr>
          <w:rFonts w:hint="eastAsia" w:ascii="方正仿宋_GBK" w:hAnsi="方正仿宋_GBK" w:eastAsia="方正仿宋_GBK" w:cs="方正仿宋_GBK"/>
          <w:color w:val="000000"/>
          <w:sz w:val="32"/>
          <w:szCs w:val="32"/>
          <w:highlight w:val="none"/>
        </w:rPr>
        <w:t>救助管理架构体系工作大局。</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五、推进</w:t>
      </w:r>
      <w:r>
        <w:rPr>
          <w:rFonts w:hint="eastAsia" w:eastAsia="方正黑体_GBK"/>
          <w:sz w:val="32"/>
          <w:szCs w:val="32"/>
          <w:highlight w:val="none"/>
        </w:rPr>
        <w:t>“</w:t>
      </w:r>
      <w:r>
        <w:rPr>
          <w:rFonts w:eastAsia="方正黑体_GBK"/>
          <w:sz w:val="32"/>
          <w:szCs w:val="32"/>
          <w:highlight w:val="none"/>
        </w:rPr>
        <w:t>渝童守护</w:t>
      </w:r>
      <w:r>
        <w:rPr>
          <w:rFonts w:hint="eastAsia" w:eastAsia="方正黑体_GBK"/>
          <w:sz w:val="32"/>
          <w:szCs w:val="32"/>
          <w:highlight w:val="none"/>
        </w:rPr>
        <w:t>”</w:t>
      </w:r>
      <w:r>
        <w:rPr>
          <w:rFonts w:eastAsia="方正黑体_GBK"/>
          <w:sz w:val="32"/>
          <w:szCs w:val="32"/>
          <w:highlight w:val="none"/>
        </w:rPr>
        <w:t>行动，打造全国儿童福利</w:t>
      </w:r>
      <w:r>
        <w:rPr>
          <w:rFonts w:hint="eastAsia" w:eastAsia="方正黑体_GBK"/>
          <w:sz w:val="32"/>
          <w:szCs w:val="32"/>
          <w:highlight w:val="none"/>
        </w:rPr>
        <w:t>机构</w:t>
      </w:r>
      <w:r>
        <w:rPr>
          <w:rFonts w:eastAsia="方正黑体_GBK"/>
          <w:sz w:val="32"/>
          <w:szCs w:val="32"/>
          <w:highlight w:val="none"/>
        </w:rPr>
        <w:t>高质量发展</w:t>
      </w:r>
      <w:r>
        <w:rPr>
          <w:rFonts w:hint="eastAsia" w:eastAsia="方正黑体_GBK"/>
          <w:sz w:val="32"/>
          <w:szCs w:val="32"/>
          <w:highlight w:val="none"/>
        </w:rPr>
        <w:t>实践</w:t>
      </w:r>
      <w:r>
        <w:rPr>
          <w:rFonts w:eastAsia="方正黑体_GBK"/>
          <w:sz w:val="32"/>
          <w:szCs w:val="32"/>
          <w:highlight w:val="none"/>
        </w:rPr>
        <w:t>基地</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sz w:val="32"/>
          <w:szCs w:val="32"/>
          <w:highlight w:val="none"/>
        </w:rPr>
      </w:pPr>
      <w:r>
        <w:rPr>
          <w:rFonts w:hint="eastAsia" w:eastAsia="方正楷体_GBK"/>
          <w:color w:val="000000"/>
          <w:sz w:val="32"/>
          <w:szCs w:val="32"/>
          <w:highlight w:val="none"/>
        </w:rPr>
        <w:t>17.加强困境儿童分类保障。</w:t>
      </w:r>
      <w:r>
        <w:rPr>
          <w:rFonts w:hint="eastAsia" w:ascii="方正仿宋_GBK" w:hAnsi="方正仿宋_GBK" w:eastAsia="方正仿宋_GBK" w:cs="方正仿宋_GBK"/>
          <w:color w:val="000000"/>
          <w:sz w:val="32"/>
          <w:szCs w:val="32"/>
          <w:highlight w:val="none"/>
        </w:rPr>
        <w:t>全面落实孤儿、事实无人抚养儿童基本保障政策，落实基本生活保障标准自然增长机制和保障比对核查机制，优化事实无人抚养儿童保障政策。持续实施孤儿、事实无人抚养儿童福彩圆梦助学项目，落实医疗保险资助和医疗救助政策，落实孤儿、事实无人抚养儿童医疗康复“明天计划”项目政策制度，深化“沙磁明天”关爱计划。</w:t>
      </w:r>
      <w:r>
        <w:rPr>
          <w:rFonts w:hint="eastAsia" w:eastAsia="方正仿宋_GBK"/>
          <w:sz w:val="32"/>
          <w:szCs w:val="32"/>
          <w:highlight w:val="none"/>
          <w:lang w:eastAsia="zh-CN"/>
        </w:rPr>
        <w:t>制定</w:t>
      </w:r>
      <w:r>
        <w:rPr>
          <w:rFonts w:hint="eastAsia" w:eastAsia="方正仿宋_GBK"/>
          <w:sz w:val="32"/>
          <w:szCs w:val="32"/>
          <w:highlight w:val="none"/>
        </w:rPr>
        <w:t>《</w:t>
      </w:r>
      <w:r>
        <w:rPr>
          <w:rFonts w:hint="eastAsia" w:eastAsia="方正仿宋_GBK"/>
          <w:sz w:val="32"/>
          <w:szCs w:val="32"/>
          <w:highlight w:val="none"/>
          <w:lang w:eastAsia="zh-CN"/>
        </w:rPr>
        <w:t>儿童</w:t>
      </w:r>
      <w:r>
        <w:rPr>
          <w:rFonts w:hint="eastAsia" w:eastAsia="方正仿宋_GBK"/>
          <w:sz w:val="32"/>
          <w:szCs w:val="32"/>
          <w:highlight w:val="none"/>
        </w:rPr>
        <w:t>收养登记服务规范》行业标准</w:t>
      </w:r>
      <w:r>
        <w:rPr>
          <w:rFonts w:hint="eastAsia" w:eastAsia="方正仿宋_GBK"/>
          <w:sz w:val="32"/>
          <w:szCs w:val="32"/>
          <w:highlight w:val="none"/>
          <w:lang w:eastAsia="zh-CN"/>
        </w:rPr>
        <w:t>，</w:t>
      </w:r>
      <w:r>
        <w:rPr>
          <w:rFonts w:eastAsia="方正仿宋_GBK"/>
          <w:sz w:val="32"/>
          <w:szCs w:val="32"/>
          <w:highlight w:val="none"/>
        </w:rPr>
        <w:t>依法开展收养登记工作。</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rPr>
      </w:pPr>
      <w:r>
        <w:rPr>
          <w:rFonts w:eastAsia="方正楷体_GBK"/>
          <w:color w:val="000000"/>
          <w:sz w:val="32"/>
          <w:szCs w:val="32"/>
          <w:highlight w:val="none"/>
        </w:rPr>
        <w:t>1</w:t>
      </w:r>
      <w:r>
        <w:rPr>
          <w:rFonts w:hint="eastAsia" w:eastAsia="方正楷体_GBK"/>
          <w:color w:val="000000"/>
          <w:sz w:val="32"/>
          <w:szCs w:val="32"/>
          <w:highlight w:val="none"/>
        </w:rPr>
        <w:t>8</w:t>
      </w:r>
      <w:r>
        <w:rPr>
          <w:rFonts w:eastAsia="方正楷体_GBK"/>
          <w:color w:val="000000"/>
          <w:sz w:val="32"/>
          <w:szCs w:val="32"/>
          <w:highlight w:val="none"/>
        </w:rPr>
        <w:t>.深化儿童关爱服务工作。</w:t>
      </w:r>
      <w:r>
        <w:rPr>
          <w:rFonts w:hint="eastAsia" w:eastAsia="方正仿宋_GBK"/>
          <w:sz w:val="32"/>
          <w:szCs w:val="32"/>
          <w:highlight w:val="none"/>
        </w:rPr>
        <w:t>聚力打造“渝童守护”关爱服务品牌，加强留守、流动儿童摸排，动态更新数据。持续实施“留守儿童和困境儿童关爱服务质量提升三年行动”“加强流动儿童关爱保护行动”，常态化开展心理健康、亲情陪伴、安全守护、走访探视等服务。加强困境儿童心理健康关爱服务，办好“童心相伴”困境和留守儿童心理健康关爱服务民生实事。加强监护监督指导，完善监护帮扶体系，推动监护兜底规范化标准化建设。开展流动儿童、留守儿童关爱服务体系市级试点工作，打造可感可及的标志性成果。</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color w:val="auto"/>
          <w:sz w:val="32"/>
          <w:szCs w:val="32"/>
          <w:highlight w:val="none"/>
        </w:rPr>
      </w:pPr>
      <w:r>
        <w:rPr>
          <w:rFonts w:hint="eastAsia" w:eastAsia="方正仿宋_GBK"/>
          <w:sz w:val="32"/>
          <w:szCs w:val="32"/>
          <w:highlight w:val="none"/>
        </w:rPr>
        <w:t>19.推动儿童福利能力建设。推动未成年人救助保护机构规范化运行，完善综合服务功能，发挥生活帮扶、临时监护、指导协调、宣传培训等作用。持续选优配强儿童督导员、儿童主任，深化儿童主任赋能增效行动，强化业务培训，积极组织人员参加全市首届儿童主任技能大赛，推荐儿童服务创新案例评选。</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六、推进</w:t>
      </w:r>
      <w:r>
        <w:rPr>
          <w:rFonts w:hint="eastAsia" w:eastAsia="方正黑体_GBK"/>
          <w:sz w:val="32"/>
          <w:szCs w:val="32"/>
          <w:highlight w:val="none"/>
        </w:rPr>
        <w:t>“</w:t>
      </w:r>
      <w:r>
        <w:rPr>
          <w:rFonts w:eastAsia="方正黑体_GBK"/>
          <w:sz w:val="32"/>
          <w:szCs w:val="32"/>
          <w:highlight w:val="none"/>
        </w:rPr>
        <w:t>渝社有为</w:t>
      </w:r>
      <w:r>
        <w:rPr>
          <w:rFonts w:hint="eastAsia" w:eastAsia="方正黑体_GBK"/>
          <w:sz w:val="32"/>
          <w:szCs w:val="32"/>
          <w:highlight w:val="none"/>
        </w:rPr>
        <w:t>”</w:t>
      </w:r>
      <w:r>
        <w:rPr>
          <w:rFonts w:eastAsia="方正黑体_GBK"/>
          <w:sz w:val="32"/>
          <w:szCs w:val="32"/>
          <w:highlight w:val="none"/>
        </w:rPr>
        <w:t>行动，引导社会组织在现代化新重庆建设中建功立业</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rPr>
      </w:pPr>
      <w:r>
        <w:rPr>
          <w:rFonts w:hint="eastAsia" w:eastAsia="方正楷体_GBK"/>
          <w:color w:val="000000"/>
          <w:sz w:val="32"/>
          <w:szCs w:val="32"/>
          <w:highlight w:val="none"/>
        </w:rPr>
        <w:t>20.强化社会组织党建工作。</w:t>
      </w:r>
      <w:r>
        <w:rPr>
          <w:rFonts w:hint="eastAsia" w:eastAsia="方正仿宋_GBK"/>
          <w:sz w:val="32"/>
          <w:szCs w:val="32"/>
          <w:highlight w:val="none"/>
        </w:rPr>
        <w:t>加强与党建工作机关、业务主管单位、行业管理部门协同，推动广大社会组织深入学习贯彻习近平新时代中国特色社会主义思想，把党建工作贯穿社会组织成立、变更、年检、换届等管理全流程，有效实现党的组织和党的工作全覆盖。持续推进社会组织党建“六同步、三纳入、一共享”工作，推动党组织班子成员与管理层“双向进入、交叉任职”。</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楷体_GBK"/>
          <w:sz w:val="32"/>
          <w:szCs w:val="32"/>
          <w:highlight w:val="none"/>
          <w:lang w:eastAsia="zh-CN"/>
        </w:rPr>
      </w:pPr>
      <w:r>
        <w:rPr>
          <w:rFonts w:hint="eastAsia" w:eastAsia="方正楷体_GBK"/>
          <w:color w:val="000000"/>
          <w:sz w:val="32"/>
          <w:szCs w:val="32"/>
          <w:highlight w:val="none"/>
        </w:rPr>
        <w:t>21.加强社会组织规范管理。</w:t>
      </w:r>
      <w:r>
        <w:rPr>
          <w:rFonts w:hint="eastAsia" w:eastAsia="方正仿宋_GBK"/>
          <w:sz w:val="32"/>
          <w:szCs w:val="32"/>
          <w:highlight w:val="none"/>
        </w:rPr>
        <w:t>严格落实社会组织登记管理制度，积极开展社会组织等级评估。扎实开展2024年度社会组织年检工作，组织开展社会组织“双随机、一公开”抽查检查工作。“零容忍”打击整治非法社会组织，积极稳妥做好重点个案处置。持续深化社会组织收费行为监管，规范社会组织开展评比达标表彰、举办庆典展会论坛。开展社会组织分类统计工作，规范社会组织信用信息管理，促进社会组织精细化管理。加强社会组织数据管理、共享与公开，提升信用监管水平，依法查处社会组织违法违规行为。开展社会组织规范化建设专项行动，实施社会组织登记规范化建设行动、社会组织治理规范化建设行动、社会服务机构监管效能提升行动、社会组织行政执法能力提升行动、社会组织信用监管建设行动和社会组织文化建设提升行动，促进完善社会组织政策制度体系、服务保障体系、监督管理体系、社会参与体系，长效化推动社会组织高质量发展。</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楷体_GBK"/>
          <w:color w:val="000000"/>
          <w:sz w:val="32"/>
          <w:szCs w:val="32"/>
          <w:highlight w:val="none"/>
        </w:rPr>
      </w:pPr>
      <w:r>
        <w:rPr>
          <w:rFonts w:hint="eastAsia" w:eastAsia="方正楷体_GBK"/>
          <w:color w:val="000000"/>
          <w:sz w:val="32"/>
          <w:szCs w:val="32"/>
          <w:highlight w:val="none"/>
        </w:rPr>
        <w:t>22.推动社会组织登记改革。</w:t>
      </w:r>
      <w:r>
        <w:rPr>
          <w:rFonts w:hint="eastAsia" w:eastAsia="方正仿宋_GBK"/>
          <w:sz w:val="32"/>
          <w:szCs w:val="32"/>
          <w:highlight w:val="none"/>
        </w:rPr>
        <w:t>贯彻落实《社会组织名称管理办法》，引导和支持在“33618”现代制造业集群体系、西部陆海新通道等重点领域、关键领域发挥作用的社会组织登记成立，深化社会组织成立“一件事”。严格开展登记审查，持续优化社会组织层级、领域和类型布局，定期召开新成立社会组织负责人见面座谈会。探索民办非企业单位负责人工作经验交流沙龙机制，商事调解组织登记管理规范。落实社会组织注销登记相关规定，探索开展社会组织简易注销工作。</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ascii="Times New Roman" w:hAnsi="Times New Roman" w:eastAsia="方正仿宋_GBK" w:cs="Times New Roman"/>
          <w:sz w:val="32"/>
          <w:szCs w:val="32"/>
          <w:highlight w:val="none"/>
          <w:lang w:eastAsia="zh-CN"/>
        </w:rPr>
      </w:pPr>
      <w:r>
        <w:rPr>
          <w:rFonts w:hint="eastAsia" w:eastAsia="方正楷体_GBK"/>
          <w:color w:val="000000"/>
          <w:sz w:val="32"/>
          <w:szCs w:val="32"/>
          <w:highlight w:val="none"/>
        </w:rPr>
        <w:t>23.引导社会组织发挥作用。</w:t>
      </w:r>
      <w:r>
        <w:rPr>
          <w:rFonts w:hint="eastAsia" w:eastAsia="方正仿宋_GBK"/>
          <w:sz w:val="32"/>
          <w:szCs w:val="32"/>
          <w:highlight w:val="none"/>
        </w:rPr>
        <w:t>持续深入开展社会组织能力提升“五个一”专项行动，引导社会组织围绕党和国家战略发展大局和全区服务经济社会发展需要，在参与基层社会治理、成渝地区双城经济圈建设、东西部协作、乡村振兴等方面发挥积极作用。持续开展“毕业季红岩社工计划”，推动社会组织努力在服务“一老一小”“一困一残”等方面和助力高校毕业生就业工作中持续发挥积极作用，进一步稳住存量岗位、扩大增量规模。积极培育扶持基层公益性、服务性、互助性社会组织。</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七、推进</w:t>
      </w:r>
      <w:r>
        <w:rPr>
          <w:rFonts w:hint="eastAsia" w:eastAsia="方正黑体_GBK"/>
          <w:sz w:val="32"/>
          <w:szCs w:val="32"/>
          <w:highlight w:val="none"/>
        </w:rPr>
        <w:t>“</w:t>
      </w:r>
      <w:r>
        <w:rPr>
          <w:rFonts w:eastAsia="方正黑体_GBK"/>
          <w:sz w:val="32"/>
          <w:szCs w:val="32"/>
          <w:highlight w:val="none"/>
        </w:rPr>
        <w:t>善满山城</w:t>
      </w:r>
      <w:r>
        <w:rPr>
          <w:rFonts w:hint="eastAsia" w:eastAsia="方正黑体_GBK"/>
          <w:sz w:val="32"/>
          <w:szCs w:val="32"/>
          <w:highlight w:val="none"/>
        </w:rPr>
        <w:t>”</w:t>
      </w:r>
      <w:r>
        <w:rPr>
          <w:rFonts w:eastAsia="方正黑体_GBK"/>
          <w:sz w:val="32"/>
          <w:szCs w:val="32"/>
          <w:highlight w:val="none"/>
        </w:rPr>
        <w:t>行动，建设西部慈善事业发展高地</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lang w:val="en-US" w:eastAsia="zh-CN"/>
        </w:rPr>
      </w:pPr>
      <w:r>
        <w:rPr>
          <w:rFonts w:hint="eastAsia" w:eastAsia="方正楷体_GBK"/>
          <w:sz w:val="32"/>
          <w:szCs w:val="32"/>
          <w:highlight w:val="none"/>
        </w:rPr>
        <w:t>24.大力发展慈善事业。</w:t>
      </w:r>
      <w:r>
        <w:rPr>
          <w:rFonts w:hint="eastAsia" w:eastAsia="方正仿宋_GBK"/>
          <w:sz w:val="32"/>
          <w:szCs w:val="32"/>
          <w:highlight w:val="none"/>
        </w:rPr>
        <w:t>持续推进“六大慈善”。贯彻落实《中华人民共和国慈善法》《重庆市慈善条例》，研究制定社区慈善促进、慈善组织财务管理规范、互联网募捐活动规范、涉医类慈善救助活动规范等系列配套文件。加快推进社区慈善基金规范设立和慈善服务场景打造，大力支持公益集市举办，推进公益慈善服务联合体建设，全面建设覆盖城乡社区的慈善发展体系，实现镇街社区慈善基金全覆盖。发挥慈善行业组织作用，推进慈善组织发展。支持互联网慈善发展，推动数字慈善平台建设。</w:t>
      </w:r>
      <w:r>
        <w:rPr>
          <w:rFonts w:hint="eastAsia" w:eastAsia="方正仿宋_GBK"/>
          <w:kern w:val="32"/>
          <w:sz w:val="32"/>
          <w:szCs w:val="32"/>
          <w:highlight w:val="none"/>
        </w:rPr>
        <w:t>推进志愿重庆建设，支持公益慈善事业发展</w:t>
      </w:r>
      <w:r>
        <w:rPr>
          <w:rFonts w:hint="eastAsia" w:eastAsia="方正仿宋_GBK"/>
          <w:kern w:val="32"/>
          <w:sz w:val="32"/>
          <w:szCs w:val="32"/>
          <w:highlight w:val="none"/>
          <w:lang w:eastAsia="zh-CN"/>
        </w:rPr>
        <w:t>。</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楷体_GBK"/>
          <w:sz w:val="32"/>
          <w:szCs w:val="32"/>
          <w:highlight w:val="none"/>
        </w:rPr>
      </w:pPr>
      <w:r>
        <w:rPr>
          <w:rFonts w:hint="eastAsia" w:eastAsia="方正楷体_GBK"/>
          <w:sz w:val="32"/>
          <w:szCs w:val="32"/>
          <w:highlight w:val="none"/>
        </w:rPr>
        <w:t>25.全面加强慈善监管。</w:t>
      </w:r>
      <w:r>
        <w:rPr>
          <w:rFonts w:hint="eastAsia" w:eastAsia="方正仿宋_GBK"/>
          <w:sz w:val="32"/>
          <w:szCs w:val="32"/>
          <w:highlight w:val="none"/>
        </w:rPr>
        <w:t>深入推进慈善组织管理漏洞和风险隐患排查整治专项行动，全面完成问题整改，建立健全风险防范长效机制。持续推进“阳光慈善”工程，加强慈善组织慈善项目信息公开，提升慈善公信力。开展专项审计检查，强化慈善日常监管，推动健全部门综合监管，加强信息共享和联合惩戒力度。</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rPr>
      </w:pPr>
      <w:r>
        <w:rPr>
          <w:rFonts w:hint="eastAsia" w:eastAsia="方正楷体_GBK"/>
          <w:sz w:val="32"/>
          <w:szCs w:val="32"/>
          <w:highlight w:val="none"/>
        </w:rPr>
        <w:t>26.推动福利彩票事业健康发展。</w:t>
      </w:r>
      <w:r>
        <w:rPr>
          <w:rFonts w:hint="eastAsia" w:eastAsia="方正仿宋_GBK"/>
          <w:sz w:val="32"/>
          <w:szCs w:val="32"/>
          <w:highlight w:val="none"/>
        </w:rPr>
        <w:t>推进销售渠道管理改革，有效提升渠道质量，创新推进销售方式，巩固稳定福利彩票发行销售增长态势，力争2025年福彩销售突破2.6亿元。深化打造“福彩，让美好发生”公益品牌，持续推进责任彩票建设，不断提升福彩社会影响力。加强福彩公益金管理和使用效果宣传。</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八、推进</w:t>
      </w:r>
      <w:r>
        <w:rPr>
          <w:rFonts w:hint="eastAsia" w:eastAsia="方正黑体_GBK"/>
          <w:sz w:val="32"/>
          <w:szCs w:val="32"/>
          <w:highlight w:val="none"/>
        </w:rPr>
        <w:t>“</w:t>
      </w:r>
      <w:r>
        <w:rPr>
          <w:rFonts w:eastAsia="方正黑体_GBK"/>
          <w:sz w:val="32"/>
          <w:szCs w:val="32"/>
          <w:highlight w:val="none"/>
        </w:rPr>
        <w:t>逝有所安</w:t>
      </w:r>
      <w:r>
        <w:rPr>
          <w:rFonts w:hint="eastAsia" w:eastAsia="方正黑体_GBK"/>
          <w:sz w:val="32"/>
          <w:szCs w:val="32"/>
          <w:highlight w:val="none"/>
        </w:rPr>
        <w:t>”</w:t>
      </w:r>
      <w:r>
        <w:rPr>
          <w:rFonts w:eastAsia="方正黑体_GBK"/>
          <w:sz w:val="32"/>
          <w:szCs w:val="32"/>
          <w:highlight w:val="none"/>
        </w:rPr>
        <w:t>行动，促进殡葬服务管理水平全面提升</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rPr>
      </w:pPr>
      <w:r>
        <w:rPr>
          <w:rFonts w:hint="eastAsia" w:eastAsia="方正楷体_GBK"/>
          <w:color w:val="000000"/>
          <w:kern w:val="0"/>
          <w:sz w:val="32"/>
          <w:szCs w:val="32"/>
          <w:highlight w:val="none"/>
          <w:shd w:val="clear" w:color="auto" w:fill="FFFFFF"/>
        </w:rPr>
        <w:t>27.扎实推进民政系统整治殡葬领域腐败乱象专项行动。</w:t>
      </w:r>
      <w:r>
        <w:rPr>
          <w:rFonts w:hint="eastAsia" w:eastAsia="方正仿宋_GBK"/>
          <w:sz w:val="32"/>
          <w:szCs w:val="32"/>
          <w:highlight w:val="none"/>
        </w:rPr>
        <w:t>积极配合修订完善《重庆市殡葬服务收费管理暂行办法》，建立健全殡葬服务收费价格定价机制、殡葬服务收费项目及价格动态调整机制，抓好殡葬服务机构减项降费优服务工作。强化协同联动，推动建立全区殡葬领域综合监管机制，依法管理和规范殡葬服务市场，畅通监督举报渠道。持续做好自查自纠，深入开展打击殡葬“黑中介”、虚开伪造买卖火化证明、查处非法改装车辆运输遗体、非法扩建违规占地等专项整治，推动专项行动取得实效。</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color w:val="auto"/>
          <w:kern w:val="0"/>
          <w:sz w:val="32"/>
          <w:szCs w:val="32"/>
          <w:highlight w:val="none"/>
          <w:shd w:val="clear" w:color="auto" w:fill="FFFFFF"/>
        </w:rPr>
      </w:pPr>
      <w:r>
        <w:rPr>
          <w:rFonts w:hint="eastAsia" w:eastAsia="方正楷体_GBK"/>
          <w:color w:val="000000"/>
          <w:kern w:val="0"/>
          <w:sz w:val="32"/>
          <w:szCs w:val="32"/>
          <w:highlight w:val="none"/>
          <w:shd w:val="clear" w:color="auto" w:fill="FFFFFF"/>
        </w:rPr>
        <w:t>28.持续深化殡葬改革。</w:t>
      </w:r>
      <w:r>
        <w:rPr>
          <w:rFonts w:hint="eastAsia" w:eastAsia="方正仿宋_GBK"/>
          <w:sz w:val="32"/>
          <w:szCs w:val="32"/>
          <w:highlight w:val="none"/>
        </w:rPr>
        <w:t>建立完善殡葬领域跨部门综合监管制度，强化工作协同，提升监管质效。落实惠民殡葬政策，支持逐步扩大基本殡葬服务减免范围。加大殡葬领域移风易俗宣传力度，实现祭扫服务平安。</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九、推进“幸福婚登”行动，促进“婚登+”融合发展</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rPr>
      </w:pPr>
      <w:r>
        <w:rPr>
          <w:rFonts w:hint="eastAsia" w:eastAsia="方正楷体_GBK"/>
          <w:color w:val="000000"/>
          <w:kern w:val="0"/>
          <w:sz w:val="32"/>
          <w:szCs w:val="32"/>
          <w:highlight w:val="none"/>
          <w:shd w:val="clear" w:color="auto" w:fill="FFFFFF"/>
        </w:rPr>
        <w:t>29.优化婚姻登记管理服务。</w:t>
      </w:r>
      <w:r>
        <w:rPr>
          <w:rFonts w:hint="eastAsia" w:eastAsia="方正仿宋_GBK"/>
          <w:sz w:val="32"/>
          <w:szCs w:val="32"/>
          <w:highlight w:val="none"/>
        </w:rPr>
        <w:t>积极配合市民政局推进婚姻登记“跨省能办”“全市能办”试点工作。落实“结婚落户一件事”迭代升级工作，实现一次填报，集成办理。应用婚姻登记管理信息系统，实现婚姻登记数据和婚姻登记电子档案联网联调。开展婚姻登记能力提升培训，提高婚姻登记员服务水平，实现服务标准化、规范化、人性化。</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rPr>
      </w:pPr>
      <w:r>
        <w:rPr>
          <w:rFonts w:hint="eastAsia" w:eastAsia="方正楷体_GBK"/>
          <w:color w:val="000000"/>
          <w:kern w:val="0"/>
          <w:sz w:val="32"/>
          <w:szCs w:val="32"/>
          <w:highlight w:val="none"/>
          <w:shd w:val="clear" w:color="auto" w:fill="FFFFFF"/>
        </w:rPr>
        <w:t>30.强化婚姻家庭辅导服务。</w:t>
      </w:r>
      <w:r>
        <w:rPr>
          <w:rFonts w:hint="eastAsia" w:eastAsia="方正仿宋_GBK"/>
          <w:sz w:val="32"/>
          <w:szCs w:val="32"/>
          <w:highlight w:val="none"/>
        </w:rPr>
        <w:t>持续实施“家和计划”，联合区教委开展“青春课堂”讲座，依托沙坪坝文化大区优势，针对16所高校30余万在校大学生，每年开展1次“婚恋课堂进高校”活动，加强年轻人婚恋观、生育观、家庭观引导，提升青年婚恋素养。联合区妇联开展“红岩嫁校”活动，为有需求的家庭提供全面、深入的婚姻辅导，涵盖婚前辅导、婚内关系调适、家庭关系维护等专业服务，帮助树立健康婚姻观念，促进家庭和谐幸福。联合区法院开展法律服务“微宣讲”活动，邀请法官每年为新人开展2-3次婚姻法讲座，提升新婚夫妇法律意识。</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仿宋_GBK"/>
          <w:sz w:val="32"/>
          <w:szCs w:val="32"/>
          <w:highlight w:val="none"/>
        </w:rPr>
      </w:pPr>
      <w:r>
        <w:rPr>
          <w:rFonts w:hint="eastAsia" w:eastAsia="方正楷体_GBK"/>
          <w:color w:val="000000"/>
          <w:kern w:val="0"/>
          <w:sz w:val="32"/>
          <w:szCs w:val="32"/>
          <w:highlight w:val="none"/>
          <w:shd w:val="clear" w:color="auto" w:fill="FFFFFF"/>
        </w:rPr>
        <w:t>31.深化“婚登+”融合发展。</w:t>
      </w:r>
      <w:r>
        <w:rPr>
          <w:rFonts w:hint="eastAsia" w:eastAsia="方正仿宋_GBK"/>
          <w:sz w:val="32"/>
          <w:szCs w:val="32"/>
          <w:highlight w:val="none"/>
        </w:rPr>
        <w:t>深入推进磁器口特色婚姻登记场所和户外颁证点建设。设置“甜蜜路线”，完善情侣打卡十二景。助力“囍爱联盟”商家，打造婚恋消费新场景。开展“磁处有囍•幸福有你”集体颁证仪式、“春风满巴渝•沙磁在行动”集体婚礼暨“红岩•银龄”金婚典礼、“非遗+婚俗文化”、寻找“最美爱情故事”等活动。加强婚姻登记场所文化建设，精心布置“婚俗文化展示专区”，展示沙磁代代传颂的夫妻恩爱情缘故事。倡导现代文明健康节俭的婚俗新风，传承发展中华优秀婚姻家庭文化，不断提升社会文明程度和群众精神面貌。</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十、推进</w:t>
      </w:r>
      <w:r>
        <w:rPr>
          <w:rFonts w:hint="eastAsia" w:eastAsia="方正黑体_GBK"/>
          <w:sz w:val="32"/>
          <w:szCs w:val="32"/>
          <w:highlight w:val="none"/>
        </w:rPr>
        <w:t>“</w:t>
      </w:r>
      <w:r>
        <w:rPr>
          <w:rFonts w:eastAsia="方正黑体_GBK"/>
          <w:sz w:val="32"/>
          <w:szCs w:val="32"/>
          <w:highlight w:val="none"/>
        </w:rPr>
        <w:t>精康融合</w:t>
      </w:r>
      <w:r>
        <w:rPr>
          <w:rFonts w:hint="eastAsia" w:eastAsia="方正黑体_GBK"/>
          <w:sz w:val="32"/>
          <w:szCs w:val="32"/>
          <w:highlight w:val="none"/>
        </w:rPr>
        <w:t>”</w:t>
      </w:r>
      <w:r>
        <w:rPr>
          <w:rFonts w:eastAsia="方正黑体_GBK"/>
          <w:sz w:val="32"/>
          <w:szCs w:val="32"/>
          <w:highlight w:val="none"/>
        </w:rPr>
        <w:t>行动，提升精神障碍社区康复服务水平</w:t>
      </w:r>
    </w:p>
    <w:p>
      <w:pPr>
        <w:keepNext w:val="0"/>
        <w:keepLines w:val="0"/>
        <w:pageBreakBefore w:val="0"/>
        <w:widowControl w:val="0"/>
        <w:kinsoku/>
        <w:wordWrap/>
        <w:overflowPunct w:val="0"/>
        <w:topLinePunct w:val="0"/>
        <w:bidi w:val="0"/>
        <w:adjustRightInd w:val="0"/>
        <w:snapToGrid w:val="0"/>
        <w:spacing w:line="570" w:lineRule="exact"/>
        <w:ind w:firstLine="628" w:firstLineChars="200"/>
        <w:textAlignment w:val="center"/>
        <w:rPr>
          <w:rFonts w:hint="eastAsia" w:eastAsia="方正仿宋_GBK"/>
          <w:color w:val="171A1D"/>
          <w:sz w:val="32"/>
          <w:szCs w:val="32"/>
          <w:highlight w:val="none"/>
          <w:shd w:val="clear" w:color="auto" w:fill="FFFFFF"/>
        </w:rPr>
      </w:pPr>
      <w:r>
        <w:rPr>
          <w:rFonts w:eastAsia="方正楷体_GBK"/>
          <w:bCs/>
          <w:color w:val="000000"/>
          <w:spacing w:val="-3"/>
          <w:sz w:val="32"/>
          <w:szCs w:val="32"/>
          <w:highlight w:val="none"/>
        </w:rPr>
        <w:t>3</w:t>
      </w:r>
      <w:r>
        <w:rPr>
          <w:rFonts w:hint="eastAsia" w:eastAsia="方正楷体_GBK"/>
          <w:bCs/>
          <w:color w:val="000000"/>
          <w:spacing w:val="-3"/>
          <w:sz w:val="32"/>
          <w:szCs w:val="32"/>
          <w:highlight w:val="none"/>
        </w:rPr>
        <w:t>2</w:t>
      </w:r>
      <w:r>
        <w:rPr>
          <w:rFonts w:eastAsia="方正楷体_GBK"/>
          <w:bCs/>
          <w:color w:val="000000"/>
          <w:spacing w:val="-3"/>
          <w:sz w:val="32"/>
          <w:szCs w:val="32"/>
          <w:highlight w:val="none"/>
        </w:rPr>
        <w:t>.深入实施</w:t>
      </w:r>
      <w:r>
        <w:rPr>
          <w:rFonts w:hint="eastAsia" w:eastAsia="方正楷体_GBK"/>
          <w:bCs/>
          <w:color w:val="000000"/>
          <w:spacing w:val="-3"/>
          <w:sz w:val="32"/>
          <w:szCs w:val="32"/>
          <w:highlight w:val="none"/>
        </w:rPr>
        <w:t>“</w:t>
      </w:r>
      <w:r>
        <w:rPr>
          <w:rFonts w:eastAsia="方正楷体_GBK"/>
          <w:bCs/>
          <w:color w:val="000000"/>
          <w:spacing w:val="-3"/>
          <w:sz w:val="32"/>
          <w:szCs w:val="32"/>
          <w:highlight w:val="none"/>
        </w:rPr>
        <w:t>精康融合行动</w:t>
      </w:r>
      <w:r>
        <w:rPr>
          <w:rFonts w:hint="eastAsia" w:eastAsia="方正楷体_GBK"/>
          <w:bCs/>
          <w:color w:val="000000"/>
          <w:spacing w:val="-3"/>
          <w:sz w:val="32"/>
          <w:szCs w:val="32"/>
          <w:highlight w:val="none"/>
        </w:rPr>
        <w:t>”</w:t>
      </w:r>
      <w:r>
        <w:rPr>
          <w:rFonts w:eastAsia="方正楷体_GBK"/>
          <w:bCs/>
          <w:color w:val="000000"/>
          <w:spacing w:val="-3"/>
          <w:sz w:val="32"/>
          <w:szCs w:val="32"/>
          <w:highlight w:val="none"/>
        </w:rPr>
        <w:t>。</w:t>
      </w:r>
      <w:r>
        <w:rPr>
          <w:rFonts w:hint="eastAsia" w:eastAsia="方正仿宋_GBK"/>
          <w:color w:val="171A1D"/>
          <w:sz w:val="32"/>
          <w:szCs w:val="32"/>
          <w:highlight w:val="none"/>
          <w:shd w:val="clear" w:color="auto" w:fill="FFFFFF"/>
        </w:rPr>
        <w:t>推进“渝康家园”扩面提质、增强沙坪坝辨识度，完成“长效机制建设年”目标任务，推动建立精神障碍社区康复服务体系和长效机制。积极参与全市“精康融合行动”经验交流会议，征集一批优秀实践案例。发挥区级技术指导中心示范引导、技术指导作用，提升康复服务机构规范化、专业化服务水平。到2025年底，全区100%的镇街、村（社区）开展精康服务，登记康复对象接受规范服务率达到60%以上。</w:t>
      </w:r>
    </w:p>
    <w:p>
      <w:pPr>
        <w:keepNext w:val="0"/>
        <w:keepLines w:val="0"/>
        <w:pageBreakBefore w:val="0"/>
        <w:widowControl w:val="0"/>
        <w:kinsoku/>
        <w:wordWrap/>
        <w:overflowPunct w:val="0"/>
        <w:topLinePunct w:val="0"/>
        <w:bidi w:val="0"/>
        <w:adjustRightInd w:val="0"/>
        <w:snapToGrid w:val="0"/>
        <w:spacing w:line="570" w:lineRule="exact"/>
        <w:ind w:firstLine="628" w:firstLineChars="200"/>
        <w:textAlignment w:val="center"/>
        <w:rPr>
          <w:rFonts w:hint="eastAsia" w:eastAsia="方正仿宋_GBK"/>
          <w:color w:val="171A1D"/>
          <w:sz w:val="32"/>
          <w:szCs w:val="32"/>
          <w:highlight w:val="none"/>
          <w:shd w:val="clear" w:color="auto" w:fill="FFFFFF"/>
        </w:rPr>
      </w:pPr>
      <w:r>
        <w:rPr>
          <w:rFonts w:eastAsia="方正楷体_GBK"/>
          <w:bCs/>
          <w:color w:val="000000"/>
          <w:spacing w:val="-3"/>
          <w:sz w:val="32"/>
          <w:szCs w:val="32"/>
          <w:highlight w:val="none"/>
        </w:rPr>
        <w:t>3</w:t>
      </w:r>
      <w:r>
        <w:rPr>
          <w:rFonts w:hint="eastAsia" w:eastAsia="方正楷体_GBK"/>
          <w:bCs/>
          <w:color w:val="000000"/>
          <w:spacing w:val="-3"/>
          <w:sz w:val="32"/>
          <w:szCs w:val="32"/>
          <w:highlight w:val="none"/>
        </w:rPr>
        <w:t>3</w:t>
      </w:r>
      <w:r>
        <w:rPr>
          <w:rFonts w:eastAsia="方正楷体_GBK"/>
          <w:bCs/>
          <w:color w:val="000000"/>
          <w:spacing w:val="-3"/>
          <w:sz w:val="32"/>
          <w:szCs w:val="32"/>
          <w:highlight w:val="none"/>
        </w:rPr>
        <w:t>.开展康复辅助器具应用推广。</w:t>
      </w:r>
      <w:r>
        <w:rPr>
          <w:rFonts w:hint="eastAsia" w:eastAsia="方正仿宋_GBK"/>
          <w:color w:val="171A1D"/>
          <w:sz w:val="32"/>
          <w:szCs w:val="32"/>
          <w:highlight w:val="none"/>
          <w:shd w:val="clear" w:color="auto" w:fill="FFFFFF"/>
        </w:rPr>
        <w:t>持续实施2025年“福康工程”项目，为符合条件的受助对象配置假肢、矫形器等康复辅助器具，筛选具有手术适应症的肢体（脊柱除外）畸形患者进行手术矫治，惠及更多残障人员。</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十一、推进</w:t>
      </w:r>
      <w:r>
        <w:rPr>
          <w:rFonts w:hint="eastAsia" w:eastAsia="方正黑体_GBK"/>
          <w:sz w:val="32"/>
          <w:szCs w:val="32"/>
          <w:highlight w:val="none"/>
        </w:rPr>
        <w:t>“</w:t>
      </w:r>
      <w:r>
        <w:rPr>
          <w:rFonts w:eastAsia="方正黑体_GBK"/>
          <w:sz w:val="32"/>
          <w:szCs w:val="32"/>
          <w:highlight w:val="none"/>
        </w:rPr>
        <w:t>乡村著名</w:t>
      </w:r>
      <w:r>
        <w:rPr>
          <w:rFonts w:hint="eastAsia" w:eastAsia="方正黑体_GBK"/>
          <w:sz w:val="32"/>
          <w:szCs w:val="32"/>
          <w:highlight w:val="none"/>
        </w:rPr>
        <w:t>”</w:t>
      </w:r>
      <w:r>
        <w:rPr>
          <w:rFonts w:eastAsia="方正黑体_GBK"/>
          <w:sz w:val="32"/>
          <w:szCs w:val="32"/>
          <w:highlight w:val="none"/>
        </w:rPr>
        <w:t>行动，助力乡村振兴</w:t>
      </w:r>
      <w:r>
        <w:rPr>
          <w:rFonts w:hint="eastAsia" w:eastAsia="方正黑体_GBK"/>
          <w:sz w:val="32"/>
          <w:szCs w:val="32"/>
          <w:highlight w:val="none"/>
        </w:rPr>
        <w:t>提质增效</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楷体_GBK"/>
          <w:color w:val="000000"/>
          <w:sz w:val="32"/>
          <w:szCs w:val="32"/>
          <w:highlight w:val="none"/>
        </w:rPr>
      </w:pPr>
      <w:r>
        <w:rPr>
          <w:rFonts w:hint="eastAsia" w:eastAsia="方正楷体_GBK"/>
          <w:color w:val="000000"/>
          <w:sz w:val="32"/>
          <w:szCs w:val="32"/>
          <w:highlight w:val="none"/>
        </w:rPr>
        <w:t>34.深化行政区划管理。</w:t>
      </w:r>
      <w:r>
        <w:rPr>
          <w:rFonts w:hint="eastAsia" w:eastAsia="方正仿宋_GBK"/>
          <w:sz w:val="32"/>
          <w:szCs w:val="32"/>
          <w:highlight w:val="none"/>
        </w:rPr>
        <w:t>进一步厘清行政区划历史沿革，开展行政区划历史文化研究阐释、宣传弘扬、传承保护、转化利用，收集梳理沙坪坝区行政区划沿革数据，协助建设行政区划沿革市级数据库、基础信息库、信息服务平台。推进行政区划战略研究，稳慎优化镇街行政区划设置。</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hint="eastAsia" w:eastAsia="方正楷体_GBK"/>
          <w:color w:val="000000"/>
          <w:sz w:val="32"/>
          <w:szCs w:val="32"/>
          <w:highlight w:val="none"/>
        </w:rPr>
      </w:pPr>
      <w:r>
        <w:rPr>
          <w:rFonts w:hint="eastAsia" w:eastAsia="方正楷体_GBK"/>
          <w:color w:val="000000"/>
          <w:sz w:val="32"/>
          <w:szCs w:val="32"/>
          <w:highlight w:val="none"/>
        </w:rPr>
        <w:t>35.提升地名公共服务。</w:t>
      </w:r>
      <w:r>
        <w:rPr>
          <w:rFonts w:hint="eastAsia" w:eastAsia="方正仿宋_GBK"/>
          <w:sz w:val="32"/>
          <w:szCs w:val="32"/>
          <w:highlight w:val="none"/>
        </w:rPr>
        <w:t>加大城市重要基础设施名称管理力度，规范“古镇”“古街”“古村”命名。加强备案公告，实现及时准确率100%。深化“乡村著名行动”，深入实施“六个一批”乡村地名服务。加大乡村道路命名力度。继续推动区划地名界线元素融入党群服务中心、乡情馆、村史馆等基层阵地。规范设置地名标志，开展乡村地名研究保护，补充兴趣点和地名采集上图。深化“地名+”，继续实施“地名+产业、文旅、美食”行动，有效推动地名赋能助力乡村振兴。</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color w:val="000000"/>
          <w:kern w:val="0"/>
          <w:sz w:val="32"/>
          <w:szCs w:val="32"/>
          <w:highlight w:val="none"/>
          <w:shd w:val="clear" w:color="auto" w:fill="FFFFFF"/>
        </w:rPr>
      </w:pPr>
      <w:r>
        <w:rPr>
          <w:rFonts w:hint="eastAsia" w:eastAsia="方正楷体_GBK"/>
          <w:color w:val="000000"/>
          <w:sz w:val="32"/>
          <w:szCs w:val="32"/>
          <w:highlight w:val="none"/>
        </w:rPr>
        <w:t>36.加强行政区域界线管理。</w:t>
      </w:r>
      <w:r>
        <w:rPr>
          <w:rFonts w:hint="eastAsia" w:eastAsia="方正仿宋_GBK"/>
          <w:sz w:val="32"/>
          <w:szCs w:val="32"/>
          <w:highlight w:val="none"/>
        </w:rPr>
        <w:t>持续深化平安边界建设，牵头完成“沙坪坝渝北线”区级行政区域界线联合检查。完善乡镇级行政区域界线数据，推进行政区域界线勘定成果运用。加强新时代边界治理，维护边界地区和谐稳定。</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黑体_GBK"/>
          <w:sz w:val="32"/>
          <w:szCs w:val="32"/>
          <w:highlight w:val="none"/>
        </w:rPr>
      </w:pPr>
      <w:r>
        <w:rPr>
          <w:rFonts w:eastAsia="方正黑体_GBK"/>
          <w:sz w:val="32"/>
          <w:szCs w:val="32"/>
          <w:highlight w:val="none"/>
        </w:rPr>
        <w:t>十二、实施</w:t>
      </w:r>
      <w:r>
        <w:rPr>
          <w:rFonts w:hint="eastAsia" w:eastAsia="方正黑体_GBK"/>
          <w:sz w:val="32"/>
          <w:szCs w:val="32"/>
          <w:highlight w:val="none"/>
        </w:rPr>
        <w:t>“七</w:t>
      </w:r>
      <w:r>
        <w:rPr>
          <w:rFonts w:eastAsia="方正黑体_GBK"/>
          <w:sz w:val="32"/>
          <w:szCs w:val="32"/>
          <w:highlight w:val="none"/>
        </w:rPr>
        <w:t>大工程</w:t>
      </w:r>
      <w:r>
        <w:rPr>
          <w:rFonts w:hint="eastAsia" w:eastAsia="方正黑体_GBK"/>
          <w:sz w:val="32"/>
          <w:szCs w:val="32"/>
          <w:highlight w:val="none"/>
        </w:rPr>
        <w:t>”</w:t>
      </w:r>
      <w:r>
        <w:rPr>
          <w:rFonts w:eastAsia="方正黑体_GBK"/>
          <w:sz w:val="32"/>
          <w:szCs w:val="32"/>
          <w:highlight w:val="none"/>
        </w:rPr>
        <w:t>，强化民政基础保障</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sz w:val="32"/>
          <w:szCs w:val="32"/>
          <w:highlight w:val="none"/>
        </w:rPr>
      </w:pPr>
      <w:r>
        <w:rPr>
          <w:rFonts w:eastAsia="方正楷体_GBK"/>
          <w:color w:val="000000"/>
          <w:sz w:val="32"/>
          <w:szCs w:val="32"/>
          <w:highlight w:val="none"/>
        </w:rPr>
        <w:t>3</w:t>
      </w:r>
      <w:r>
        <w:rPr>
          <w:rFonts w:hint="eastAsia" w:eastAsia="方正楷体_GBK"/>
          <w:color w:val="000000"/>
          <w:sz w:val="32"/>
          <w:szCs w:val="32"/>
          <w:highlight w:val="none"/>
        </w:rPr>
        <w:t>7</w:t>
      </w:r>
      <w:r>
        <w:rPr>
          <w:rFonts w:eastAsia="方正楷体_GBK"/>
          <w:color w:val="000000"/>
          <w:sz w:val="32"/>
          <w:szCs w:val="32"/>
          <w:highlight w:val="none"/>
        </w:rPr>
        <w:t>.实施川渝合作工程。</w:t>
      </w:r>
      <w:r>
        <w:rPr>
          <w:rFonts w:eastAsia="方正仿宋_GBK"/>
          <w:sz w:val="32"/>
          <w:szCs w:val="32"/>
          <w:highlight w:val="none"/>
        </w:rPr>
        <w:t>研究制定年度重点合作任务清单，明确社会救助、养老服务、儿童福利、社会事务、社会组织、慈善事业、区划地名等民政合作领域重点任务</w:t>
      </w:r>
      <w:bookmarkStart w:id="0" w:name="OLE_LINK1"/>
      <w:r>
        <w:rPr>
          <w:rFonts w:eastAsia="方正仿宋_GBK"/>
          <w:sz w:val="32"/>
          <w:szCs w:val="32"/>
          <w:highlight w:val="none"/>
        </w:rPr>
        <w:t>。</w:t>
      </w:r>
      <w:bookmarkEnd w:id="0"/>
      <w:r>
        <w:rPr>
          <w:rFonts w:hint="eastAsia" w:eastAsia="方正仿宋_GBK"/>
          <w:color w:val="auto"/>
          <w:sz w:val="32"/>
          <w:szCs w:val="32"/>
          <w:highlight w:val="none"/>
          <w:lang w:eastAsia="zh-CN"/>
        </w:rPr>
        <w:t>与成都市武侯区</w:t>
      </w:r>
      <w:r>
        <w:rPr>
          <w:rFonts w:eastAsia="方正仿宋_GBK"/>
          <w:color w:val="auto"/>
          <w:sz w:val="32"/>
          <w:szCs w:val="32"/>
          <w:highlight w:val="none"/>
        </w:rPr>
        <w:t>进一步强化川渝民政合作深度。</w:t>
      </w:r>
      <w:r>
        <w:rPr>
          <w:rFonts w:hint="eastAsia" w:eastAsia="方正仿宋_GBK"/>
          <w:color w:val="auto"/>
          <w:sz w:val="32"/>
          <w:szCs w:val="32"/>
          <w:highlight w:val="none"/>
        </w:rPr>
        <w:t>抓实</w:t>
      </w:r>
      <w:r>
        <w:rPr>
          <w:rFonts w:hint="eastAsia" w:eastAsia="方正仿宋_GBK"/>
          <w:color w:val="auto"/>
          <w:kern w:val="0"/>
          <w:sz w:val="32"/>
          <w:szCs w:val="32"/>
          <w:highlight w:val="none"/>
          <w:shd w:val="clear" w:color="auto" w:fill="FFFFFF"/>
        </w:rPr>
        <w:t>“</w:t>
      </w:r>
      <w:r>
        <w:rPr>
          <w:rFonts w:eastAsia="方正仿宋_GBK"/>
          <w:color w:val="auto"/>
          <w:kern w:val="0"/>
          <w:sz w:val="32"/>
          <w:szCs w:val="32"/>
          <w:highlight w:val="none"/>
          <w:shd w:val="clear" w:color="auto" w:fill="FFFFFF"/>
        </w:rPr>
        <w:t>推动成渝地区双城经济圈建设</w:t>
      </w:r>
      <w:r>
        <w:rPr>
          <w:rFonts w:hint="eastAsia" w:eastAsia="方正仿宋_GBK"/>
          <w:color w:val="auto"/>
          <w:kern w:val="0"/>
          <w:sz w:val="32"/>
          <w:szCs w:val="32"/>
          <w:highlight w:val="none"/>
          <w:shd w:val="clear" w:color="auto" w:fill="FFFFFF"/>
        </w:rPr>
        <w:t>‘</w:t>
      </w:r>
      <w:r>
        <w:rPr>
          <w:rFonts w:eastAsia="方正仿宋_GBK"/>
          <w:color w:val="auto"/>
          <w:kern w:val="0"/>
          <w:sz w:val="32"/>
          <w:szCs w:val="32"/>
          <w:highlight w:val="none"/>
          <w:shd w:val="clear" w:color="auto" w:fill="FFFFFF"/>
        </w:rPr>
        <w:t>十项行动</w:t>
      </w:r>
      <w:r>
        <w:rPr>
          <w:rFonts w:hint="eastAsia" w:eastAsia="方正仿宋_GBK"/>
          <w:color w:val="auto"/>
          <w:kern w:val="0"/>
          <w:sz w:val="32"/>
          <w:szCs w:val="32"/>
          <w:highlight w:val="none"/>
          <w:shd w:val="clear" w:color="auto" w:fill="FFFFFF"/>
        </w:rPr>
        <w:t>’”“</w:t>
      </w:r>
      <w:r>
        <w:rPr>
          <w:rFonts w:eastAsia="方正仿宋_GBK"/>
          <w:color w:val="auto"/>
          <w:kern w:val="0"/>
          <w:sz w:val="32"/>
          <w:szCs w:val="32"/>
          <w:highlight w:val="none"/>
          <w:shd w:val="clear" w:color="auto" w:fill="FFFFFF"/>
        </w:rPr>
        <w:t>川渝公共服务一体化深化便捷生活行动</w:t>
      </w:r>
      <w:r>
        <w:rPr>
          <w:rFonts w:hint="eastAsia" w:eastAsia="方正仿宋_GBK"/>
          <w:color w:val="auto"/>
          <w:kern w:val="0"/>
          <w:sz w:val="32"/>
          <w:szCs w:val="32"/>
          <w:highlight w:val="none"/>
          <w:shd w:val="clear" w:color="auto" w:fill="FFFFFF"/>
        </w:rPr>
        <w:t>”</w:t>
      </w:r>
      <w:r>
        <w:rPr>
          <w:rFonts w:eastAsia="方正仿宋_GBK"/>
          <w:color w:val="auto"/>
          <w:kern w:val="0"/>
          <w:sz w:val="32"/>
          <w:szCs w:val="32"/>
          <w:highlight w:val="none"/>
          <w:shd w:val="clear" w:color="auto" w:fill="FFFFFF"/>
        </w:rPr>
        <w:t>等部署任务，助力高品质生活惠民富民行动取得新成效。</w:t>
      </w:r>
      <w:r>
        <w:rPr>
          <w:rFonts w:eastAsia="方正仿宋_GBK"/>
          <w:sz w:val="32"/>
          <w:szCs w:val="32"/>
          <w:highlight w:val="none"/>
        </w:rPr>
        <w:t>推动养老服务合作、救助核查协作、社会治理协同、社会事务通办等民生领域重点任务不断取得新进展、新成效。</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color w:val="auto"/>
          <w:sz w:val="32"/>
          <w:szCs w:val="32"/>
          <w:highlight w:val="none"/>
        </w:rPr>
      </w:pPr>
      <w:r>
        <w:rPr>
          <w:rFonts w:eastAsia="方正楷体_GBK"/>
          <w:color w:val="000000"/>
          <w:sz w:val="32"/>
          <w:szCs w:val="32"/>
          <w:highlight w:val="none"/>
        </w:rPr>
        <w:t>3</w:t>
      </w:r>
      <w:r>
        <w:rPr>
          <w:rFonts w:hint="eastAsia" w:eastAsia="方正楷体_GBK"/>
          <w:color w:val="000000"/>
          <w:sz w:val="32"/>
          <w:szCs w:val="32"/>
          <w:highlight w:val="none"/>
        </w:rPr>
        <w:t>8</w:t>
      </w:r>
      <w:r>
        <w:rPr>
          <w:rFonts w:eastAsia="方正楷体_GBK"/>
          <w:color w:val="000000"/>
          <w:sz w:val="32"/>
          <w:szCs w:val="32"/>
          <w:highlight w:val="none"/>
        </w:rPr>
        <w:t>.实施改革创新工程。</w:t>
      </w:r>
      <w:r>
        <w:rPr>
          <w:rFonts w:hint="eastAsia" w:eastAsia="方正仿宋_GBK"/>
          <w:color w:val="auto"/>
          <w:sz w:val="32"/>
          <w:szCs w:val="32"/>
          <w:highlight w:val="none"/>
          <w:lang w:eastAsia="zh-CN"/>
        </w:rPr>
        <w:t>根据市民政局方案和任务清单，</w:t>
      </w:r>
      <w:r>
        <w:rPr>
          <w:rFonts w:eastAsia="方正仿宋_GBK"/>
          <w:color w:val="auto"/>
          <w:sz w:val="32"/>
          <w:szCs w:val="32"/>
          <w:highlight w:val="none"/>
        </w:rPr>
        <w:t>研究制定《关于进一步深化民政领域改革助推现代化新重庆建设的实施方案》《2025年</w:t>
      </w:r>
      <w:r>
        <w:rPr>
          <w:rFonts w:hint="eastAsia" w:eastAsia="方正仿宋_GBK"/>
          <w:color w:val="auto"/>
          <w:sz w:val="32"/>
          <w:szCs w:val="32"/>
          <w:highlight w:val="none"/>
          <w:lang w:eastAsia="zh-CN"/>
        </w:rPr>
        <w:t>沙坪坝区</w:t>
      </w:r>
      <w:r>
        <w:rPr>
          <w:rFonts w:eastAsia="方正仿宋_GBK"/>
          <w:color w:val="auto"/>
          <w:sz w:val="32"/>
          <w:szCs w:val="32"/>
          <w:highlight w:val="none"/>
        </w:rPr>
        <w:t>民政领域改革重点任务清单》，积极争取国家级</w:t>
      </w:r>
      <w:r>
        <w:rPr>
          <w:rFonts w:hint="eastAsia" w:eastAsia="方正仿宋_GBK"/>
          <w:color w:val="auto"/>
          <w:sz w:val="32"/>
          <w:szCs w:val="32"/>
          <w:highlight w:val="none"/>
          <w:lang w:eastAsia="zh-CN"/>
        </w:rPr>
        <w:t>、市级</w:t>
      </w:r>
      <w:r>
        <w:rPr>
          <w:rFonts w:eastAsia="方正仿宋_GBK"/>
          <w:color w:val="auto"/>
          <w:sz w:val="32"/>
          <w:szCs w:val="32"/>
          <w:highlight w:val="none"/>
        </w:rPr>
        <w:t>改革试点或示范项目放在我市实施，精心培育民政领域典型案例。围绕普惠性、基础性、兜底性民生建设，持续谋划推进民政领域深化改革项目。按照市民政局统一部署，重点推进</w:t>
      </w:r>
      <w:r>
        <w:rPr>
          <w:rFonts w:hint="eastAsia" w:eastAsia="方正仿宋_GBK"/>
          <w:color w:val="auto"/>
          <w:sz w:val="32"/>
          <w:szCs w:val="32"/>
          <w:highlight w:val="none"/>
        </w:rPr>
        <w:t>“</w:t>
      </w:r>
      <w:r>
        <w:rPr>
          <w:rFonts w:eastAsia="方正仿宋_GBK"/>
          <w:color w:val="auto"/>
          <w:sz w:val="32"/>
          <w:szCs w:val="32"/>
          <w:highlight w:val="none"/>
        </w:rPr>
        <w:t>健全</w:t>
      </w:r>
      <w:r>
        <w:rPr>
          <w:rFonts w:hint="eastAsia" w:eastAsia="方正仿宋_GBK"/>
          <w:color w:val="auto"/>
          <w:sz w:val="32"/>
          <w:szCs w:val="32"/>
          <w:highlight w:val="none"/>
        </w:rPr>
        <w:t>‘</w:t>
      </w:r>
      <w:r>
        <w:rPr>
          <w:rFonts w:eastAsia="方正仿宋_GBK"/>
          <w:color w:val="auto"/>
          <w:sz w:val="32"/>
          <w:szCs w:val="32"/>
          <w:highlight w:val="none"/>
        </w:rPr>
        <w:t>一老一小</w:t>
      </w:r>
      <w:r>
        <w:rPr>
          <w:rFonts w:hint="eastAsia" w:eastAsia="方正仿宋_GBK"/>
          <w:color w:val="auto"/>
          <w:sz w:val="32"/>
          <w:szCs w:val="32"/>
          <w:highlight w:val="none"/>
        </w:rPr>
        <w:t>’</w:t>
      </w:r>
      <w:r>
        <w:rPr>
          <w:rFonts w:eastAsia="方正仿宋_GBK"/>
          <w:color w:val="auto"/>
          <w:sz w:val="32"/>
          <w:szCs w:val="32"/>
          <w:highlight w:val="none"/>
        </w:rPr>
        <w:t>服务保障体系</w:t>
      </w:r>
      <w:r>
        <w:rPr>
          <w:rFonts w:hint="eastAsia" w:eastAsia="方正仿宋_GBK"/>
          <w:color w:val="auto"/>
          <w:sz w:val="32"/>
          <w:szCs w:val="32"/>
          <w:highlight w:val="none"/>
        </w:rPr>
        <w:t>”“</w:t>
      </w:r>
      <w:r>
        <w:rPr>
          <w:rFonts w:eastAsia="方正仿宋_GBK"/>
          <w:color w:val="auto"/>
          <w:sz w:val="32"/>
          <w:szCs w:val="32"/>
          <w:highlight w:val="none"/>
        </w:rPr>
        <w:t>建立低收入人口联合救助服务机制</w:t>
      </w:r>
      <w:r>
        <w:rPr>
          <w:rFonts w:hint="eastAsia" w:eastAsia="方正仿宋_GBK"/>
          <w:color w:val="auto"/>
          <w:sz w:val="32"/>
          <w:szCs w:val="32"/>
          <w:highlight w:val="none"/>
        </w:rPr>
        <w:t>”“</w:t>
      </w:r>
      <w:r>
        <w:rPr>
          <w:rFonts w:eastAsia="方正仿宋_GBK"/>
          <w:color w:val="auto"/>
          <w:sz w:val="32"/>
          <w:szCs w:val="32"/>
          <w:highlight w:val="none"/>
        </w:rPr>
        <w:t>推进病残孤弃儿童收养制度改革</w:t>
      </w:r>
      <w:r>
        <w:rPr>
          <w:rFonts w:hint="eastAsia" w:eastAsia="方正仿宋_GBK"/>
          <w:color w:val="auto"/>
          <w:sz w:val="32"/>
          <w:szCs w:val="32"/>
          <w:highlight w:val="none"/>
        </w:rPr>
        <w:t>”</w:t>
      </w:r>
      <w:r>
        <w:rPr>
          <w:rFonts w:eastAsia="方正仿宋_GBK"/>
          <w:color w:val="auto"/>
          <w:sz w:val="32"/>
          <w:szCs w:val="32"/>
          <w:highlight w:val="none"/>
        </w:rPr>
        <w:t>等项目。积极争取改革发展最佳实践案例和改革创新奖，加大改革宣传推广力度，提升</w:t>
      </w:r>
      <w:r>
        <w:rPr>
          <w:rFonts w:hint="eastAsia" w:eastAsia="方正仿宋_GBK"/>
          <w:color w:val="auto"/>
          <w:sz w:val="32"/>
          <w:szCs w:val="32"/>
          <w:highlight w:val="none"/>
          <w:lang w:eastAsia="zh-CN"/>
        </w:rPr>
        <w:t>沙坪坝</w:t>
      </w:r>
      <w:r>
        <w:rPr>
          <w:rFonts w:eastAsia="方正仿宋_GBK"/>
          <w:color w:val="auto"/>
          <w:sz w:val="32"/>
          <w:szCs w:val="32"/>
          <w:highlight w:val="none"/>
        </w:rPr>
        <w:t>民政改革的辨识度和影响力。</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sz w:val="32"/>
          <w:szCs w:val="32"/>
          <w:highlight w:val="none"/>
        </w:rPr>
      </w:pPr>
      <w:r>
        <w:rPr>
          <w:rFonts w:eastAsia="方正楷体_GBK"/>
          <w:color w:val="000000"/>
          <w:sz w:val="32"/>
          <w:szCs w:val="32"/>
          <w:highlight w:val="none"/>
        </w:rPr>
        <w:t>3</w:t>
      </w:r>
      <w:r>
        <w:rPr>
          <w:rFonts w:hint="eastAsia" w:eastAsia="方正楷体_GBK"/>
          <w:color w:val="000000"/>
          <w:sz w:val="32"/>
          <w:szCs w:val="32"/>
          <w:highlight w:val="none"/>
        </w:rPr>
        <w:t>9</w:t>
      </w:r>
      <w:r>
        <w:rPr>
          <w:rFonts w:eastAsia="方正楷体_GBK"/>
          <w:color w:val="000000"/>
          <w:sz w:val="32"/>
          <w:szCs w:val="32"/>
          <w:highlight w:val="none"/>
        </w:rPr>
        <w:t>.实施数字赋能工程。</w:t>
      </w:r>
      <w:r>
        <w:rPr>
          <w:rFonts w:eastAsia="方正仿宋_GBK"/>
          <w:sz w:val="32"/>
          <w:szCs w:val="32"/>
          <w:highlight w:val="none"/>
        </w:rPr>
        <w:t>细化优化民政核心业务体系，完善数字民政系统架构。加强数据编目归集，开展业务数据资源治理，推进民政数据舱建设，不断夯实基础数据支撑底座。扎实开展养老服务等6个子跑道建设，积极推进民政业务事项三级治理中心接入。迭代升级上线数字民政驾驶舱，增强KPI、体征指标等感知监测分析能力，完善与三级治理中心线上线下协同联动机制，形成高效闭环处置能力。提速推动</w:t>
      </w:r>
      <w:r>
        <w:rPr>
          <w:rFonts w:hint="eastAsia" w:eastAsia="方正仿宋_GBK"/>
          <w:sz w:val="32"/>
          <w:szCs w:val="32"/>
          <w:highlight w:val="none"/>
        </w:rPr>
        <w:t>“</w:t>
      </w:r>
      <w:r>
        <w:rPr>
          <w:rFonts w:eastAsia="方正仿宋_GBK"/>
          <w:sz w:val="32"/>
          <w:szCs w:val="32"/>
          <w:highlight w:val="none"/>
        </w:rPr>
        <w:t>渝悦▪救助通</w:t>
      </w:r>
      <w:r>
        <w:rPr>
          <w:rFonts w:hint="eastAsia" w:eastAsia="方正仿宋_GBK"/>
          <w:sz w:val="32"/>
          <w:szCs w:val="32"/>
          <w:highlight w:val="none"/>
        </w:rPr>
        <w:t>”“</w:t>
      </w:r>
      <w:r>
        <w:rPr>
          <w:rFonts w:eastAsia="方正仿宋_GBK"/>
          <w:sz w:val="32"/>
          <w:szCs w:val="32"/>
          <w:highlight w:val="none"/>
        </w:rPr>
        <w:t>渝悦▪养老</w:t>
      </w:r>
      <w:r>
        <w:rPr>
          <w:rFonts w:hint="eastAsia" w:eastAsia="方正仿宋_GBK"/>
          <w:sz w:val="32"/>
          <w:szCs w:val="32"/>
          <w:highlight w:val="none"/>
        </w:rPr>
        <w:t>”</w:t>
      </w:r>
      <w:r>
        <w:rPr>
          <w:rFonts w:eastAsia="方正仿宋_GBK"/>
          <w:sz w:val="32"/>
          <w:szCs w:val="32"/>
          <w:highlight w:val="none"/>
        </w:rPr>
        <w:t>应用开发线上贯通实战。</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kern w:val="0"/>
          <w:sz w:val="32"/>
          <w:szCs w:val="32"/>
          <w:highlight w:val="none"/>
        </w:rPr>
      </w:pPr>
      <w:r>
        <w:rPr>
          <w:rFonts w:hint="eastAsia" w:eastAsia="方正楷体_GBK"/>
          <w:color w:val="000000"/>
          <w:sz w:val="32"/>
          <w:szCs w:val="32"/>
          <w:highlight w:val="none"/>
        </w:rPr>
        <w:t>40</w:t>
      </w:r>
      <w:r>
        <w:rPr>
          <w:rFonts w:eastAsia="方正楷体_GBK"/>
          <w:color w:val="000000"/>
          <w:sz w:val="32"/>
          <w:szCs w:val="32"/>
          <w:highlight w:val="none"/>
        </w:rPr>
        <w:t>.实施政策创制工程。</w:t>
      </w:r>
      <w:r>
        <w:rPr>
          <w:rFonts w:hint="eastAsia" w:eastAsia="方正仿宋_GBK"/>
          <w:sz w:val="32"/>
          <w:szCs w:val="32"/>
          <w:highlight w:val="none"/>
        </w:rPr>
        <w:t>推动《重庆市养老服务条例》纳入市人大审议，开展《重庆市殡葬管理条例》立法调研。出台《进一步全面深化民政改革推动民政事业高质量发展的实施方案》《深化养老服务改革发展的实施方案》《关于加快发展农村养老服务的实施方案》等政策文件。</w:t>
      </w:r>
      <w:r>
        <w:rPr>
          <w:rFonts w:eastAsia="方正仿宋_GBK"/>
          <w:kern w:val="0"/>
          <w:sz w:val="32"/>
          <w:szCs w:val="32"/>
          <w:highlight w:val="none"/>
        </w:rPr>
        <w:t>按照</w:t>
      </w:r>
      <w:r>
        <w:rPr>
          <w:rFonts w:hint="eastAsia" w:eastAsia="方正仿宋_GBK"/>
          <w:kern w:val="0"/>
          <w:sz w:val="32"/>
          <w:szCs w:val="32"/>
          <w:highlight w:val="none"/>
          <w:lang w:eastAsia="zh-CN"/>
        </w:rPr>
        <w:t>市民政局</w:t>
      </w:r>
      <w:r>
        <w:rPr>
          <w:rFonts w:eastAsia="方正仿宋_GBK"/>
          <w:kern w:val="0"/>
          <w:sz w:val="32"/>
          <w:szCs w:val="32"/>
          <w:highlight w:val="none"/>
        </w:rPr>
        <w:t>和我</w:t>
      </w:r>
      <w:r>
        <w:rPr>
          <w:rFonts w:hint="eastAsia" w:eastAsia="方正仿宋_GBK"/>
          <w:kern w:val="0"/>
          <w:sz w:val="32"/>
          <w:szCs w:val="32"/>
          <w:highlight w:val="none"/>
          <w:lang w:eastAsia="zh-CN"/>
        </w:rPr>
        <w:t>区</w:t>
      </w:r>
      <w:r>
        <w:rPr>
          <w:rFonts w:hint="eastAsia" w:eastAsia="方正仿宋_GBK"/>
          <w:kern w:val="0"/>
          <w:sz w:val="32"/>
          <w:szCs w:val="32"/>
          <w:highlight w:val="none"/>
        </w:rPr>
        <w:t>“</w:t>
      </w:r>
      <w:r>
        <w:rPr>
          <w:rFonts w:eastAsia="方正仿宋_GBK"/>
          <w:kern w:val="0"/>
          <w:sz w:val="32"/>
          <w:szCs w:val="32"/>
          <w:highlight w:val="none"/>
        </w:rPr>
        <w:t>十五五</w:t>
      </w:r>
      <w:r>
        <w:rPr>
          <w:rFonts w:hint="eastAsia" w:eastAsia="方正仿宋_GBK"/>
          <w:kern w:val="0"/>
          <w:sz w:val="32"/>
          <w:szCs w:val="32"/>
          <w:highlight w:val="none"/>
        </w:rPr>
        <w:t>”</w:t>
      </w:r>
      <w:r>
        <w:rPr>
          <w:rFonts w:eastAsia="方正仿宋_GBK"/>
          <w:kern w:val="0"/>
          <w:sz w:val="32"/>
          <w:szCs w:val="32"/>
          <w:highlight w:val="none"/>
        </w:rPr>
        <w:t>规划编制的总体部署，科学编制全</w:t>
      </w:r>
      <w:r>
        <w:rPr>
          <w:rFonts w:hint="eastAsia" w:eastAsia="方正仿宋_GBK"/>
          <w:kern w:val="0"/>
          <w:sz w:val="32"/>
          <w:szCs w:val="32"/>
          <w:highlight w:val="none"/>
          <w:lang w:eastAsia="zh-CN"/>
        </w:rPr>
        <w:t>区</w:t>
      </w:r>
      <w:r>
        <w:rPr>
          <w:rFonts w:eastAsia="方正仿宋_GBK"/>
          <w:kern w:val="0"/>
          <w:sz w:val="32"/>
          <w:szCs w:val="32"/>
          <w:highlight w:val="none"/>
        </w:rPr>
        <w:t>民政事业发展、老龄事业和养老服务体系</w:t>
      </w:r>
      <w:r>
        <w:rPr>
          <w:rFonts w:hint="eastAsia" w:eastAsia="方正仿宋_GBK"/>
          <w:kern w:val="0"/>
          <w:sz w:val="32"/>
          <w:szCs w:val="32"/>
          <w:highlight w:val="none"/>
        </w:rPr>
        <w:t>及</w:t>
      </w:r>
      <w:r>
        <w:rPr>
          <w:rFonts w:eastAsia="方正仿宋_GBK"/>
          <w:kern w:val="0"/>
          <w:sz w:val="32"/>
          <w:szCs w:val="32"/>
          <w:highlight w:val="none"/>
        </w:rPr>
        <w:t>儿童福利事业发展等3个</w:t>
      </w:r>
      <w:r>
        <w:rPr>
          <w:rFonts w:hint="eastAsia" w:eastAsia="方正仿宋_GBK"/>
          <w:kern w:val="0"/>
          <w:sz w:val="32"/>
          <w:szCs w:val="32"/>
          <w:highlight w:val="none"/>
        </w:rPr>
        <w:t>“</w:t>
      </w:r>
      <w:r>
        <w:rPr>
          <w:rFonts w:eastAsia="方正仿宋_GBK"/>
          <w:kern w:val="0"/>
          <w:sz w:val="32"/>
          <w:szCs w:val="32"/>
          <w:highlight w:val="none"/>
        </w:rPr>
        <w:t>十五五</w:t>
      </w:r>
      <w:r>
        <w:rPr>
          <w:rFonts w:hint="eastAsia" w:eastAsia="方正仿宋_GBK"/>
          <w:kern w:val="0"/>
          <w:sz w:val="32"/>
          <w:szCs w:val="32"/>
          <w:highlight w:val="none"/>
        </w:rPr>
        <w:t>”</w:t>
      </w:r>
      <w:r>
        <w:rPr>
          <w:rFonts w:eastAsia="方正仿宋_GBK"/>
          <w:kern w:val="0"/>
          <w:sz w:val="32"/>
          <w:szCs w:val="32"/>
          <w:highlight w:val="none"/>
        </w:rPr>
        <w:t>规划。</w:t>
      </w:r>
      <w:r>
        <w:rPr>
          <w:rFonts w:hint="eastAsia" w:eastAsia="方正仿宋_GBK"/>
          <w:kern w:val="0"/>
          <w:sz w:val="32"/>
          <w:szCs w:val="32"/>
          <w:highlight w:val="none"/>
        </w:rPr>
        <w:t>积极支持</w:t>
      </w:r>
      <w:r>
        <w:rPr>
          <w:rFonts w:eastAsia="方正仿宋_GBK"/>
          <w:kern w:val="0"/>
          <w:sz w:val="32"/>
          <w:szCs w:val="32"/>
          <w:highlight w:val="none"/>
        </w:rPr>
        <w:t>普惠型养老机构认定与管理办法、刚性支出困难家庭认定办法、进一步加强困境儿童福利保障工作的实施意见等政策文件。</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sz w:val="32"/>
          <w:szCs w:val="32"/>
          <w:highlight w:val="none"/>
        </w:rPr>
      </w:pPr>
      <w:r>
        <w:rPr>
          <w:rFonts w:eastAsia="方正楷体_GBK"/>
          <w:sz w:val="32"/>
          <w:szCs w:val="32"/>
          <w:highlight w:val="none"/>
        </w:rPr>
        <w:t>4</w:t>
      </w:r>
      <w:r>
        <w:rPr>
          <w:rFonts w:hint="eastAsia" w:eastAsia="方正楷体_GBK"/>
          <w:sz w:val="32"/>
          <w:szCs w:val="32"/>
          <w:highlight w:val="none"/>
        </w:rPr>
        <w:t>1</w:t>
      </w:r>
      <w:r>
        <w:rPr>
          <w:rFonts w:eastAsia="方正楷体_GBK"/>
          <w:sz w:val="32"/>
          <w:szCs w:val="32"/>
          <w:highlight w:val="none"/>
        </w:rPr>
        <w:t>.实施社会参与工程。</w:t>
      </w:r>
      <w:r>
        <w:rPr>
          <w:rFonts w:eastAsia="方正仿宋_GBK"/>
          <w:sz w:val="32"/>
          <w:szCs w:val="32"/>
          <w:highlight w:val="none"/>
        </w:rPr>
        <w:t>厘清政府、市场和社会的关系，推动民政工作从主要依靠政府资源，向以政府为主导，积极发挥市场、社会等多方力量作用转变。通过政策引导、资源整合和平台搭建，鼓励社会组织、企业、公众等多方力量参与社会治理和公共服务，不断提升社会协同能力和基层治理效能。扶持培育养老领域专业化、品牌化、连锁化市场主体，发展助老志愿服务和互助养老，探索建立养老服务时间储蓄管理制度。引导支持社会力量参与提供儿童心理关爱、监护提质、安全守护等多元化关爱服务，培育特色品牌。构建社会组织多元化发展格局，推进社区慈善发展，加强基层民政服务体系建设，进一步壮大民政工作力量。</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sz w:val="32"/>
          <w:szCs w:val="32"/>
          <w:highlight w:val="none"/>
        </w:rPr>
      </w:pPr>
      <w:r>
        <w:rPr>
          <w:rFonts w:eastAsia="方正仿宋_GBK"/>
          <w:sz w:val="32"/>
          <w:szCs w:val="32"/>
          <w:highlight w:val="none"/>
        </w:rPr>
        <w:t>4</w:t>
      </w:r>
      <w:r>
        <w:rPr>
          <w:rFonts w:hint="eastAsia" w:eastAsia="方正仿宋_GBK"/>
          <w:sz w:val="32"/>
          <w:szCs w:val="32"/>
          <w:highlight w:val="none"/>
        </w:rPr>
        <w:t>2</w:t>
      </w:r>
      <w:r>
        <w:rPr>
          <w:rFonts w:eastAsia="方正仿宋_GBK"/>
          <w:sz w:val="32"/>
          <w:szCs w:val="32"/>
          <w:highlight w:val="none"/>
        </w:rPr>
        <w:t>.</w:t>
      </w:r>
      <w:r>
        <w:rPr>
          <w:rFonts w:eastAsia="方正楷体_GBK"/>
          <w:color w:val="000000"/>
          <w:sz w:val="32"/>
          <w:szCs w:val="32"/>
          <w:highlight w:val="none"/>
        </w:rPr>
        <w:t>实施平安建设工程。</w:t>
      </w:r>
      <w:r>
        <w:rPr>
          <w:rFonts w:eastAsia="方正仿宋_GBK"/>
          <w:sz w:val="32"/>
          <w:szCs w:val="32"/>
          <w:highlight w:val="none"/>
        </w:rPr>
        <w:t>以</w:t>
      </w:r>
      <w:r>
        <w:rPr>
          <w:rFonts w:hint="eastAsia" w:eastAsia="方正仿宋_GBK"/>
          <w:sz w:val="32"/>
          <w:szCs w:val="32"/>
          <w:highlight w:val="none"/>
        </w:rPr>
        <w:t>“</w:t>
      </w:r>
      <w:r>
        <w:rPr>
          <w:rFonts w:eastAsia="方正仿宋_GBK"/>
          <w:sz w:val="32"/>
          <w:szCs w:val="32"/>
          <w:highlight w:val="none"/>
        </w:rPr>
        <w:t>事故零发生、人员零伤亡、信访零反弹、舆情零扩散</w:t>
      </w:r>
      <w:r>
        <w:rPr>
          <w:rFonts w:hint="eastAsia" w:eastAsia="方正仿宋_GBK"/>
          <w:sz w:val="32"/>
          <w:szCs w:val="32"/>
          <w:highlight w:val="none"/>
        </w:rPr>
        <w:t>”</w:t>
      </w:r>
      <w:r>
        <w:rPr>
          <w:rFonts w:eastAsia="方正仿宋_GBK"/>
          <w:sz w:val="32"/>
          <w:szCs w:val="32"/>
          <w:highlight w:val="none"/>
        </w:rPr>
        <w:t>为目标，进一步完善领导干部安全生产职责清单和年度重点工作清单，深入推进安全生产治本攻坚三年行动，建立健全安全管理责任机制，突出民政服务机构重点，认真对照《养老机构重大事故隐患判定标准》，</w:t>
      </w:r>
      <w:r>
        <w:rPr>
          <w:rFonts w:hint="eastAsia" w:eastAsia="方正仿宋_GBK"/>
          <w:sz w:val="32"/>
          <w:szCs w:val="32"/>
          <w:highlight w:val="none"/>
        </w:rPr>
        <w:t>聚焦高层建筑</w:t>
      </w:r>
      <w:r>
        <w:rPr>
          <w:rFonts w:hint="eastAsia" w:eastAsia="方正仿宋_GBK"/>
          <w:sz w:val="32"/>
          <w:szCs w:val="32"/>
          <w:highlight w:val="none"/>
          <w:lang w:eastAsia="zh-CN"/>
        </w:rPr>
        <w:t>内的</w:t>
      </w:r>
      <w:r>
        <w:rPr>
          <w:rFonts w:hint="eastAsia" w:eastAsia="方正仿宋_GBK"/>
          <w:sz w:val="32"/>
          <w:szCs w:val="32"/>
          <w:highlight w:val="none"/>
        </w:rPr>
        <w:t>养老院等重点场所，健全落实消防设施维保、“生命通道”保畅、用电用气用火安全等日常管理机制</w:t>
      </w:r>
      <w:r>
        <w:rPr>
          <w:rFonts w:hint="eastAsia" w:eastAsia="方正仿宋_GBK"/>
          <w:sz w:val="32"/>
          <w:szCs w:val="32"/>
          <w:highlight w:val="none"/>
          <w:lang w:eastAsia="zh-CN"/>
        </w:rPr>
        <w:t>，</w:t>
      </w:r>
      <w:r>
        <w:rPr>
          <w:rFonts w:eastAsia="方正仿宋_GBK"/>
          <w:sz w:val="32"/>
          <w:szCs w:val="32"/>
          <w:highlight w:val="none"/>
        </w:rPr>
        <w:t>规范安全隐患</w:t>
      </w:r>
      <w:r>
        <w:rPr>
          <w:rFonts w:hint="eastAsia" w:eastAsia="方正仿宋_GBK"/>
          <w:sz w:val="32"/>
          <w:szCs w:val="32"/>
          <w:highlight w:val="none"/>
        </w:rPr>
        <w:t>“</w:t>
      </w:r>
      <w:r>
        <w:rPr>
          <w:rFonts w:eastAsia="方正仿宋_GBK"/>
          <w:sz w:val="32"/>
          <w:szCs w:val="32"/>
          <w:highlight w:val="none"/>
        </w:rPr>
        <w:t>日排查</w:t>
      </w:r>
      <w:r>
        <w:rPr>
          <w:rFonts w:hint="eastAsia" w:eastAsia="方正仿宋_GBK"/>
          <w:sz w:val="32"/>
          <w:szCs w:val="32"/>
          <w:highlight w:val="none"/>
        </w:rPr>
        <w:t>”</w:t>
      </w:r>
      <w:r>
        <w:rPr>
          <w:rFonts w:eastAsia="方正仿宋_GBK"/>
          <w:sz w:val="32"/>
          <w:szCs w:val="32"/>
          <w:highlight w:val="none"/>
        </w:rPr>
        <w:t>制度，切实消除存量隐患，努力保障服务对象生命财产安全。坚持和发展新时代</w:t>
      </w:r>
      <w:r>
        <w:rPr>
          <w:rFonts w:hint="eastAsia" w:eastAsia="方正仿宋_GBK"/>
          <w:sz w:val="32"/>
          <w:szCs w:val="32"/>
          <w:highlight w:val="none"/>
        </w:rPr>
        <w:t>“</w:t>
      </w:r>
      <w:r>
        <w:rPr>
          <w:rFonts w:eastAsia="方正仿宋_GBK"/>
          <w:sz w:val="32"/>
          <w:szCs w:val="32"/>
          <w:highlight w:val="none"/>
        </w:rPr>
        <w:t>枫桥经验</w:t>
      </w:r>
      <w:r>
        <w:rPr>
          <w:rFonts w:hint="eastAsia" w:eastAsia="方正仿宋_GBK"/>
          <w:sz w:val="32"/>
          <w:szCs w:val="32"/>
          <w:highlight w:val="none"/>
        </w:rPr>
        <w:t>”</w:t>
      </w:r>
      <w:r>
        <w:rPr>
          <w:rFonts w:eastAsia="方正仿宋_GBK"/>
          <w:sz w:val="32"/>
          <w:szCs w:val="32"/>
          <w:highlight w:val="none"/>
        </w:rPr>
        <w:t>，贯彻落实《民政信访工作办法》，扎实推进突出信访问题三年攻坚行动和民政领域信访工作法治化，加强信访办理事项的跟踪调度、督查督办和闭环管理，推动复杂疑难信访事项有效化解。加强网络舆情监测和应对处置培训，提升对网络舆情的综合分析研判能力，进一步完善舆情处置团队协作和快速响应机制。</w:t>
      </w:r>
    </w:p>
    <w:p>
      <w:pPr>
        <w:keepNext w:val="0"/>
        <w:keepLines w:val="0"/>
        <w:pageBreakBefore w:val="0"/>
        <w:widowControl w:val="0"/>
        <w:kinsoku/>
        <w:wordWrap/>
        <w:overflowPunct w:val="0"/>
        <w:topLinePunct w:val="0"/>
        <w:bidi w:val="0"/>
        <w:adjustRightInd w:val="0"/>
        <w:snapToGrid w:val="0"/>
        <w:spacing w:line="570" w:lineRule="exact"/>
        <w:ind w:firstLine="640" w:firstLineChars="200"/>
        <w:textAlignment w:val="center"/>
        <w:rPr>
          <w:rFonts w:eastAsia="方正仿宋_GBK"/>
          <w:sz w:val="32"/>
          <w:szCs w:val="32"/>
          <w:highlight w:val="none"/>
        </w:rPr>
      </w:pPr>
      <w:r>
        <w:rPr>
          <w:rFonts w:hint="eastAsia" w:eastAsia="方正仿宋_GBK"/>
          <w:sz w:val="32"/>
          <w:szCs w:val="32"/>
          <w:highlight w:val="none"/>
        </w:rPr>
        <w:t>43.</w:t>
      </w:r>
      <w:r>
        <w:rPr>
          <w:rFonts w:hint="eastAsia" w:eastAsia="方正楷体_GBK"/>
          <w:sz w:val="32"/>
          <w:szCs w:val="32"/>
          <w:highlight w:val="none"/>
        </w:rPr>
        <w:t>实施民政文化工程。</w:t>
      </w:r>
      <w:r>
        <w:rPr>
          <w:rFonts w:hint="eastAsia" w:eastAsia="方正仿宋_GBK"/>
          <w:sz w:val="32"/>
          <w:szCs w:val="32"/>
          <w:highlight w:val="none"/>
        </w:rPr>
        <w:t>弘扬发展尊老敬老、助残慈幼、扶弱济困、乐善好施、慎终追远等文化理念，推动民政业务与民政文化深度融合，总结提炼具有</w:t>
      </w:r>
      <w:r>
        <w:rPr>
          <w:rFonts w:hint="eastAsia" w:eastAsia="方正仿宋_GBK"/>
          <w:sz w:val="32"/>
          <w:szCs w:val="32"/>
          <w:highlight w:val="none"/>
          <w:lang w:eastAsia="zh-CN"/>
        </w:rPr>
        <w:t>沙坪坝</w:t>
      </w:r>
      <w:r>
        <w:rPr>
          <w:rFonts w:hint="eastAsia" w:eastAsia="方正仿宋_GBK"/>
          <w:sz w:val="32"/>
          <w:szCs w:val="32"/>
          <w:highlight w:val="none"/>
        </w:rPr>
        <w:t>特色的民政文化品牌，广泛凝聚社会共识。弘扬社会主义核心价值观，推动民政文化创造性转化和创新性发展，以文化创新引领支持民政发展。</w:t>
      </w:r>
      <w:r>
        <w:rPr>
          <w:rFonts w:hint="eastAsia" w:eastAsia="方正仿宋_GBK"/>
          <w:sz w:val="32"/>
          <w:szCs w:val="32"/>
          <w:highlight w:val="none"/>
          <w:lang w:eastAsia="zh-CN"/>
        </w:rPr>
        <w:t>组织参与</w:t>
      </w:r>
      <w:r>
        <w:rPr>
          <w:rFonts w:eastAsia="方正仿宋_GBK"/>
          <w:sz w:val="32"/>
          <w:szCs w:val="32"/>
          <w:highlight w:val="none"/>
        </w:rPr>
        <w:t>全国</w:t>
      </w:r>
      <w:r>
        <w:rPr>
          <w:rFonts w:hint="eastAsia" w:eastAsia="方正仿宋_GBK"/>
          <w:sz w:val="32"/>
          <w:szCs w:val="32"/>
          <w:highlight w:val="none"/>
        </w:rPr>
        <w:t>“</w:t>
      </w:r>
      <w:r>
        <w:rPr>
          <w:rFonts w:eastAsia="方正仿宋_GBK"/>
          <w:sz w:val="32"/>
          <w:szCs w:val="32"/>
          <w:highlight w:val="none"/>
        </w:rPr>
        <w:t>敬老文明号</w:t>
      </w:r>
      <w:r>
        <w:rPr>
          <w:rFonts w:hint="eastAsia" w:eastAsia="方正仿宋_GBK"/>
          <w:sz w:val="32"/>
          <w:szCs w:val="32"/>
          <w:highlight w:val="none"/>
        </w:rPr>
        <w:t>”“</w:t>
      </w:r>
      <w:r>
        <w:rPr>
          <w:rFonts w:eastAsia="方正仿宋_GBK"/>
          <w:sz w:val="32"/>
          <w:szCs w:val="32"/>
          <w:highlight w:val="none"/>
        </w:rPr>
        <w:t>敬老爱老助老模范人物</w:t>
      </w:r>
      <w:r>
        <w:rPr>
          <w:rFonts w:hint="eastAsia" w:eastAsia="方正仿宋_GBK"/>
          <w:sz w:val="32"/>
          <w:szCs w:val="32"/>
          <w:highlight w:val="none"/>
        </w:rPr>
        <w:t>”</w:t>
      </w:r>
      <w:r>
        <w:rPr>
          <w:rFonts w:eastAsia="方正仿宋_GBK"/>
          <w:sz w:val="32"/>
          <w:szCs w:val="32"/>
          <w:highlight w:val="none"/>
        </w:rPr>
        <w:t>评选。</w:t>
      </w:r>
      <w:r>
        <w:rPr>
          <w:rFonts w:eastAsia="方正仿宋_GBK"/>
          <w:color w:val="000000"/>
          <w:sz w:val="32"/>
          <w:szCs w:val="32"/>
          <w:highlight w:val="none"/>
        </w:rPr>
        <w:t>做好2025年</w:t>
      </w:r>
      <w:r>
        <w:rPr>
          <w:rFonts w:hint="eastAsia" w:eastAsia="方正仿宋_GBK"/>
          <w:color w:val="000000"/>
          <w:sz w:val="32"/>
          <w:szCs w:val="32"/>
          <w:highlight w:val="none"/>
        </w:rPr>
        <w:t>“</w:t>
      </w:r>
      <w:r>
        <w:rPr>
          <w:rFonts w:eastAsia="方正仿宋_GBK"/>
          <w:color w:val="000000"/>
          <w:sz w:val="32"/>
          <w:szCs w:val="32"/>
          <w:highlight w:val="none"/>
        </w:rPr>
        <w:t>中华慈善日</w:t>
      </w:r>
      <w:r>
        <w:rPr>
          <w:rFonts w:hint="eastAsia" w:eastAsia="方正仿宋_GBK"/>
          <w:color w:val="000000"/>
          <w:sz w:val="32"/>
          <w:szCs w:val="32"/>
          <w:highlight w:val="none"/>
        </w:rPr>
        <w:t>”“</w:t>
      </w:r>
      <w:r>
        <w:rPr>
          <w:rFonts w:eastAsia="方正仿宋_GBK"/>
          <w:color w:val="000000"/>
          <w:sz w:val="32"/>
          <w:szCs w:val="32"/>
          <w:highlight w:val="none"/>
        </w:rPr>
        <w:t>重庆慈善周</w:t>
      </w:r>
      <w:r>
        <w:rPr>
          <w:rFonts w:hint="eastAsia" w:eastAsia="方正仿宋_GBK"/>
          <w:color w:val="000000"/>
          <w:sz w:val="32"/>
          <w:szCs w:val="32"/>
          <w:highlight w:val="none"/>
        </w:rPr>
        <w:t>”</w:t>
      </w:r>
      <w:r>
        <w:rPr>
          <w:rFonts w:eastAsia="方正仿宋_GBK"/>
          <w:color w:val="000000"/>
          <w:sz w:val="32"/>
          <w:szCs w:val="32"/>
          <w:highlight w:val="none"/>
        </w:rPr>
        <w:t>集中宣传。</w:t>
      </w:r>
      <w:r>
        <w:rPr>
          <w:rFonts w:hint="eastAsia" w:eastAsia="方正仿宋_GBK"/>
          <w:sz w:val="32"/>
          <w:szCs w:val="32"/>
          <w:highlight w:val="none"/>
        </w:rPr>
        <w:t>培树民政行业先进典型，宣传民政工作者的为民情怀，展示民政事业发展成果，发扬“孺子牛”精神，厚植为民爱民的民政部门文化。广泛运用多种媒体渠道，加强民政宣传，讲好新时代民政故事，不断提升民政工作的文化影响力。</w:t>
      </w:r>
    </w:p>
    <w:p>
      <w:pPr>
        <w:keepNext w:val="0"/>
        <w:keepLines w:val="0"/>
        <w:pageBreakBefore w:val="0"/>
        <w:widowControl w:val="0"/>
        <w:kinsoku/>
        <w:wordWrap/>
        <w:overflowPunct w:val="0"/>
        <w:topLinePunct w:val="0"/>
        <w:bidi w:val="0"/>
        <w:adjustRightInd w:val="0"/>
        <w:snapToGrid w:val="0"/>
        <w:spacing w:line="570" w:lineRule="exact"/>
        <w:ind w:firstLine="420" w:firstLineChars="200"/>
        <w:textAlignment w:val="cente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p>
    <w:p>
      <w:pPr>
        <w:pStyle w:val="2"/>
        <w:rPr>
          <w:rFonts w:eastAsia="方正仿宋_GBK"/>
          <w:highlight w:val="none"/>
        </w:rPr>
      </w:pPr>
    </w:p>
    <w:p>
      <w:pPr>
        <w:pStyle w:val="3"/>
        <w:rPr>
          <w:rFonts w:eastAsia="方正仿宋_GBK"/>
          <w:highlight w:val="none"/>
        </w:rPr>
      </w:pPr>
    </w:p>
    <w:p>
      <w:pPr>
        <w:rPr>
          <w:rFonts w:eastAsia="方正仿宋_GBK"/>
          <w:highlight w:val="none"/>
        </w:rPr>
      </w:pPr>
      <w:bookmarkStart w:id="1" w:name="_GoBack"/>
      <w:bookmarkEnd w:id="1"/>
    </w:p>
    <w:p>
      <w:pPr>
        <w:pStyle w:val="2"/>
        <w:rPr>
          <w:rFonts w:eastAsia="方正仿宋_GBK"/>
          <w:highlight w:val="none"/>
        </w:rPr>
      </w:pPr>
    </w:p>
    <w:p>
      <w:pPr>
        <w:pStyle w:val="3"/>
        <w:rPr>
          <w:rFonts w:eastAsia="方正仿宋_GBK"/>
          <w:highlight w:val="none"/>
        </w:rPr>
      </w:pPr>
    </w:p>
    <w:p>
      <w:pPr>
        <w:rPr>
          <w:rFonts w:eastAsia="方正仿宋_GBK"/>
          <w:highlight w:val="none"/>
        </w:rPr>
      </w:pPr>
    </w:p>
    <w:tbl>
      <w:tblPr>
        <w:tblStyle w:val="12"/>
        <w:tblpPr w:leftFromText="180" w:rightFromText="180" w:vertAnchor="text" w:horzAnchor="page" w:tblpX="1570" w:tblpY="7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8840" w:type="dxa"/>
            <w:tcBorders>
              <w:top w:val="single" w:color="auto" w:sz="6" w:space="0"/>
              <w:left w:val="nil"/>
              <w:bottom w:val="single" w:color="auto" w:sz="8" w:space="0"/>
              <w:right w:val="nil"/>
            </w:tcBorders>
            <w:vAlign w:val="center"/>
          </w:tcPr>
          <w:p>
            <w:pPr>
              <w:pStyle w:val="6"/>
              <w:spacing w:line="460" w:lineRule="exact"/>
              <w:ind w:firstLine="280" w:firstLineChars="100"/>
              <w:rPr>
                <w:rFonts w:ascii="Times New Roman" w:eastAsia="方正仿宋_GBK"/>
                <w:sz w:val="28"/>
                <w:szCs w:val="28"/>
              </w:rPr>
            </w:pPr>
            <w:r>
              <w:rPr>
                <w:rFonts w:hint="eastAsia" w:ascii="Times New Roman" w:hAnsi="方正仿宋_GBK" w:eastAsia="方正仿宋_GBK"/>
                <w:sz w:val="28"/>
                <w:szCs w:val="28"/>
              </w:rPr>
              <w:t>重庆市</w:t>
            </w:r>
            <w:r>
              <w:rPr>
                <w:rFonts w:ascii="Times New Roman" w:hAnsi="方正仿宋_GBK" w:eastAsia="方正仿宋_GBK"/>
                <w:sz w:val="28"/>
                <w:szCs w:val="28"/>
              </w:rPr>
              <w:t>沙坪坝区民政局办公室</w:t>
            </w:r>
            <w:r>
              <w:rPr>
                <w:rFonts w:ascii="Times New Roman" w:eastAsia="方正仿宋_GBK"/>
                <w:sz w:val="28"/>
                <w:szCs w:val="28"/>
              </w:rPr>
              <w:t xml:space="preserve">            </w:t>
            </w:r>
            <w:r>
              <w:rPr>
                <w:rFonts w:hint="eastAsia" w:ascii="Times New Roman" w:eastAsia="方正仿宋_GBK"/>
                <w:sz w:val="28"/>
                <w:szCs w:val="28"/>
              </w:rPr>
              <w:t xml:space="preserve"> </w:t>
            </w:r>
            <w:r>
              <w:rPr>
                <w:rFonts w:ascii="Times New Roman" w:eastAsia="方正仿宋_GBK"/>
                <w:sz w:val="28"/>
                <w:szCs w:val="28"/>
              </w:rPr>
              <w:t xml:space="preserve"> 202</w:t>
            </w:r>
            <w:r>
              <w:rPr>
                <w:rFonts w:hint="eastAsia" w:ascii="Times New Roman" w:eastAsia="方正仿宋_GBK"/>
                <w:sz w:val="28"/>
                <w:szCs w:val="28"/>
                <w:lang w:val="en-US" w:eastAsia="zh-CN"/>
              </w:rPr>
              <w:t>5</w:t>
            </w:r>
            <w:r>
              <w:rPr>
                <w:rFonts w:ascii="Times New Roman" w:hAnsi="方正仿宋_GBK" w:eastAsia="方正仿宋_GBK"/>
                <w:sz w:val="28"/>
                <w:szCs w:val="28"/>
              </w:rPr>
              <w:t>年</w:t>
            </w:r>
            <w:r>
              <w:rPr>
                <w:rFonts w:hint="eastAsia" w:ascii="Times New Roman" w:eastAsia="方正仿宋_GBK"/>
                <w:sz w:val="28"/>
                <w:szCs w:val="28"/>
                <w:lang w:val="en-US" w:eastAsia="zh-CN"/>
              </w:rPr>
              <w:t>3</w:t>
            </w:r>
            <w:r>
              <w:rPr>
                <w:rFonts w:ascii="Times New Roman" w:hAnsi="方正仿宋_GBK" w:eastAsia="方正仿宋_GBK"/>
                <w:sz w:val="28"/>
                <w:szCs w:val="28"/>
              </w:rPr>
              <w:t>月</w:t>
            </w:r>
            <w:r>
              <w:rPr>
                <w:rFonts w:hint="eastAsia" w:ascii="Times New Roman" w:eastAsia="方正仿宋_GBK"/>
                <w:sz w:val="28"/>
                <w:szCs w:val="28"/>
                <w:lang w:val="en-US" w:eastAsia="zh-CN"/>
              </w:rPr>
              <w:t>1</w:t>
            </w:r>
            <w:r>
              <w:rPr>
                <w:rFonts w:hint="default" w:ascii="Times New Roman" w:eastAsia="方正仿宋_GBK"/>
                <w:sz w:val="28"/>
                <w:szCs w:val="28"/>
                <w:lang w:val="en" w:eastAsia="zh-CN"/>
              </w:rPr>
              <w:t>4</w:t>
            </w:r>
            <w:r>
              <w:rPr>
                <w:rFonts w:ascii="Times New Roman" w:hAnsi="方正仿宋_GBK" w:eastAsia="方正仿宋_GBK"/>
                <w:sz w:val="28"/>
                <w:szCs w:val="28"/>
              </w:rPr>
              <w:t>日印发</w:t>
            </w:r>
          </w:p>
        </w:tc>
      </w:tr>
    </w:tbl>
    <w:p>
      <w:pPr>
        <w:pStyle w:val="2"/>
      </w:pPr>
    </w:p>
    <w:sectPr>
      <w:footerReference r:id="rId3" w:type="default"/>
      <w:footerReference r:id="rId4" w:type="even"/>
      <w:pgSz w:w="11906" w:h="16838"/>
      <w:pgMar w:top="2098" w:right="1531" w:bottom="1985" w:left="1531" w:header="851" w:footer="147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328" w:yAlign="top"/>
      <w:rPr>
        <w:rStyle w:val="15"/>
        <w:sz w:val="28"/>
        <w:szCs w:val="28"/>
      </w:rPr>
    </w:pPr>
    <w:r>
      <w:rPr>
        <w:rStyle w:val="15"/>
        <w:sz w:val="28"/>
        <w:szCs w:val="28"/>
      </w:rPr>
      <w:t xml:space="preserve">— </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1</w:t>
    </w:r>
    <w:r>
      <w:rPr>
        <w:rStyle w:val="15"/>
        <w:sz w:val="28"/>
        <w:szCs w:val="28"/>
      </w:rPr>
      <w:fldChar w:fldCharType="end"/>
    </w:r>
    <w:r>
      <w:rPr>
        <w:rStyle w:val="15"/>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firstLine="280" w:firstLineChars="100"/>
      <w:rPr>
        <w:rStyle w:val="15"/>
        <w:sz w:val="28"/>
        <w:szCs w:val="28"/>
      </w:rPr>
    </w:pPr>
    <w:r>
      <w:rPr>
        <w:rStyle w:val="15"/>
        <w:sz w:val="28"/>
        <w:szCs w:val="28"/>
      </w:rPr>
      <w:t xml:space="preserve">— </w:t>
    </w: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2</w:t>
    </w:r>
    <w:r>
      <w:rPr>
        <w:rStyle w:val="15"/>
        <w:sz w:val="28"/>
        <w:szCs w:val="28"/>
      </w:rPr>
      <w:fldChar w:fldCharType="end"/>
    </w:r>
    <w:r>
      <w:rPr>
        <w:rStyle w:val="15"/>
        <w:sz w:val="28"/>
        <w:szCs w:val="28"/>
      </w:rPr>
      <w:t xml:space="preserve"> —</w:t>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true"/>
  <w:bordersDoNotSurroundHeader w:val="false"/>
  <w:bordersDoNotSurroundFooter w:val="false"/>
  <w:attachedTemplate r:id="rId1"/>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OTE0NTMyNzYzY2Y1MTFmNWUwMTA4YzI5ZWRmZWQifQ=="/>
  </w:docVars>
  <w:rsids>
    <w:rsidRoot w:val="001B5A23"/>
    <w:rsid w:val="00077196"/>
    <w:rsid w:val="001B5A23"/>
    <w:rsid w:val="001C3750"/>
    <w:rsid w:val="00227C15"/>
    <w:rsid w:val="00322E9B"/>
    <w:rsid w:val="0040266C"/>
    <w:rsid w:val="004B567F"/>
    <w:rsid w:val="005266C2"/>
    <w:rsid w:val="005503C9"/>
    <w:rsid w:val="005A57E7"/>
    <w:rsid w:val="006A58E8"/>
    <w:rsid w:val="007464A7"/>
    <w:rsid w:val="0078019F"/>
    <w:rsid w:val="007E633D"/>
    <w:rsid w:val="00831E33"/>
    <w:rsid w:val="0092411C"/>
    <w:rsid w:val="00A40D24"/>
    <w:rsid w:val="00AF4136"/>
    <w:rsid w:val="00B52A6A"/>
    <w:rsid w:val="00B84C90"/>
    <w:rsid w:val="00C40F42"/>
    <w:rsid w:val="00DA416D"/>
    <w:rsid w:val="00F111DD"/>
    <w:rsid w:val="015C59F7"/>
    <w:rsid w:val="0186020E"/>
    <w:rsid w:val="036E7769"/>
    <w:rsid w:val="03CF2567"/>
    <w:rsid w:val="04D67E7E"/>
    <w:rsid w:val="06AB3407"/>
    <w:rsid w:val="0CB15975"/>
    <w:rsid w:val="127A5249"/>
    <w:rsid w:val="16FA213C"/>
    <w:rsid w:val="173E5DDB"/>
    <w:rsid w:val="17B4366D"/>
    <w:rsid w:val="18953CCD"/>
    <w:rsid w:val="1AA246B5"/>
    <w:rsid w:val="1B770AC7"/>
    <w:rsid w:val="1C760ACE"/>
    <w:rsid w:val="1CBE6582"/>
    <w:rsid w:val="1CC45D43"/>
    <w:rsid w:val="1D0A6AF1"/>
    <w:rsid w:val="1D3D2BCF"/>
    <w:rsid w:val="1D88037D"/>
    <w:rsid w:val="1ED06BCF"/>
    <w:rsid w:val="1F315A2F"/>
    <w:rsid w:val="1FA2291F"/>
    <w:rsid w:val="2031509A"/>
    <w:rsid w:val="21AA58E5"/>
    <w:rsid w:val="244F6ED7"/>
    <w:rsid w:val="25FF751B"/>
    <w:rsid w:val="2661634B"/>
    <w:rsid w:val="284E08EC"/>
    <w:rsid w:val="29C42544"/>
    <w:rsid w:val="29F32258"/>
    <w:rsid w:val="2A02181F"/>
    <w:rsid w:val="2B1A4293"/>
    <w:rsid w:val="2FE40745"/>
    <w:rsid w:val="30CE4E2E"/>
    <w:rsid w:val="31CF55C7"/>
    <w:rsid w:val="32010CAC"/>
    <w:rsid w:val="346256F9"/>
    <w:rsid w:val="348B345F"/>
    <w:rsid w:val="355D101B"/>
    <w:rsid w:val="3604052F"/>
    <w:rsid w:val="36B5183A"/>
    <w:rsid w:val="370D2071"/>
    <w:rsid w:val="382C27D8"/>
    <w:rsid w:val="3B8464C8"/>
    <w:rsid w:val="3C1D3D3C"/>
    <w:rsid w:val="3D1FFEDD"/>
    <w:rsid w:val="3D726C1E"/>
    <w:rsid w:val="4013025E"/>
    <w:rsid w:val="405501E8"/>
    <w:rsid w:val="44FF72B5"/>
    <w:rsid w:val="46F30DEA"/>
    <w:rsid w:val="47B71E17"/>
    <w:rsid w:val="4BD444F6"/>
    <w:rsid w:val="4C5156B0"/>
    <w:rsid w:val="4CC36751"/>
    <w:rsid w:val="4D5D4AAE"/>
    <w:rsid w:val="4E911B8D"/>
    <w:rsid w:val="50442FBB"/>
    <w:rsid w:val="508D1743"/>
    <w:rsid w:val="51257DF2"/>
    <w:rsid w:val="54836136"/>
    <w:rsid w:val="54BE4D1D"/>
    <w:rsid w:val="560137F3"/>
    <w:rsid w:val="576AD5E0"/>
    <w:rsid w:val="5A4A77D7"/>
    <w:rsid w:val="5F6E0BB6"/>
    <w:rsid w:val="5FD832B2"/>
    <w:rsid w:val="5FF9981E"/>
    <w:rsid w:val="60C03231"/>
    <w:rsid w:val="61227B54"/>
    <w:rsid w:val="61687DA8"/>
    <w:rsid w:val="61716664"/>
    <w:rsid w:val="61DB5099"/>
    <w:rsid w:val="629701D5"/>
    <w:rsid w:val="63295F43"/>
    <w:rsid w:val="63AC254B"/>
    <w:rsid w:val="645547E5"/>
    <w:rsid w:val="65031A4C"/>
    <w:rsid w:val="66B06886"/>
    <w:rsid w:val="67995971"/>
    <w:rsid w:val="67BA25BB"/>
    <w:rsid w:val="683134FF"/>
    <w:rsid w:val="6A227A96"/>
    <w:rsid w:val="6C69261A"/>
    <w:rsid w:val="6F3FFC49"/>
    <w:rsid w:val="70843F74"/>
    <w:rsid w:val="72DE47A0"/>
    <w:rsid w:val="73176B9E"/>
    <w:rsid w:val="73880245"/>
    <w:rsid w:val="74A756AB"/>
    <w:rsid w:val="759016A5"/>
    <w:rsid w:val="75960414"/>
    <w:rsid w:val="762573FF"/>
    <w:rsid w:val="794014FB"/>
    <w:rsid w:val="797E12E2"/>
    <w:rsid w:val="7A1A144A"/>
    <w:rsid w:val="7AAA2FE0"/>
    <w:rsid w:val="7AF4C796"/>
    <w:rsid w:val="7D07713D"/>
    <w:rsid w:val="7DF1F7CB"/>
    <w:rsid w:val="7E7A72F4"/>
    <w:rsid w:val="7FE4251F"/>
    <w:rsid w:val="7FFFA835"/>
    <w:rsid w:val="BF8FB1D9"/>
    <w:rsid w:val="FB7690E0"/>
    <w:rsid w:val="FBFFC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ind w:left="100" w:leftChars="100" w:right="100" w:rightChars="100"/>
    </w:pPr>
  </w:style>
  <w:style w:type="paragraph" w:styleId="3">
    <w:name w:val="toc 5"/>
    <w:basedOn w:val="1"/>
    <w:next w:val="1"/>
    <w:qFormat/>
    <w:uiPriority w:val="0"/>
    <w:pPr>
      <w:ind w:left="1680" w:leftChars="800"/>
    </w:pPr>
    <w:rPr>
      <w:rFonts w:ascii="Times New Roman" w:hAnsi="Times New Roman" w:eastAsia="方正仿宋_GBK" w:cs="Times New Roman"/>
      <w:sz w:val="32"/>
      <w:szCs w:val="24"/>
    </w:rPr>
  </w:style>
  <w:style w:type="paragraph" w:styleId="5">
    <w:name w:val="Normal Indent"/>
    <w:basedOn w:val="1"/>
    <w:next w:val="1"/>
    <w:unhideWhenUsed/>
    <w:qFormat/>
    <w:uiPriority w:val="99"/>
    <w:pPr>
      <w:ind w:firstLine="420" w:firstLineChars="200"/>
    </w:pPr>
  </w:style>
  <w:style w:type="paragraph" w:styleId="6">
    <w:name w:val="Body Text Indent"/>
    <w:basedOn w:val="1"/>
    <w:qFormat/>
    <w:uiPriority w:val="0"/>
    <w:pPr>
      <w:ind w:firstLine="630"/>
    </w:pPr>
    <w:rPr>
      <w:rFonts w:ascii="黑体" w:hAnsi="Times New Roman" w:eastAsia="黑体"/>
      <w:sz w:val="32"/>
      <w:szCs w:val="32"/>
    </w:rPr>
  </w:style>
  <w:style w:type="paragraph" w:styleId="7">
    <w:name w:val="Plain Text"/>
    <w:basedOn w:val="1"/>
    <w:qFormat/>
    <w:uiPriority w:val="0"/>
    <w:rPr>
      <w:rFonts w:ascii="宋体" w:hAnsi="Courier New" w:cs="Courier New"/>
      <w:szCs w:val="21"/>
    </w:rPr>
  </w:style>
  <w:style w:type="paragraph" w:styleId="8">
    <w:name w:val="Balloon Text"/>
    <w:basedOn w:val="1"/>
    <w:link w:val="20"/>
    <w:unhideWhenUsed/>
    <w:qFormat/>
    <w:uiPriority w:val="99"/>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常用样式（方正仿宋简）"/>
    <w:basedOn w:val="1"/>
    <w:next w:val="1"/>
    <w:qFormat/>
    <w:uiPriority w:val="0"/>
    <w:pPr>
      <w:spacing w:line="560" w:lineRule="exact"/>
      <w:ind w:firstLine="640" w:firstLineChars="200"/>
    </w:pPr>
    <w:rPr>
      <w:rFonts w:eastAsia="方正仿宋简体"/>
      <w:sz w:val="32"/>
    </w:rPr>
  </w:style>
  <w:style w:type="character" w:customStyle="1" w:styleId="17">
    <w:name w:val="页脚 Char"/>
    <w:basedOn w:val="14"/>
    <w:link w:val="9"/>
    <w:qFormat/>
    <w:uiPriority w:val="0"/>
    <w:rPr>
      <w:rFonts w:ascii="Times New Roman" w:hAnsi="Times New Roman" w:eastAsia="宋体" w:cs="Times New Roman"/>
      <w:sz w:val="18"/>
      <w:szCs w:val="18"/>
    </w:rPr>
  </w:style>
  <w:style w:type="character" w:customStyle="1" w:styleId="18">
    <w:name w:val="页眉 Char"/>
    <w:basedOn w:val="14"/>
    <w:link w:val="10"/>
    <w:semiHidden/>
    <w:qFormat/>
    <w:uiPriority w:val="99"/>
    <w:rPr>
      <w:rFonts w:ascii="Times New Roman" w:hAnsi="Times New Roman" w:eastAsia="宋体" w:cs="Times New Roman"/>
      <w:sz w:val="18"/>
      <w:szCs w:val="18"/>
    </w:rPr>
  </w:style>
  <w:style w:type="character" w:customStyle="1" w:styleId="19">
    <w:name w:val="标题 1 Char"/>
    <w:basedOn w:val="14"/>
    <w:link w:val="4"/>
    <w:qFormat/>
    <w:uiPriority w:val="0"/>
    <w:rPr>
      <w:rFonts w:ascii="宋体" w:hAnsi="宋体" w:eastAsia="宋体" w:cs="Times New Roman"/>
      <w:b/>
      <w:kern w:val="44"/>
      <w:sz w:val="48"/>
      <w:szCs w:val="48"/>
    </w:rPr>
  </w:style>
  <w:style w:type="character" w:customStyle="1" w:styleId="20">
    <w:name w:val="批注框文本 Char"/>
    <w:basedOn w:val="14"/>
    <w:link w:val="8"/>
    <w:semiHidden/>
    <w:qFormat/>
    <w:uiPriority w:val="99"/>
    <w:rPr>
      <w:rFonts w:ascii="Times New Roman" w:hAnsi="Times New Roman" w:eastAsia="宋体" w:cs="Times New Roman"/>
      <w:sz w:val="18"/>
      <w:szCs w:val="18"/>
    </w:r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est/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渝民发2019.dotx</Template>
  <Pages>18</Pages>
  <Words>1447</Words>
  <Characters>8250</Characters>
  <Lines>68</Lines>
  <Paragraphs>19</Paragraphs>
  <TotalTime>0</TotalTime>
  <ScaleCrop>false</ScaleCrop>
  <LinksUpToDate>false</LinksUpToDate>
  <CharactersWithSpaces>9678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2021-05-29T09:19:00Z</dcterms:created>
  <dc:creator>黄梅</dc:creator>
  <cp:lastModifiedBy>guest</cp:lastModifiedBy>
  <cp:lastPrinted>2025-02-19T21:19:00Z</cp:lastPrinted>
  <dcterms:modified xsi:type="dcterms:W3CDTF">2025-03-17T09:18:22Z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5C4DE9D733A1401C9791F71007D4DA93</vt:lpwstr>
  </property>
</Properties>
</file>