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沙坪坝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区农业农村委员会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区202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年农村产业融合发展用地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项目库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的公示</w:t>
      </w:r>
    </w:p>
    <w:p>
      <w:pPr>
        <w:ind w:firstLine="0" w:firstLineChars="0"/>
        <w:jc w:val="both"/>
        <w:rPr>
          <w:color w:val="000000"/>
          <w:szCs w:val="32"/>
        </w:rPr>
      </w:pPr>
    </w:p>
    <w:p>
      <w:pPr>
        <w:adjustRightInd w:val="0"/>
        <w:snapToGrid w:val="0"/>
        <w:ind w:firstLine="0" w:firstLineChars="0"/>
        <w:jc w:val="lef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eastAsia"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根据重庆市规划和自然资源局、重庆市发展和改革委员会、重庆市农业农村委员会《关于印发保障和规范农村一二三产业融合发展用地实施细则的通知》（渝规资〔2022〕53号）文件精神，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农业农村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委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沙坪坝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农村产业融合发展用地项目入库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工作。按照业主申报、镇街审核、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及专家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评审等程序，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同意将“三河村窑见远山陶艺产业项目”“重庆红岭溪谷休闲生态农业园配套项目”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7个项目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纳入沙坪坝区202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年农村产业融合发展用地项目库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现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予以公示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622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一、公示时间：</w:t>
      </w:r>
      <w:r>
        <w:rPr>
          <w:rFonts w:hint="default" w:ascii="Times New Roman" w:hAnsi="Times New Roman" w:cs="Times New Roman"/>
          <w:szCs w:val="32"/>
          <w:lang w:val="en-US" w:eastAsia="zh-CN"/>
        </w:rPr>
        <w:t>公示之日起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个工作日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622"/>
        <w:jc w:val="both"/>
        <w:textAlignment w:val="auto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二、若对</w:t>
      </w:r>
      <w:r>
        <w:rPr>
          <w:rFonts w:hint="eastAsia" w:ascii="Times New Roman" w:hAnsi="Times New Roman" w:cs="Times New Roman"/>
          <w:szCs w:val="32"/>
          <w:lang w:eastAsia="zh-CN"/>
        </w:rPr>
        <w:t>该</w:t>
      </w:r>
      <w:r>
        <w:rPr>
          <w:rFonts w:hint="default" w:ascii="Times New Roman" w:hAnsi="Times New Roman" w:cs="Times New Roman"/>
          <w:szCs w:val="32"/>
        </w:rPr>
        <w:t>项目有异议，请在公示时间内向区农业农村委反映或举报（电话：</w:t>
      </w:r>
      <w:r>
        <w:rPr>
          <w:rFonts w:hint="default" w:ascii="Times New Roman" w:hAnsi="Times New Roman" w:cs="Times New Roman"/>
          <w:szCs w:val="32"/>
          <w:lang w:val="en-US" w:eastAsia="zh-CN"/>
        </w:rPr>
        <w:t>89857</w:t>
      </w:r>
      <w:r>
        <w:rPr>
          <w:rFonts w:hint="eastAsia" w:ascii="Times New Roman" w:hAnsi="Times New Roman" w:cs="Times New Roman"/>
          <w:szCs w:val="32"/>
          <w:lang w:val="en-US" w:eastAsia="zh-CN"/>
        </w:rPr>
        <w:t>306</w:t>
      </w:r>
      <w:r>
        <w:rPr>
          <w:rFonts w:hint="default" w:ascii="Times New Roman" w:hAnsi="Times New Roman" w:cs="Times New Roman"/>
          <w:szCs w:val="32"/>
        </w:rPr>
        <w:t>，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逾期不再受理。对恶意提出虚假异议的，保留追究责任的权利。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沙坪坝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农村产业融合发展用地项目库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3542" w:firstLineChars="1100"/>
        <w:jc w:val="both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2898" w:firstLineChars="9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</w:t>
      </w:r>
      <w:r>
        <w:rPr>
          <w:szCs w:val="32"/>
        </w:rPr>
        <w:t>重庆市沙坪坝区农业农村委员会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622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Cs w:val="32"/>
        </w:rPr>
        <w:t xml:space="preserve">                         20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5" w:lineRule="atLeas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605" w:lineRule="atLeast"/>
        <w:ind w:left="0" w:leftChars="0" w:right="0" w:firstLine="0" w:firstLineChars="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沙坪坝区2024年农村产业融合发展用地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项目库</w:t>
      </w:r>
    </w:p>
    <w:tbl>
      <w:tblPr>
        <w:tblStyle w:val="10"/>
        <w:tblpPr w:leftFromText="180" w:rightFromText="180" w:vertAnchor="text" w:horzAnchor="page" w:tblpX="1050" w:tblpY="704"/>
        <w:tblOverlap w:val="never"/>
        <w:tblW w:w="10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829"/>
        <w:gridCol w:w="5001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5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沙坪坝区丰文街道三河村经济联合社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三河村窑见远山陶艺产业项目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丰文街道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三河村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 xml:space="preserve">重庆渝兆顺生态农业发展有限公司   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重庆红岭溪谷休闲生态农业园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回龙坝镇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回龙坝村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麻花匠人(重庆)食品有限公司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陈麻花加工融合研学基地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歌乐山街道新开寺村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松林谷户外拓展（重庆）有限公司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松林谷丛林乐活基地项目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歌乐山街道歌乐村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中梁镇庆丰山村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经济联合社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中梁镇庆丰山村溶洞豆芽培育展销中心建设项目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庆丰山村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 xml:space="preserve"> 中梁镇庆丰山村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 xml:space="preserve">经济联合社  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中梁好物-生态原乡全产业链项目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庆丰山村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重庆中梁计划生态观光农业有限公司</w:t>
            </w:r>
          </w:p>
        </w:tc>
        <w:tc>
          <w:tcPr>
            <w:tcW w:w="5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鹏升深水特色休闲渔业产业项目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中梁镇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永宁寺村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FZJ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MicrosoftYaHei-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24"/>
    <w:rsid w:val="003A0D24"/>
    <w:rsid w:val="00F17C01"/>
    <w:rsid w:val="01342A65"/>
    <w:rsid w:val="013B6208"/>
    <w:rsid w:val="01B72637"/>
    <w:rsid w:val="05E31F2A"/>
    <w:rsid w:val="0A404226"/>
    <w:rsid w:val="0D3426FA"/>
    <w:rsid w:val="0F6C1E96"/>
    <w:rsid w:val="13853166"/>
    <w:rsid w:val="13AB7BA2"/>
    <w:rsid w:val="147D43E2"/>
    <w:rsid w:val="16D606CD"/>
    <w:rsid w:val="186446B2"/>
    <w:rsid w:val="1A994BC3"/>
    <w:rsid w:val="1B432CE8"/>
    <w:rsid w:val="2C2E6794"/>
    <w:rsid w:val="2F7160D0"/>
    <w:rsid w:val="317A7315"/>
    <w:rsid w:val="31C33AA0"/>
    <w:rsid w:val="48936DA7"/>
    <w:rsid w:val="4C2B4647"/>
    <w:rsid w:val="5053799A"/>
    <w:rsid w:val="5746600B"/>
    <w:rsid w:val="5D1C6587"/>
    <w:rsid w:val="60383330"/>
    <w:rsid w:val="64E51312"/>
    <w:rsid w:val="72880C22"/>
    <w:rsid w:val="72EB7DE0"/>
    <w:rsid w:val="74084BFC"/>
    <w:rsid w:val="74B04322"/>
    <w:rsid w:val="7B544E0F"/>
    <w:rsid w:val="7C300170"/>
    <w:rsid w:val="7EDA2D4B"/>
    <w:rsid w:val="7F574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widowControl w:val="0"/>
      <w:spacing w:line="594" w:lineRule="exact"/>
      <w:ind w:firstLine="200" w:firstLineChars="200"/>
      <w:outlineLvl w:val="2"/>
    </w:pPr>
    <w:rPr>
      <w:rFonts w:ascii="公文小标宋简" w:hAnsi="公文小标宋简" w:eastAsia="方正黑体_GBK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40" w:lineRule="auto"/>
      <w:ind w:firstLine="100" w:firstLineChars="100"/>
    </w:pPr>
    <w:rPr>
      <w:rFonts w:eastAsia="宋体" w:cs="Times New Roman"/>
      <w:kern w:val="2"/>
      <w:sz w:val="28"/>
      <w:szCs w:val="24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方正仿宋_GBK" w:cs="Arial"/>
      <w:sz w:val="32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Plain Text"/>
    <w:basedOn w:val="1"/>
    <w:qFormat/>
    <w:uiPriority w:val="0"/>
    <w:pPr>
      <w:ind w:firstLine="200" w:firstLineChars="200"/>
    </w:pPr>
    <w:rPr>
      <w:rFonts w:ascii="方正黑体_GBK" w:hAnsi="方正黑体_GBK" w:eastAsia="仿宋_GB2312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2022-09-19T08:08:00Z</dcterms:created>
  <dc:creator>Administrator</dc:creator>
  <cp:lastModifiedBy>Administrator</cp:lastModifiedBy>
  <cp:lastPrinted>2024-12-25T08:56:00Z</cp:lastPrinted>
  <dcterms:modified xsi:type="dcterms:W3CDTF">2025-01-02T01:24:53Z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