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napToGrid w:val="0"/>
        <w:spacing w:line="594" w:lineRule="exact"/>
        <w:ind w:right="0" w:rightChars="0"/>
        <w:jc w:val="center"/>
        <w:rPr>
          <w:rFonts w:hint="eastAsia" w:ascii="方正仿宋_GBK" w:hAnsi="方正仿宋_GBK" w:eastAsia="方正仿宋_GBK" w:cs="方正仿宋_GBK"/>
          <w:b w:val="0"/>
          <w:bCs w:val="0"/>
          <w:w w:val="100"/>
          <w:sz w:val="21"/>
          <w:szCs w:val="21"/>
          <w:lang w:eastAsia="zh-CN"/>
        </w:rPr>
      </w:pPr>
    </w:p>
    <w:p>
      <w:pPr>
        <w:keepNext w:val="0"/>
        <w:keepLines w:val="0"/>
        <w:pageBreakBefore w:val="0"/>
        <w:kinsoku/>
        <w:wordWrap/>
        <w:overflowPunct/>
        <w:topLinePunct w:val="0"/>
        <w:autoSpaceDE/>
        <w:bidi w:val="0"/>
        <w:adjustRightInd w:val="0"/>
        <w:snapToGrid w:val="0"/>
        <w:spacing w:line="594" w:lineRule="exact"/>
        <w:ind w:right="0" w:rightChars="0"/>
        <w:jc w:val="center"/>
        <w:rPr>
          <w:rFonts w:hint="eastAsia" w:ascii="Times New Roman" w:hAnsi="Times New Roman" w:eastAsia="方正小标宋_GBK" w:cs="Times New Roman"/>
          <w:b w:val="0"/>
          <w:bCs w:val="0"/>
          <w:w w:val="100"/>
          <w:sz w:val="44"/>
          <w:szCs w:val="44"/>
          <w:lang w:eastAsia="zh-CN"/>
        </w:rPr>
      </w:pPr>
      <w:r>
        <w:rPr>
          <w:rFonts w:hint="eastAsia" w:ascii="Times New Roman" w:hAnsi="Times New Roman" w:eastAsia="方正小标宋_GBK" w:cs="Times New Roman"/>
          <w:b w:val="0"/>
          <w:bCs w:val="0"/>
          <w:w w:val="100"/>
          <w:sz w:val="44"/>
          <w:szCs w:val="44"/>
          <w:lang w:eastAsia="zh-CN"/>
        </w:rPr>
        <w:t>重庆市沙坪坝区三峡广场商圈管理委员会</w:t>
      </w:r>
    </w:p>
    <w:p>
      <w:pPr>
        <w:keepNext w:val="0"/>
        <w:keepLines w:val="0"/>
        <w:pageBreakBefore w:val="0"/>
        <w:kinsoku/>
        <w:wordWrap/>
        <w:overflowPunct/>
        <w:topLinePunct w:val="0"/>
        <w:autoSpaceDE/>
        <w:bidi w:val="0"/>
        <w:adjustRightInd w:val="0"/>
        <w:snapToGrid w:val="0"/>
        <w:spacing w:line="594" w:lineRule="exact"/>
        <w:ind w:right="0" w:rightChars="0"/>
        <w:jc w:val="center"/>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小标宋_GBK" w:cs="Times New Roman"/>
          <w:b w:val="0"/>
          <w:bCs w:val="0"/>
          <w:w w:val="100"/>
          <w:sz w:val="44"/>
          <w:szCs w:val="44"/>
          <w:lang w:val="en-US" w:eastAsia="zh-CN"/>
        </w:rPr>
        <w:t>2021</w:t>
      </w:r>
      <w:r>
        <w:rPr>
          <w:rFonts w:hint="default" w:ascii="Times New Roman" w:hAnsi="Times New Roman" w:eastAsia="方正小标宋_GBK" w:cs="Times New Roman"/>
          <w:b w:val="0"/>
          <w:bCs w:val="0"/>
          <w:w w:val="100"/>
          <w:sz w:val="44"/>
          <w:szCs w:val="44"/>
          <w:lang w:val="en-US" w:eastAsia="zh-CN"/>
        </w:rPr>
        <w:t>年法治政府建设</w:t>
      </w:r>
      <w:r>
        <w:rPr>
          <w:rFonts w:hint="eastAsia" w:ascii="Times New Roman" w:hAnsi="Times New Roman" w:eastAsia="方正小标宋_GBK" w:cs="Times New Roman"/>
          <w:b w:val="0"/>
          <w:bCs w:val="0"/>
          <w:w w:val="100"/>
          <w:sz w:val="44"/>
          <w:szCs w:val="44"/>
          <w:lang w:val="en-US" w:eastAsia="zh-CN"/>
        </w:rPr>
        <w:t>年度</w:t>
      </w:r>
      <w:r>
        <w:rPr>
          <w:rFonts w:hint="default" w:ascii="Times New Roman" w:hAnsi="Times New Roman" w:eastAsia="方正小标宋_GBK" w:cs="Times New Roman"/>
          <w:b w:val="0"/>
          <w:bCs w:val="0"/>
          <w:w w:val="100"/>
          <w:sz w:val="44"/>
          <w:szCs w:val="44"/>
          <w:lang w:val="en-US" w:eastAsia="zh-CN"/>
        </w:rPr>
        <w:t>报告</w:t>
      </w:r>
    </w:p>
    <w:p>
      <w:pPr>
        <w:keepNext w:val="0"/>
        <w:keepLines w:val="0"/>
        <w:pageBreakBefore w:val="0"/>
        <w:kinsoku/>
        <w:wordWrap/>
        <w:overflowPunct/>
        <w:topLinePunct w:val="0"/>
        <w:autoSpaceDE/>
        <w:autoSpaceDN/>
        <w:bidi w:val="0"/>
        <w:adjustRightInd w:val="0"/>
        <w:snapToGrid w:val="0"/>
        <w:spacing w:line="594" w:lineRule="exact"/>
        <w:ind w:right="0" w:rightChars="0"/>
        <w:jc w:val="left"/>
        <w:textAlignment w:val="auto"/>
        <w:outlineLvl w:val="9"/>
        <w:rPr>
          <w:rFonts w:hint="default" w:ascii="Times New Roman" w:hAnsi="Times New Roman" w:eastAsia="方正仿宋_GBK" w:cs="Times New Roman"/>
          <w:sz w:val="32"/>
          <w:szCs w:val="32"/>
          <w:lang w:eastAsia="zh-CN"/>
        </w:rPr>
      </w:pPr>
    </w:p>
    <w:p>
      <w:pPr>
        <w:pStyle w:val="18"/>
        <w:keepNext w:val="0"/>
        <w:keepLines w:val="0"/>
        <w:pageBreakBefore w:val="0"/>
        <w:widowControl/>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lang w:val="en-US" w:eastAsia="zh-CN"/>
        </w:rPr>
      </w:pPr>
      <w:r>
        <w:rPr>
          <w:rFonts w:hint="eastAsia" w:ascii="Times New Roman" w:hAnsi="Times New Roman" w:eastAsia="方正仿宋_GBK" w:cs="Times New Roman"/>
          <w:b w:val="0"/>
          <w:bCs w:val="0"/>
          <w:sz w:val="32"/>
          <w:szCs w:val="32"/>
          <w:lang w:val="en-US" w:eastAsia="zh-CN"/>
        </w:rPr>
        <w:t>2021年，三峡广场商圈管理委员会坚持以习近平新时代中国特色社会主义思想为指导，全面贯彻党的十九大和十九届历次全会精神，深入学习贯彻习近平法治思想和中央全面依法治国工作会议精神，根据《重庆市〈法治中国建设规划（2020—2025年）〉实施方案》《2021年沙坪坝区法治政府建设工作要点》任务要求，严格依法行政，切实履行职责，</w:t>
      </w:r>
      <w:r>
        <w:rPr>
          <w:rFonts w:hint="default" w:ascii="Times New Roman" w:hAnsi="Times New Roman" w:eastAsia="方正仿宋_GBK" w:cs="Times New Roman"/>
          <w:b w:val="0"/>
          <w:bCs w:val="0"/>
          <w:sz w:val="32"/>
          <w:szCs w:val="32"/>
          <w:lang w:val="en-US" w:eastAsia="zh-CN"/>
        </w:rPr>
        <w:t>坚定不移推进法治政府建设</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现将有关情况报告如下：</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ind w:right="0" w:rightChars="0" w:firstLine="640" w:firstLineChars="200"/>
        <w:textAlignment w:val="auto"/>
        <w:rPr>
          <w:rFonts w:hint="eastAsia" w:ascii="Times New Roman" w:hAnsi="Times New Roman" w:eastAsia="方正黑体_GBK" w:cs="Times New Roman"/>
          <w:b w:val="0"/>
          <w:bCs w:val="0"/>
          <w:color w:val="000000"/>
          <w:sz w:val="32"/>
          <w:szCs w:val="32"/>
          <w:lang w:eastAsia="zh-CN"/>
        </w:rPr>
      </w:pPr>
      <w:r>
        <w:rPr>
          <w:rFonts w:hint="eastAsia" w:ascii="Times New Roman" w:hAnsi="Times New Roman" w:eastAsia="方正黑体_GBK" w:cs="Times New Roman"/>
          <w:b w:val="0"/>
          <w:bCs w:val="0"/>
          <w:color w:val="000000"/>
          <w:sz w:val="32"/>
          <w:szCs w:val="32"/>
          <w:lang w:eastAsia="zh-CN"/>
        </w:rPr>
        <w:t>一</w:t>
      </w:r>
      <w:r>
        <w:rPr>
          <w:rFonts w:hint="default" w:ascii="Times New Roman" w:hAnsi="Times New Roman" w:eastAsia="方正黑体_GBK" w:cs="Times New Roman"/>
          <w:b w:val="0"/>
          <w:bCs w:val="0"/>
          <w:color w:val="000000"/>
          <w:sz w:val="32"/>
          <w:szCs w:val="32"/>
        </w:rPr>
        <w:t>、主要</w:t>
      </w:r>
      <w:r>
        <w:rPr>
          <w:rFonts w:hint="eastAsia" w:ascii="Times New Roman" w:hAnsi="Times New Roman" w:eastAsia="方正黑体_GBK" w:cs="Times New Roman"/>
          <w:b w:val="0"/>
          <w:bCs w:val="0"/>
          <w:color w:val="000000"/>
          <w:sz w:val="32"/>
          <w:szCs w:val="32"/>
          <w:lang w:eastAsia="zh-CN"/>
        </w:rPr>
        <w:t>举措和成效</w:t>
      </w:r>
    </w:p>
    <w:p>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楷体_GBK" w:cs="Times New Roman"/>
          <w:b w:val="0"/>
          <w:bCs w:val="0"/>
          <w:color w:val="000000"/>
          <w:w w:val="100"/>
          <w:sz w:val="32"/>
          <w:szCs w:val="32"/>
        </w:rPr>
        <w:t>（一）</w:t>
      </w:r>
      <w:r>
        <w:rPr>
          <w:rFonts w:hint="eastAsia" w:ascii="Times New Roman" w:hAnsi="Times New Roman" w:eastAsia="方正楷体_GBK" w:cs="Times New Roman"/>
          <w:b w:val="0"/>
          <w:bCs w:val="0"/>
          <w:color w:val="000000"/>
          <w:w w:val="100"/>
          <w:sz w:val="32"/>
          <w:szCs w:val="32"/>
        </w:rPr>
        <w:t>深学笃用习近平法治思想，统筹谋划推进法治政府建设</w:t>
      </w:r>
      <w:r>
        <w:rPr>
          <w:rFonts w:hint="eastAsia" w:ascii="Times New Roman" w:hAnsi="Times New Roman" w:eastAsia="方正楷体_GBK" w:cs="Times New Roman"/>
          <w:b w:val="0"/>
          <w:bCs w:val="0"/>
          <w:color w:val="000000"/>
          <w:w w:val="100"/>
          <w:sz w:val="32"/>
          <w:szCs w:val="32"/>
          <w:lang w:eastAsia="zh-CN"/>
        </w:rPr>
        <w:t>。</w:t>
      </w:r>
      <w:r>
        <w:rPr>
          <w:rFonts w:hint="default"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val="0"/>
          <w:bCs w:val="0"/>
          <w:sz w:val="32"/>
          <w:szCs w:val="32"/>
          <w:lang w:val="en-US" w:eastAsia="zh-CN"/>
        </w:rPr>
        <w:t>每月坚持在理论中心组学习、主题党日学习中把习近平法治思想作为学习重点内容，</w:t>
      </w:r>
      <w:r>
        <w:rPr>
          <w:rFonts w:hint="default" w:ascii="Times New Roman" w:hAnsi="Times New Roman" w:eastAsia="方正仿宋_GBK" w:cs="Times New Roman"/>
          <w:b w:val="0"/>
          <w:bCs w:val="0"/>
          <w:sz w:val="32"/>
          <w:szCs w:val="32"/>
          <w:lang w:val="en-US" w:eastAsia="zh-CN"/>
        </w:rPr>
        <w:t>全面提高干部职工依法行政能力。充分利用学法用法考试、</w:t>
      </w:r>
      <w:r>
        <w:rPr>
          <w:rFonts w:hint="eastAsia" w:ascii="Times New Roman" w:hAnsi="Times New Roman" w:eastAsia="方正仿宋_GBK" w:cs="Times New Roman"/>
          <w:b w:val="0"/>
          <w:bCs w:val="0"/>
          <w:sz w:val="32"/>
          <w:szCs w:val="32"/>
          <w:lang w:val="en-US" w:eastAsia="zh-CN"/>
        </w:rPr>
        <w:t>普法宣传</w:t>
      </w:r>
      <w:r>
        <w:rPr>
          <w:rFonts w:hint="default" w:ascii="Times New Roman" w:hAnsi="Times New Roman" w:eastAsia="方正仿宋_GBK" w:cs="Times New Roman"/>
          <w:b w:val="0"/>
          <w:bCs w:val="0"/>
          <w:sz w:val="32"/>
          <w:szCs w:val="32"/>
          <w:lang w:val="en-US" w:eastAsia="zh-CN"/>
        </w:rPr>
        <w:t>等活动契机，系统组织干部职工学法用法，进一步把法治建设的各项要求体现到全委业务工作和日常管理中</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color w:val="auto"/>
          <w:spacing w:val="0"/>
          <w:sz w:val="32"/>
          <w:szCs w:val="32"/>
          <w:lang w:val="en-US" w:eastAsia="zh-CN"/>
        </w:rPr>
        <w:t>组织开展行政执法人员公共法律知识、专门法律知识、新法律法规等专题培训，</w:t>
      </w:r>
      <w:r>
        <w:rPr>
          <w:rFonts w:hint="default" w:ascii="Times New Roman" w:hAnsi="Times New Roman" w:eastAsia="方正仿宋_GBK" w:cs="Times New Roman"/>
          <w:b w:val="0"/>
          <w:bCs w:val="0"/>
          <w:color w:val="000000"/>
          <w:kern w:val="0"/>
          <w:sz w:val="32"/>
          <w:szCs w:val="32"/>
          <w:lang w:val="en-US" w:eastAsia="zh-CN"/>
        </w:rPr>
        <w:t>开展城市管理相关法律法规</w:t>
      </w:r>
      <w:r>
        <w:rPr>
          <w:rFonts w:hint="eastAsia" w:ascii="Times New Roman" w:hAnsi="Times New Roman" w:eastAsia="方正仿宋_GBK" w:cs="Times New Roman"/>
          <w:b w:val="0"/>
          <w:bCs w:val="0"/>
          <w:color w:val="000000"/>
          <w:kern w:val="0"/>
          <w:sz w:val="32"/>
          <w:szCs w:val="32"/>
          <w:lang w:val="en-US" w:eastAsia="zh-CN"/>
        </w:rPr>
        <w:t>学习</w:t>
      </w:r>
      <w:r>
        <w:rPr>
          <w:rFonts w:hint="default" w:ascii="Times New Roman" w:hAnsi="Times New Roman" w:eastAsia="方正仿宋_GBK" w:cs="Times New Roman"/>
          <w:b w:val="0"/>
          <w:bCs w:val="0"/>
          <w:color w:val="000000"/>
          <w:kern w:val="0"/>
          <w:sz w:val="32"/>
          <w:szCs w:val="32"/>
          <w:lang w:val="en-US" w:eastAsia="zh-CN"/>
        </w:rPr>
        <w:t>培训，</w:t>
      </w:r>
      <w:r>
        <w:rPr>
          <w:rFonts w:hint="eastAsia" w:ascii="Times New Roman" w:hAnsi="Times New Roman" w:eastAsia="方正仿宋_GBK" w:cs="Times New Roman"/>
          <w:b w:val="0"/>
          <w:bCs w:val="0"/>
          <w:color w:val="000000"/>
          <w:kern w:val="0"/>
          <w:sz w:val="32"/>
          <w:szCs w:val="32"/>
          <w:lang w:val="en-US" w:eastAsia="zh-CN"/>
        </w:rPr>
        <w:t>强化纪律</w:t>
      </w:r>
      <w:r>
        <w:rPr>
          <w:rFonts w:hint="default" w:ascii="Times New Roman" w:hAnsi="Times New Roman" w:eastAsia="方正仿宋_GBK" w:cs="Times New Roman"/>
          <w:b w:val="0"/>
          <w:bCs w:val="0"/>
          <w:color w:val="000000"/>
          <w:kern w:val="0"/>
          <w:sz w:val="32"/>
          <w:szCs w:val="32"/>
          <w:lang w:val="en-US" w:eastAsia="zh-CN"/>
        </w:rPr>
        <w:t>管理，</w:t>
      </w:r>
      <w:r>
        <w:rPr>
          <w:rFonts w:hint="default" w:ascii="Times New Roman" w:hAnsi="Times New Roman" w:eastAsia="方正仿宋_GBK" w:cs="Times New Roman"/>
          <w:b w:val="0"/>
          <w:bCs w:val="0"/>
          <w:sz w:val="32"/>
          <w:szCs w:val="32"/>
        </w:rPr>
        <w:t>切实提高执法人员业务水平。</w:t>
      </w:r>
      <w:r>
        <w:rPr>
          <w:rFonts w:hint="eastAsia"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val="0"/>
          <w:bCs w:val="0"/>
          <w:sz w:val="32"/>
          <w:szCs w:val="32"/>
        </w:rPr>
        <w:t>全面加强党对法治政府建设的组织领导，始终坚持党总揽全局、协调各方的特殊作用，充分发挥</w:t>
      </w:r>
      <w:r>
        <w:rPr>
          <w:rFonts w:hint="eastAsia" w:ascii="Times New Roman" w:hAnsi="Times New Roman" w:eastAsia="方正仿宋_GBK" w:cs="Times New Roman"/>
          <w:b w:val="0"/>
          <w:bCs w:val="0"/>
          <w:sz w:val="32"/>
          <w:szCs w:val="32"/>
          <w:lang w:eastAsia="zh-CN"/>
        </w:rPr>
        <w:t>党工委</w:t>
      </w:r>
      <w:r>
        <w:rPr>
          <w:rFonts w:hint="default" w:ascii="Times New Roman" w:hAnsi="Times New Roman" w:eastAsia="方正仿宋_GBK" w:cs="Times New Roman"/>
          <w:b w:val="0"/>
          <w:bCs w:val="0"/>
          <w:sz w:val="32"/>
          <w:szCs w:val="32"/>
        </w:rPr>
        <w:t>领导的核心作用，坚持把党的领导贯彻到法治政府建设的各方面</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ascii="微软雅黑" w:hAnsi="微软雅黑" w:eastAsia="微软雅黑" w:cs="微软雅黑"/>
          <w:i w:val="0"/>
          <w:iCs w:val="0"/>
          <w:caps w:val="0"/>
          <w:color w:val="484848"/>
          <w:spacing w:val="0"/>
          <w:sz w:val="27"/>
          <w:szCs w:val="27"/>
        </w:rPr>
      </w:pPr>
      <w:r>
        <w:rPr>
          <w:rFonts w:hint="eastAsia" w:ascii="Times New Roman" w:hAnsi="Times New Roman" w:eastAsia="方正楷体_GBK" w:cs="Times New Roman"/>
          <w:b w:val="0"/>
          <w:bCs w:val="0"/>
          <w:color w:val="000000"/>
          <w:sz w:val="32"/>
          <w:szCs w:val="32"/>
          <w:lang w:eastAsia="zh-CN"/>
        </w:rPr>
        <w:t>（二）</w:t>
      </w:r>
      <w:r>
        <w:rPr>
          <w:rFonts w:hint="eastAsia" w:ascii="Times New Roman" w:hAnsi="Times New Roman" w:eastAsia="方正楷体_GBK" w:cs="Times New Roman"/>
          <w:b w:val="0"/>
          <w:bCs w:val="0"/>
          <w:color w:val="000000"/>
          <w:sz w:val="32"/>
          <w:szCs w:val="32"/>
        </w:rPr>
        <w:t>深化“放管服”改革，大力营造法治化营商环境</w:t>
      </w:r>
      <w:r>
        <w:rPr>
          <w:rFonts w:hint="eastAsia" w:ascii="Times New Roman" w:hAnsi="Times New Roman" w:eastAsia="方正楷体_GBK" w:cs="Times New Roman"/>
          <w:b w:val="0"/>
          <w:bCs w:val="0"/>
          <w:color w:val="000000"/>
          <w:sz w:val="32"/>
          <w:szCs w:val="32"/>
          <w:lang w:eastAsia="zh-CN"/>
        </w:rPr>
        <w:t>。</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val="0"/>
          <w:bCs w:val="0"/>
          <w:sz w:val="32"/>
          <w:szCs w:val="32"/>
          <w:lang w:val="en-US" w:eastAsia="zh-CN"/>
        </w:rPr>
        <w:t>依法全面履行政府职能</w:t>
      </w:r>
      <w:r>
        <w:rPr>
          <w:rFonts w:hint="eastAsia" w:ascii="Times New Roman" w:hAnsi="Times New Roman" w:eastAsia="方正仿宋_GBK" w:cs="Times New Roman"/>
          <w:b w:val="0"/>
          <w:bCs w:val="0"/>
          <w:sz w:val="32"/>
          <w:szCs w:val="32"/>
          <w:lang w:val="en-US" w:eastAsia="zh-CN"/>
        </w:rPr>
        <w:t>，按有法依法、无法依政策、无政策按惯例、无惯例请示上级领导的行政效率规则，严谨地开展各项党政工作。认真开展行政</w:t>
      </w:r>
      <w:r>
        <w:rPr>
          <w:rFonts w:hint="default" w:ascii="Times New Roman" w:hAnsi="Times New Roman" w:eastAsia="方正仿宋_GBK" w:cs="Times New Roman"/>
          <w:b w:val="0"/>
          <w:bCs w:val="0"/>
          <w:sz w:val="32"/>
          <w:szCs w:val="32"/>
        </w:rPr>
        <w:t>决策合法性</w:t>
      </w:r>
      <w:r>
        <w:rPr>
          <w:rFonts w:hint="eastAsia" w:ascii="Times New Roman" w:hAnsi="Times New Roman" w:eastAsia="方正仿宋_GBK" w:cs="Times New Roman"/>
          <w:b w:val="0"/>
          <w:bCs w:val="0"/>
          <w:sz w:val="32"/>
          <w:szCs w:val="32"/>
          <w:lang w:val="en-US" w:eastAsia="zh-CN"/>
        </w:rPr>
        <w:t>审核</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充分发挥</w:t>
      </w:r>
      <w:r>
        <w:rPr>
          <w:rFonts w:hint="default" w:ascii="Times New Roman" w:hAnsi="Times New Roman" w:eastAsia="方正仿宋_GBK" w:cs="Times New Roman"/>
          <w:b w:val="0"/>
          <w:bCs w:val="0"/>
          <w:sz w:val="32"/>
          <w:szCs w:val="32"/>
          <w:lang w:eastAsia="zh-CN"/>
        </w:rPr>
        <w:t>合作</w:t>
      </w:r>
      <w:r>
        <w:rPr>
          <w:rFonts w:hint="default" w:ascii="Times New Roman" w:hAnsi="Times New Roman" w:eastAsia="方正仿宋_GBK" w:cs="Times New Roman"/>
          <w:b w:val="0"/>
          <w:bCs w:val="0"/>
          <w:sz w:val="32"/>
          <w:szCs w:val="32"/>
        </w:rPr>
        <w:t>法律顾问在制定重大行政决策、推进依法行政中</w:t>
      </w:r>
      <w:r>
        <w:rPr>
          <w:rFonts w:hint="default" w:ascii="Times New Roman" w:hAnsi="Times New Roman" w:eastAsia="方正仿宋_GBK" w:cs="Times New Roman"/>
          <w:b w:val="0"/>
          <w:bCs w:val="0"/>
          <w:sz w:val="32"/>
          <w:szCs w:val="32"/>
          <w:lang w:eastAsia="zh-CN"/>
        </w:rPr>
        <w:t>的</w:t>
      </w:r>
      <w:r>
        <w:rPr>
          <w:rFonts w:hint="eastAsia" w:ascii="Times New Roman" w:hAnsi="Times New Roman" w:eastAsia="方正仿宋_GBK" w:cs="Times New Roman"/>
          <w:b w:val="0"/>
          <w:bCs w:val="0"/>
          <w:sz w:val="32"/>
          <w:szCs w:val="32"/>
          <w:lang w:eastAsia="zh-CN"/>
        </w:rPr>
        <w:t>重要</w:t>
      </w:r>
      <w:r>
        <w:rPr>
          <w:rFonts w:hint="default" w:ascii="Times New Roman" w:hAnsi="Times New Roman" w:eastAsia="方正仿宋_GBK" w:cs="Times New Roman"/>
          <w:b w:val="0"/>
          <w:bCs w:val="0"/>
          <w:sz w:val="32"/>
          <w:szCs w:val="32"/>
        </w:rPr>
        <w:t>作用。</w:t>
      </w:r>
      <w:r>
        <w:rPr>
          <w:rFonts w:hint="eastAsia" w:ascii="Times New Roman" w:hAnsi="Times New Roman" w:eastAsia="方正仿宋_GBK" w:cs="Times New Roman"/>
          <w:b w:val="0"/>
          <w:bCs w:val="0"/>
          <w:sz w:val="32"/>
          <w:szCs w:val="32"/>
          <w:lang w:eastAsia="zh-CN"/>
        </w:rPr>
        <w:t>行政决策</w:t>
      </w:r>
      <w:r>
        <w:rPr>
          <w:rFonts w:hint="eastAsia" w:ascii="Times New Roman" w:hAnsi="Times New Roman" w:eastAsia="方正仿宋_GBK" w:cs="Times New Roman"/>
          <w:b w:val="0"/>
          <w:bCs w:val="0"/>
          <w:sz w:val="32"/>
          <w:szCs w:val="32"/>
        </w:rPr>
        <w:t>充分听取</w:t>
      </w:r>
      <w:r>
        <w:rPr>
          <w:rFonts w:hint="eastAsia" w:ascii="Times New Roman" w:hAnsi="Times New Roman" w:eastAsia="方正仿宋_GBK" w:cs="Times New Roman"/>
          <w:b w:val="0"/>
          <w:bCs w:val="0"/>
          <w:sz w:val="32"/>
          <w:szCs w:val="32"/>
          <w:lang w:eastAsia="zh-CN"/>
        </w:rPr>
        <w:t>辖区内生产经营</w:t>
      </w:r>
      <w:r>
        <w:rPr>
          <w:rFonts w:hint="eastAsia" w:ascii="Times New Roman" w:hAnsi="Times New Roman" w:eastAsia="方正仿宋_GBK" w:cs="Times New Roman"/>
          <w:b w:val="0"/>
          <w:bCs w:val="0"/>
          <w:sz w:val="32"/>
          <w:szCs w:val="32"/>
        </w:rPr>
        <w:t>企业、行业协会商会、社会组织、群众代表等的意见</w:t>
      </w:r>
      <w:r>
        <w:rPr>
          <w:rFonts w:hint="eastAsia" w:ascii="Times New Roman" w:hAnsi="Times New Roman" w:eastAsia="方正仿宋_GBK" w:cs="Times New Roman"/>
          <w:b w:val="0"/>
          <w:bCs w:val="0"/>
          <w:sz w:val="32"/>
          <w:szCs w:val="32"/>
          <w:lang w:val="en-US" w:eastAsia="zh-CN"/>
        </w:rPr>
        <w:t>。</w:t>
      </w:r>
      <w:r>
        <w:rPr>
          <w:rFonts w:hint="eastAsia" w:ascii="方正仿宋_GBK" w:hAnsi="方正仿宋_GBK" w:eastAsia="方正仿宋_GBK" w:cs="方正仿宋_GBK"/>
          <w:b/>
          <w:bCs/>
          <w:i w:val="0"/>
          <w:caps w:val="0"/>
          <w:color w:val="333333"/>
          <w:spacing w:val="0"/>
          <w:sz w:val="31"/>
          <w:szCs w:val="31"/>
          <w:shd w:val="clear" w:color="auto" w:fill="FFFFFF"/>
          <w:lang w:eastAsia="zh-CN"/>
        </w:rPr>
        <w:t>二是</w:t>
      </w:r>
      <w:r>
        <w:rPr>
          <w:rFonts w:hint="eastAsia" w:ascii="方正仿宋_GBK" w:hAnsi="方正仿宋_GBK" w:eastAsia="方正仿宋_GBK" w:cs="方正仿宋_GBK"/>
          <w:sz w:val="32"/>
          <w:szCs w:val="32"/>
        </w:rPr>
        <w:t>深化行政审批制度改革，</w:t>
      </w:r>
      <w:r>
        <w:rPr>
          <w:rFonts w:hint="eastAsia" w:ascii="Times New Roman" w:hAnsi="Times New Roman" w:eastAsia="方正仿宋_GBK" w:cs="Times New Roman"/>
          <w:sz w:val="32"/>
          <w:szCs w:val="32"/>
        </w:rPr>
        <w:t>贯彻落实《优化营商环境条例》</w:t>
      </w:r>
      <w:r>
        <w:rPr>
          <w:rFonts w:hint="eastAsia" w:ascii="Times New Roman" w:hAnsi="Times New Roman" w:eastAsia="方正仿宋_GBK" w:cs="Times New Roman"/>
          <w:sz w:val="32"/>
          <w:szCs w:val="32"/>
          <w:lang w:eastAsia="zh-CN"/>
        </w:rPr>
        <w:t>，全面</w:t>
      </w:r>
      <w:r>
        <w:rPr>
          <w:rFonts w:hint="eastAsia" w:ascii="Times New Roman" w:hAnsi="Times New Roman" w:eastAsia="方正仿宋_GBK" w:cs="Times New Roman"/>
          <w:sz w:val="32"/>
          <w:szCs w:val="32"/>
        </w:rPr>
        <w:t>清理与优化营商环境要求不符的各项规定</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w w:val="100"/>
          <w:sz w:val="32"/>
          <w:szCs w:val="32"/>
          <w:lang w:eastAsia="zh-CN"/>
        </w:rPr>
        <w:t>优化施工占道、活动外展、店招店牌设置等</w:t>
      </w:r>
      <w:r>
        <w:rPr>
          <w:rFonts w:hint="default" w:ascii="Times New Roman" w:hAnsi="Times New Roman" w:eastAsia="方正仿宋_GBK" w:cs="Times New Roman"/>
          <w:w w:val="100"/>
          <w:sz w:val="32"/>
          <w:szCs w:val="32"/>
          <w:lang w:val="en-US" w:eastAsia="zh-CN"/>
        </w:rPr>
        <w:t>5项</w:t>
      </w:r>
      <w:r>
        <w:rPr>
          <w:rFonts w:hint="eastAsia" w:ascii="方正仿宋_GBK" w:hAnsi="方正仿宋_GBK" w:eastAsia="方正仿宋_GBK" w:cs="方正仿宋_GBK"/>
          <w:w w:val="100"/>
          <w:sz w:val="32"/>
          <w:szCs w:val="32"/>
        </w:rPr>
        <w:t>审批事项流程，提高办事效率，</w:t>
      </w:r>
      <w:r>
        <w:rPr>
          <w:rFonts w:hint="eastAsia" w:ascii="方正仿宋_GBK" w:hAnsi="方正仿宋_GBK" w:eastAsia="方正仿宋_GBK" w:cs="方正仿宋_GBK"/>
          <w:w w:val="100"/>
          <w:sz w:val="32"/>
          <w:szCs w:val="32"/>
          <w:lang w:eastAsia="zh-CN"/>
        </w:rPr>
        <w:t>实现最多跑一次目标，</w:t>
      </w:r>
      <w:r>
        <w:rPr>
          <w:rFonts w:hint="eastAsia" w:ascii="方正仿宋_GBK" w:hAnsi="方正仿宋_GBK" w:eastAsia="方正仿宋_GBK" w:cs="方正仿宋_GBK"/>
          <w:w w:val="100"/>
          <w:sz w:val="32"/>
          <w:szCs w:val="32"/>
        </w:rPr>
        <w:t>为企业进一步减负。</w:t>
      </w:r>
      <w:r>
        <w:rPr>
          <w:rFonts w:hint="eastAsia" w:ascii="方正仿宋_GBK" w:hAnsi="方正仿宋_GBK" w:eastAsia="方正仿宋_GBK" w:cs="方正仿宋_GBK"/>
          <w:b/>
          <w:bCs/>
          <w:w w:val="100"/>
          <w:sz w:val="32"/>
          <w:szCs w:val="32"/>
          <w:lang w:eastAsia="zh-CN"/>
        </w:rPr>
        <w:t>三是</w:t>
      </w:r>
      <w:r>
        <w:rPr>
          <w:rFonts w:hint="eastAsia" w:ascii="Times New Roman" w:hAnsi="Times New Roman" w:eastAsia="方正仿宋_GBK" w:cs="Times New Roman"/>
          <w:sz w:val="32"/>
          <w:szCs w:val="32"/>
          <w:lang w:eastAsia="zh-CN"/>
        </w:rPr>
        <w:t>在门户网上</w:t>
      </w:r>
      <w:r>
        <w:rPr>
          <w:rFonts w:hint="eastAsia" w:ascii="Times New Roman" w:hAnsi="Times New Roman" w:eastAsia="方正仿宋_GBK" w:cs="Times New Roman"/>
          <w:b w:val="0"/>
          <w:bCs w:val="0"/>
          <w:sz w:val="32"/>
          <w:szCs w:val="32"/>
          <w:lang w:val="en-US" w:eastAsia="zh-CN"/>
        </w:rPr>
        <w:t>主动公开、动态更新部门权责清单，广泛接受群众监督。辖区内严格规范市场准入管理，推动“非禁即入”落实落地；同时，制定并出台《关于支持辖区社零经济发展八条措施》等扶持企业发展举措，组织开展“学史力行办实事·扶弱纾困促发展”等系列活动，进一步降低小微企业经营成本。</w:t>
      </w:r>
    </w:p>
    <w:p>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Times New Roman" w:hAnsi="Times New Roman" w:eastAsia="方正楷体_GBK" w:cs="Times New Roman"/>
          <w:b w:val="0"/>
          <w:bCs w:val="0"/>
          <w:color w:val="000000"/>
          <w:sz w:val="32"/>
          <w:szCs w:val="32"/>
          <w:lang w:eastAsia="zh-CN"/>
        </w:rPr>
      </w:pPr>
      <w:r>
        <w:rPr>
          <w:rFonts w:hint="eastAsia" w:ascii="Times New Roman" w:hAnsi="Times New Roman" w:eastAsia="方正楷体_GBK" w:cs="Times New Roman"/>
          <w:b w:val="0"/>
          <w:bCs w:val="0"/>
          <w:color w:val="000000"/>
          <w:sz w:val="32"/>
          <w:szCs w:val="32"/>
          <w:lang w:eastAsia="zh-CN"/>
        </w:rPr>
        <w:t>（三）推进规范管理，进一步完善依法行政制度体系。</w:t>
      </w:r>
      <w:r>
        <w:rPr>
          <w:rFonts w:hint="default" w:ascii="方正仿宋_GBK" w:hAnsi="方正仿宋_GBK" w:eastAsia="方正仿宋_GBK" w:cs="方正仿宋_GBK"/>
          <w:sz w:val="32"/>
          <w:szCs w:val="32"/>
          <w:lang w:eastAsia="zh-CN"/>
        </w:rPr>
        <w:t>严格落实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沙坪坝区行政规范性文件管理办法》</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进一步加强</w:t>
      </w:r>
      <w:r>
        <w:rPr>
          <w:rFonts w:hint="default" w:ascii="方正仿宋_GBK" w:hAnsi="方正仿宋_GBK" w:eastAsia="方正仿宋_GBK" w:cs="方正仿宋_GBK"/>
          <w:sz w:val="32"/>
          <w:szCs w:val="32"/>
          <w:lang w:eastAsia="zh-CN"/>
        </w:rPr>
        <w:t>对行政规范性文件</w:t>
      </w:r>
      <w:r>
        <w:rPr>
          <w:rFonts w:hint="eastAsia" w:ascii="方正仿宋_GBK" w:hAnsi="方正仿宋_GBK" w:eastAsia="方正仿宋_GBK" w:cs="方正仿宋_GBK"/>
          <w:sz w:val="32"/>
          <w:szCs w:val="32"/>
          <w:lang w:eastAsia="zh-CN"/>
        </w:rPr>
        <w:t>格式及制发</w:t>
      </w:r>
      <w:r>
        <w:rPr>
          <w:rFonts w:hint="default" w:ascii="方正仿宋_GBK" w:hAnsi="方正仿宋_GBK" w:eastAsia="方正仿宋_GBK" w:cs="方正仿宋_GBK"/>
          <w:sz w:val="32"/>
          <w:szCs w:val="32"/>
          <w:lang w:eastAsia="zh-CN"/>
        </w:rPr>
        <w:t>程序的管理</w:t>
      </w:r>
      <w:r>
        <w:rPr>
          <w:rFonts w:hint="eastAsia" w:ascii="方正仿宋_GBK" w:hAnsi="方正仿宋_GBK" w:eastAsia="方正仿宋_GBK" w:cs="方正仿宋_GBK"/>
          <w:sz w:val="32"/>
          <w:szCs w:val="32"/>
          <w:lang w:eastAsia="zh-CN"/>
        </w:rPr>
        <w:t>，加强</w:t>
      </w:r>
      <w:r>
        <w:rPr>
          <w:rFonts w:hint="default" w:ascii="方正仿宋_GBK" w:hAnsi="方正仿宋_GBK" w:eastAsia="方正仿宋_GBK" w:cs="方正仿宋_GBK"/>
          <w:sz w:val="32"/>
          <w:szCs w:val="32"/>
        </w:rPr>
        <w:t>规范性文件</w:t>
      </w:r>
      <w:r>
        <w:rPr>
          <w:rFonts w:hint="eastAsia" w:ascii="方正仿宋_GBK" w:hAnsi="方正仿宋_GBK" w:eastAsia="方正仿宋_GBK" w:cs="方正仿宋_GBK"/>
          <w:sz w:val="32"/>
          <w:szCs w:val="32"/>
          <w:lang w:eastAsia="zh-CN"/>
        </w:rPr>
        <w:t>审查</w:t>
      </w:r>
      <w:r>
        <w:rPr>
          <w:rFonts w:hint="default" w:ascii="方正仿宋_GBK" w:hAnsi="方正仿宋_GBK" w:eastAsia="方正仿宋_GBK" w:cs="方正仿宋_GBK"/>
          <w:sz w:val="32"/>
          <w:szCs w:val="32"/>
        </w:rPr>
        <w:t>备案</w:t>
      </w:r>
      <w:r>
        <w:rPr>
          <w:rFonts w:hint="eastAsia" w:ascii="方正仿宋_GBK" w:hAnsi="方正仿宋_GBK" w:eastAsia="方正仿宋_GBK" w:cs="方正仿宋_GBK"/>
          <w:sz w:val="32"/>
          <w:szCs w:val="32"/>
          <w:lang w:eastAsia="zh-CN"/>
        </w:rPr>
        <w:t>工作</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年未制定规范性文件，</w:t>
      </w:r>
      <w:r>
        <w:rPr>
          <w:rFonts w:hint="eastAsia" w:ascii="方正仿宋_GBK" w:hAnsi="方正仿宋_GBK" w:eastAsia="方正仿宋_GBK" w:cs="方正仿宋_GBK"/>
          <w:sz w:val="32"/>
          <w:szCs w:val="32"/>
          <w:lang w:eastAsia="zh-CN"/>
        </w:rPr>
        <w:t>未</w:t>
      </w:r>
      <w:r>
        <w:rPr>
          <w:rFonts w:hint="eastAsia" w:ascii="方正仿宋_GBK" w:hAnsi="方正仿宋_GBK" w:eastAsia="方正仿宋_GBK" w:cs="方正仿宋_GBK"/>
          <w:sz w:val="32"/>
          <w:szCs w:val="32"/>
        </w:rPr>
        <w:t>违法设定行政许可、行政处罚、行政强制等事项</w:t>
      </w:r>
      <w:r>
        <w:rPr>
          <w:rFonts w:hint="eastAsia" w:ascii="方正仿宋_GBK" w:hAnsi="方正仿宋_GBK" w:eastAsia="方正仿宋_GBK" w:cs="方正仿宋_GBK"/>
          <w:sz w:val="32"/>
          <w:szCs w:val="32"/>
          <w:lang w:eastAsia="zh-CN"/>
        </w:rPr>
        <w:t>，未</w:t>
      </w:r>
      <w:r>
        <w:rPr>
          <w:rFonts w:hint="eastAsia" w:ascii="方正仿宋_GBK" w:hAnsi="方正仿宋_GBK" w:eastAsia="方正仿宋_GBK" w:cs="方正仿宋_GBK"/>
          <w:sz w:val="32"/>
          <w:szCs w:val="32"/>
        </w:rPr>
        <w:t>发生因行政规范性文件内容违法或超越法定职权，被本级人大</w:t>
      </w:r>
      <w:r>
        <w:rPr>
          <w:rFonts w:hint="eastAsia" w:ascii="方正仿宋_GBK" w:hAnsi="方正仿宋_GBK" w:eastAsia="方正仿宋_GBK" w:cs="方正仿宋_GBK"/>
          <w:sz w:val="32"/>
          <w:szCs w:val="32"/>
          <w:lang w:eastAsia="zh-CN"/>
        </w:rPr>
        <w:t>常委</w:t>
      </w:r>
      <w:r>
        <w:rPr>
          <w:rFonts w:hint="eastAsia" w:ascii="方正仿宋_GBK" w:hAnsi="方正仿宋_GBK" w:eastAsia="方正仿宋_GBK" w:cs="方正仿宋_GBK"/>
          <w:sz w:val="32"/>
          <w:szCs w:val="32"/>
        </w:rPr>
        <w:t>会或者上级行政机关责令改正或者撤消的情况，被行政复议机关、人民法院认定为不合法的情况。</w:t>
      </w:r>
    </w:p>
    <w:p>
      <w:pPr>
        <w:pStyle w:val="18"/>
        <w:keepNext w:val="0"/>
        <w:keepLines w:val="0"/>
        <w:pageBreakBefore w:val="0"/>
        <w:widowControl/>
        <w:numPr>
          <w:ilvl w:val="0"/>
          <w:numId w:val="0"/>
        </w:numPr>
        <w:kinsoku/>
        <w:wordWrap/>
        <w:overflowPunct/>
        <w:topLinePunct w:val="0"/>
        <w:autoSpaceDE/>
        <w:autoSpaceDN/>
        <w:bidi w:val="0"/>
        <w:adjustRightInd w:val="0"/>
        <w:snapToGrid w:val="0"/>
        <w:spacing w:line="55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lang w:val="en-US" w:eastAsia="zh-CN"/>
        </w:rPr>
      </w:pPr>
      <w:r>
        <w:rPr>
          <w:rFonts w:hint="eastAsia" w:ascii="Times New Roman" w:hAnsi="Times New Roman" w:eastAsia="方正楷体_GBK" w:cs="Times New Roman"/>
          <w:b w:val="0"/>
          <w:bCs w:val="0"/>
          <w:color w:val="000000"/>
          <w:sz w:val="32"/>
          <w:szCs w:val="32"/>
          <w:lang w:eastAsia="zh-CN"/>
        </w:rPr>
        <w:t>（四）健全体制机制，持续提高依法决策水平。</w:t>
      </w:r>
      <w:r>
        <w:rPr>
          <w:rFonts w:hint="default" w:ascii="Times New Roman" w:hAnsi="Times New Roman" w:eastAsia="方正仿宋_GBK" w:cs="Times New Roman"/>
          <w:b w:val="0"/>
          <w:bCs w:val="0"/>
          <w:sz w:val="32"/>
          <w:szCs w:val="32"/>
        </w:rPr>
        <w:t>严格执行《重大行政决策程序</w:t>
      </w:r>
      <w:r>
        <w:rPr>
          <w:rFonts w:hint="eastAsia" w:ascii="Times New Roman" w:hAnsi="Times New Roman" w:eastAsia="方正仿宋_GBK" w:cs="Times New Roman"/>
          <w:b w:val="0"/>
          <w:bCs w:val="0"/>
          <w:sz w:val="32"/>
          <w:szCs w:val="32"/>
          <w:lang w:eastAsia="zh-CN"/>
        </w:rPr>
        <w:t>暂行条例</w:t>
      </w:r>
      <w:r>
        <w:rPr>
          <w:rFonts w:hint="default" w:ascii="Times New Roman" w:hAnsi="Times New Roman" w:eastAsia="方正仿宋_GBK" w:cs="Times New Roman"/>
          <w:b w:val="0"/>
          <w:bCs w:val="0"/>
          <w:sz w:val="32"/>
          <w:szCs w:val="32"/>
        </w:rPr>
        <w:t>》《沙坪坝区人民政府工作规则》，</w:t>
      </w:r>
      <w:r>
        <w:rPr>
          <w:rFonts w:hint="eastAsia" w:ascii="Times New Roman" w:hAnsi="Times New Roman" w:eastAsia="方正仿宋_GBK" w:cs="Times New Roman"/>
          <w:b w:val="0"/>
          <w:bCs w:val="0"/>
          <w:sz w:val="32"/>
          <w:szCs w:val="32"/>
          <w:lang w:val="en-US" w:eastAsia="zh-CN"/>
        </w:rPr>
        <w:t>完善</w:t>
      </w:r>
      <w:r>
        <w:rPr>
          <w:rFonts w:hint="default" w:ascii="Times New Roman" w:hAnsi="Times New Roman" w:eastAsia="方正仿宋_GBK" w:cs="Times New Roman"/>
          <w:b w:val="0"/>
          <w:bCs w:val="0"/>
          <w:sz w:val="32"/>
          <w:szCs w:val="32"/>
        </w:rPr>
        <w:t>重大事项调查研究和集体决策制度</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认真开展</w:t>
      </w:r>
      <w:r>
        <w:rPr>
          <w:rFonts w:hint="default" w:ascii="Times New Roman" w:hAnsi="Times New Roman" w:eastAsia="方正仿宋_GBK" w:cs="Times New Roman"/>
          <w:b w:val="0"/>
          <w:bCs w:val="0"/>
          <w:sz w:val="32"/>
          <w:szCs w:val="32"/>
        </w:rPr>
        <w:t>决策合法性</w:t>
      </w:r>
      <w:r>
        <w:rPr>
          <w:rFonts w:hint="eastAsia" w:ascii="Times New Roman" w:hAnsi="Times New Roman" w:eastAsia="方正仿宋_GBK" w:cs="Times New Roman"/>
          <w:b w:val="0"/>
          <w:bCs w:val="0"/>
          <w:sz w:val="32"/>
          <w:szCs w:val="32"/>
          <w:lang w:val="en-US" w:eastAsia="zh-CN"/>
        </w:rPr>
        <w:t>审核</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eastAsia="zh-CN"/>
        </w:rPr>
        <w:t>将</w:t>
      </w:r>
      <w:r>
        <w:rPr>
          <w:rFonts w:hint="default" w:ascii="Times New Roman" w:hAnsi="Times New Roman" w:eastAsia="方正仿宋_GBK" w:cs="Times New Roman"/>
          <w:b w:val="0"/>
          <w:bCs w:val="0"/>
          <w:sz w:val="32"/>
          <w:szCs w:val="32"/>
        </w:rPr>
        <w:t>党</w:t>
      </w:r>
      <w:r>
        <w:rPr>
          <w:rFonts w:hint="default" w:ascii="Times New Roman" w:hAnsi="Times New Roman" w:eastAsia="方正仿宋_GBK" w:cs="Times New Roman"/>
          <w:b w:val="0"/>
          <w:bCs w:val="0"/>
          <w:sz w:val="32"/>
          <w:szCs w:val="32"/>
          <w:lang w:eastAsia="zh-CN"/>
        </w:rPr>
        <w:t>工</w:t>
      </w:r>
      <w:r>
        <w:rPr>
          <w:rFonts w:hint="default" w:ascii="Times New Roman" w:hAnsi="Times New Roman" w:eastAsia="方正仿宋_GBK" w:cs="Times New Roman"/>
          <w:b w:val="0"/>
          <w:bCs w:val="0"/>
          <w:sz w:val="32"/>
          <w:szCs w:val="32"/>
        </w:rPr>
        <w:t>委</w:t>
      </w:r>
      <w:r>
        <w:rPr>
          <w:rFonts w:hint="eastAsia" w:ascii="Times New Roman" w:hAnsi="Times New Roman" w:eastAsia="方正仿宋_GBK" w:cs="Times New Roman"/>
          <w:b w:val="0"/>
          <w:bCs w:val="0"/>
          <w:sz w:val="32"/>
          <w:szCs w:val="32"/>
          <w:lang w:eastAsia="zh-CN"/>
        </w:rPr>
        <w:t>会议、行政办公</w:t>
      </w:r>
      <w:r>
        <w:rPr>
          <w:rFonts w:hint="default" w:ascii="Times New Roman" w:hAnsi="Times New Roman" w:eastAsia="方正仿宋_GBK" w:cs="Times New Roman"/>
          <w:b w:val="0"/>
          <w:bCs w:val="0"/>
          <w:sz w:val="32"/>
          <w:szCs w:val="32"/>
        </w:rPr>
        <w:t>会议记录</w:t>
      </w:r>
      <w:r>
        <w:rPr>
          <w:rFonts w:hint="eastAsia" w:ascii="Times New Roman" w:hAnsi="Times New Roman" w:eastAsia="方正仿宋_GBK" w:cs="Times New Roman"/>
          <w:b w:val="0"/>
          <w:bCs w:val="0"/>
          <w:sz w:val="32"/>
          <w:szCs w:val="32"/>
          <w:lang w:val="en-US" w:eastAsia="zh-CN"/>
        </w:rPr>
        <w:t>，专题会议</w:t>
      </w:r>
      <w:r>
        <w:rPr>
          <w:rFonts w:hint="default" w:ascii="Times New Roman" w:hAnsi="Times New Roman" w:eastAsia="方正仿宋_GBK" w:cs="Times New Roman"/>
          <w:b w:val="0"/>
          <w:bCs w:val="0"/>
          <w:sz w:val="32"/>
          <w:szCs w:val="32"/>
        </w:rPr>
        <w:t>纪要等全部纳入合法性审查范围</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color w:val="auto"/>
          <w:spacing w:val="0"/>
          <w:sz w:val="32"/>
          <w:szCs w:val="32"/>
          <w:lang w:val="en-US" w:eastAsia="zh-CN"/>
        </w:rPr>
        <w:t>聘请中世律师事务所作为法律顾问，主要征求决策论证、文件草拟、合同审查、案件审查、信访接待等各类涉法、涉诉事务工作的意见和建议，为我委重大行政决策及商圈良好运行发挥积极作用。</w:t>
      </w:r>
    </w:p>
    <w:p>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楷体_GBK" w:cs="Times New Roman"/>
          <w:b w:val="0"/>
          <w:bCs w:val="0"/>
          <w:color w:val="000000"/>
          <w:kern w:val="0"/>
          <w:sz w:val="32"/>
          <w:szCs w:val="32"/>
          <w:lang w:val="en-US" w:eastAsia="zh-CN"/>
        </w:rPr>
        <w:t>（五）坚持执法为民，深入推进严格规范公正文明执法。</w:t>
      </w:r>
      <w:r>
        <w:rPr>
          <w:rFonts w:hint="eastAsia" w:ascii="方正仿宋_GBK" w:hAnsi="方正仿宋_GBK" w:eastAsia="方正仿宋_GBK" w:cs="方正仿宋_GBK"/>
          <w:b/>
          <w:bCs/>
          <w:i w:val="0"/>
          <w:caps w:val="0"/>
          <w:color w:val="auto"/>
          <w:spacing w:val="0"/>
          <w:kern w:val="0"/>
          <w:sz w:val="32"/>
          <w:szCs w:val="32"/>
          <w:shd w:val="clear" w:color="auto" w:fill="FFFFFF"/>
          <w:lang w:val="en-US" w:eastAsia="zh-CN"/>
        </w:rPr>
        <w:t>一是完善行政执法程序</w:t>
      </w:r>
      <w:r>
        <w:rPr>
          <w:rFonts w:hint="eastAsia" w:ascii="方正仿宋_GBK" w:hAnsi="方正仿宋_GBK" w:eastAsia="方正仿宋_GBK" w:cs="方正仿宋_GBK"/>
          <w:b/>
          <w:bCs/>
          <w:i w:val="0"/>
          <w:caps w:val="0"/>
          <w:color w:val="333333"/>
          <w:spacing w:val="0"/>
          <w:kern w:val="0"/>
          <w:sz w:val="32"/>
          <w:szCs w:val="32"/>
          <w:shd w:val="clear" w:color="auto" w:fill="FFFFFF"/>
          <w:lang w:val="en-US" w:eastAsia="zh-CN"/>
        </w:rPr>
        <w:t>。</w:t>
      </w:r>
      <w:r>
        <w:rPr>
          <w:rFonts w:hint="eastAsia" w:ascii="Times New Roman" w:hAnsi="Times New Roman" w:eastAsia="方正仿宋_GBK" w:cs="Times New Roman"/>
          <w:b w:val="0"/>
          <w:bCs w:val="0"/>
          <w:sz w:val="32"/>
          <w:szCs w:val="32"/>
          <w:lang w:eastAsia="zh-CN"/>
        </w:rPr>
        <w:t>进一步要求城管</w:t>
      </w:r>
      <w:r>
        <w:rPr>
          <w:rFonts w:hint="default" w:ascii="Times New Roman" w:hAnsi="Times New Roman" w:eastAsia="方正仿宋_GBK" w:cs="Times New Roman"/>
          <w:b w:val="0"/>
          <w:bCs w:val="0"/>
          <w:sz w:val="32"/>
          <w:szCs w:val="32"/>
        </w:rPr>
        <w:t>执法队员</w:t>
      </w:r>
      <w:r>
        <w:rPr>
          <w:rFonts w:hint="eastAsia" w:ascii="Times New Roman" w:hAnsi="Times New Roman" w:eastAsia="方正仿宋_GBK" w:cs="Times New Roman"/>
          <w:b w:val="0"/>
          <w:bCs w:val="0"/>
          <w:sz w:val="32"/>
          <w:szCs w:val="32"/>
          <w:lang w:eastAsia="zh-CN"/>
        </w:rPr>
        <w:t>严格落实执法全过程记录制度</w:t>
      </w:r>
      <w:r>
        <w:rPr>
          <w:rFonts w:hint="default" w:ascii="Times New Roman" w:hAnsi="Times New Roman" w:eastAsia="方正仿宋_GBK" w:cs="Times New Roman"/>
          <w:b w:val="0"/>
          <w:bCs w:val="0"/>
          <w:sz w:val="32"/>
          <w:szCs w:val="32"/>
        </w:rPr>
        <w:t>，加强各种记录手段之间的综合运用</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color w:val="auto"/>
          <w:spacing w:val="0"/>
          <w:sz w:val="32"/>
          <w:szCs w:val="32"/>
          <w:lang w:val="en-US" w:eastAsia="zh-CN"/>
        </w:rPr>
        <w:t>规范行政执法案卷管理，完善执法过程中的调查取证、查处分离等程序。2021年共计</w:t>
      </w:r>
      <w:r>
        <w:rPr>
          <w:rFonts w:hint="default" w:ascii="Times New Roman" w:hAnsi="Times New Roman" w:eastAsia="方正仿宋_GBK" w:cs="Times New Roman"/>
          <w:b w:val="0"/>
          <w:bCs w:val="0"/>
          <w:sz w:val="32"/>
          <w:szCs w:val="32"/>
          <w:lang w:eastAsia="zh-CN"/>
        </w:rPr>
        <w:t>查处违反市容环境卫生、市政设施管理、户外广告、店招店牌管理等</w:t>
      </w:r>
      <w:r>
        <w:rPr>
          <w:rFonts w:hint="default" w:ascii="Times New Roman" w:hAnsi="Times New Roman" w:eastAsia="方正仿宋_GBK" w:cs="Times New Roman"/>
          <w:sz w:val="32"/>
          <w:szCs w:val="32"/>
          <w:lang w:val="en-US" w:eastAsia="zh-CN"/>
        </w:rPr>
        <w:t>各类违章行为</w:t>
      </w:r>
      <w:r>
        <w:rPr>
          <w:rFonts w:hint="eastAsia" w:ascii="Times New Roman" w:hAnsi="Times New Roman" w:eastAsia="方正仿宋_GBK" w:cs="Times New Roman"/>
          <w:sz w:val="32"/>
          <w:szCs w:val="32"/>
          <w:lang w:val="en-US" w:eastAsia="zh-CN"/>
        </w:rPr>
        <w:t>5570</w:t>
      </w:r>
      <w:r>
        <w:rPr>
          <w:rFonts w:hint="default" w:ascii="Times New Roman" w:hAnsi="Times New Roman" w:eastAsia="方正仿宋_GBK" w:cs="Times New Roman"/>
          <w:sz w:val="32"/>
          <w:szCs w:val="32"/>
          <w:lang w:val="en-US" w:eastAsia="zh-CN"/>
        </w:rPr>
        <w:t>起，行政处罚</w:t>
      </w:r>
      <w:r>
        <w:rPr>
          <w:rFonts w:hint="eastAsia" w:ascii="Times New Roman" w:hAnsi="Times New Roman" w:eastAsia="方正仿宋_GBK" w:cs="Times New Roman"/>
          <w:sz w:val="32"/>
          <w:szCs w:val="32"/>
          <w:lang w:val="en-US" w:eastAsia="zh-CN"/>
        </w:rPr>
        <w:t>2263</w:t>
      </w:r>
      <w:r>
        <w:rPr>
          <w:rFonts w:hint="default" w:ascii="Times New Roman" w:hAnsi="Times New Roman" w:eastAsia="方正仿宋_GBK" w:cs="Times New Roman"/>
          <w:sz w:val="32"/>
          <w:szCs w:val="32"/>
          <w:lang w:val="en-US" w:eastAsia="zh-CN"/>
        </w:rPr>
        <w:t>起，制作简易程序法律文书</w:t>
      </w:r>
      <w:r>
        <w:rPr>
          <w:rFonts w:hint="eastAsia" w:ascii="Times New Roman" w:hAnsi="Times New Roman" w:eastAsia="方正仿宋_GBK" w:cs="Times New Roman"/>
          <w:sz w:val="32"/>
          <w:szCs w:val="32"/>
          <w:lang w:val="en-US" w:eastAsia="zh-CN"/>
        </w:rPr>
        <w:t>1855</w:t>
      </w:r>
      <w:r>
        <w:rPr>
          <w:rFonts w:hint="default" w:ascii="Times New Roman" w:hAnsi="Times New Roman" w:eastAsia="方正仿宋_GBK" w:cs="Times New Roman"/>
          <w:sz w:val="32"/>
          <w:szCs w:val="32"/>
          <w:lang w:val="en-US" w:eastAsia="zh-CN"/>
        </w:rPr>
        <w:t>份，罚款</w:t>
      </w:r>
      <w:r>
        <w:rPr>
          <w:rFonts w:hint="eastAsia" w:ascii="Times New Roman" w:hAnsi="Times New Roman" w:eastAsia="方正仿宋_GBK" w:cs="Times New Roman"/>
          <w:sz w:val="32"/>
          <w:szCs w:val="32"/>
          <w:lang w:val="en-US" w:eastAsia="zh-CN"/>
        </w:rPr>
        <w:t>9.3万</w:t>
      </w:r>
      <w:r>
        <w:rPr>
          <w:rFonts w:hint="default" w:ascii="Times New Roman" w:hAnsi="Times New Roman" w:eastAsia="方正仿宋_GBK" w:cs="Times New Roman"/>
          <w:sz w:val="32"/>
          <w:szCs w:val="32"/>
          <w:lang w:val="en-US" w:eastAsia="zh-CN"/>
        </w:rPr>
        <w:t>元，</w:t>
      </w:r>
      <w:r>
        <w:rPr>
          <w:rFonts w:hint="default" w:ascii="Times New Roman" w:hAnsi="Times New Roman" w:eastAsia="方正仿宋_GBK" w:cs="Times New Roman"/>
          <w:b w:val="0"/>
          <w:bCs w:val="0"/>
          <w:sz w:val="32"/>
          <w:szCs w:val="32"/>
          <w:lang w:eastAsia="zh-CN"/>
        </w:rPr>
        <w:t>警告、教育</w:t>
      </w:r>
      <w:r>
        <w:rPr>
          <w:rFonts w:hint="default" w:ascii="Times New Roman" w:hAnsi="Times New Roman" w:eastAsia="方正仿宋_GBK" w:cs="Times New Roman"/>
          <w:sz w:val="32"/>
          <w:szCs w:val="32"/>
          <w:lang w:val="en-US" w:eastAsia="zh-CN"/>
        </w:rPr>
        <w:t>各类违规违法人员</w:t>
      </w:r>
      <w:r>
        <w:rPr>
          <w:rFonts w:hint="eastAsia" w:ascii="Times New Roman" w:hAnsi="Times New Roman" w:eastAsia="方正仿宋_GBK" w:cs="Times New Roman"/>
          <w:sz w:val="32"/>
          <w:szCs w:val="32"/>
          <w:lang w:val="en-US" w:eastAsia="zh-CN"/>
        </w:rPr>
        <w:t>665</w:t>
      </w:r>
      <w:r>
        <w:rPr>
          <w:rFonts w:hint="default" w:ascii="Times New Roman" w:hAnsi="Times New Roman" w:eastAsia="方正仿宋_GBK" w:cs="Times New Roman"/>
          <w:sz w:val="32"/>
          <w:szCs w:val="32"/>
          <w:lang w:val="en-US" w:eastAsia="zh-CN"/>
        </w:rPr>
        <w:t>人次</w:t>
      </w:r>
      <w:r>
        <w:rPr>
          <w:rFonts w:hint="eastAsia" w:ascii="Times New Roman" w:hAnsi="Times New Roman" w:eastAsia="方正仿宋_GBK" w:cs="Times New Roman"/>
          <w:color w:val="auto"/>
          <w:spacing w:val="0"/>
          <w:sz w:val="32"/>
          <w:szCs w:val="32"/>
          <w:lang w:val="en-US" w:eastAsia="zh-CN"/>
        </w:rPr>
        <w:t>。</w:t>
      </w:r>
      <w:r>
        <w:rPr>
          <w:rFonts w:hint="eastAsia" w:ascii="方正仿宋_GBK" w:hAnsi="方正仿宋_GBK" w:eastAsia="方正仿宋_GBK" w:cs="方正仿宋_GBK"/>
          <w:b/>
          <w:bCs/>
          <w:i w:val="0"/>
          <w:caps w:val="0"/>
          <w:color w:val="333333"/>
          <w:spacing w:val="0"/>
          <w:kern w:val="0"/>
          <w:sz w:val="32"/>
          <w:szCs w:val="32"/>
          <w:shd w:val="clear" w:color="auto" w:fill="FFFFFF"/>
          <w:lang w:val="en-US" w:eastAsia="zh-CN"/>
        </w:rPr>
        <w:t>二是加强执法人员管理。</w:t>
      </w:r>
      <w:r>
        <w:rPr>
          <w:rFonts w:hint="eastAsia" w:ascii="方正仿宋_GBK" w:hAnsi="方正仿宋_GBK" w:eastAsia="方正仿宋_GBK" w:cs="方正仿宋_GBK"/>
          <w:color w:val="auto"/>
          <w:spacing w:val="0"/>
          <w:sz w:val="32"/>
          <w:szCs w:val="32"/>
          <w:lang w:val="en-US" w:eastAsia="zh-CN"/>
        </w:rPr>
        <w:t>制定行政执法辅助人员相应管理制度办法，行政执法辅助人员适用岗位、职责权限、权利义务、聘用条件和程序均予以明确，并按照人社、城市管理等部门要求，不断规范行政执法辅助人员招聘。</w:t>
      </w:r>
      <w:r>
        <w:rPr>
          <w:rFonts w:hint="eastAsia" w:ascii="Times New Roman" w:hAnsi="Times New Roman" w:eastAsia="方正仿宋_GBK" w:cs="Times New Roman"/>
          <w:color w:val="auto"/>
          <w:spacing w:val="0"/>
          <w:sz w:val="32"/>
          <w:szCs w:val="32"/>
          <w:lang w:val="en-US" w:eastAsia="zh-CN"/>
        </w:rPr>
        <w:t>全面落实行政执法人员持证上岗和资格管理制度，在编正式执法人员均参加行政执法人员资格培训并考试合格，取得《重庆市行政执法证》，行政执法辅助人员均培训合格，并在区城管局登记备案。</w:t>
      </w:r>
      <w:r>
        <w:rPr>
          <w:rFonts w:hint="eastAsia" w:ascii="方正仿宋_GBK" w:hAnsi="方正仿宋_GBK" w:eastAsia="方正仿宋_GBK" w:cs="方正仿宋_GBK"/>
          <w:b/>
          <w:bCs/>
          <w:i w:val="0"/>
          <w:caps w:val="0"/>
          <w:color w:val="auto"/>
          <w:spacing w:val="0"/>
          <w:kern w:val="0"/>
          <w:sz w:val="32"/>
          <w:szCs w:val="32"/>
          <w:shd w:val="clear" w:color="auto" w:fill="FFFFFF"/>
          <w:lang w:val="en-US" w:eastAsia="zh-CN"/>
        </w:rPr>
        <w:t>三是强化监督检查工作。</w:t>
      </w:r>
      <w:r>
        <w:rPr>
          <w:rFonts w:hint="default" w:ascii="Times New Roman" w:hAnsi="Times New Roman" w:eastAsia="方正仿宋_GBK" w:cs="Times New Roman"/>
          <w:color w:val="auto"/>
          <w:spacing w:val="0"/>
          <w:sz w:val="32"/>
          <w:szCs w:val="32"/>
          <w:lang w:val="en-US" w:eastAsia="zh-CN"/>
        </w:rPr>
        <w:t>健全依法行政监督体系，强化监督措施和监督检查，设立</w:t>
      </w:r>
      <w:r>
        <w:rPr>
          <w:rFonts w:hint="eastAsia" w:ascii="Times New Roman" w:hAnsi="Times New Roman" w:eastAsia="方正仿宋_GBK" w:cs="Times New Roman"/>
          <w:color w:val="auto"/>
          <w:spacing w:val="0"/>
          <w:sz w:val="32"/>
          <w:szCs w:val="32"/>
          <w:lang w:val="en-US" w:eastAsia="zh-CN"/>
        </w:rPr>
        <w:t>投诉窗口</w:t>
      </w:r>
      <w:r>
        <w:rPr>
          <w:rFonts w:hint="default" w:ascii="Times New Roman" w:hAnsi="Times New Roman" w:eastAsia="方正仿宋_GBK" w:cs="Times New Roman"/>
          <w:color w:val="auto"/>
          <w:spacing w:val="0"/>
          <w:sz w:val="32"/>
          <w:szCs w:val="32"/>
          <w:lang w:val="en-US" w:eastAsia="zh-CN"/>
        </w:rPr>
        <w:t>及投诉电话、举报信箱，随时接受</w:t>
      </w:r>
      <w:r>
        <w:rPr>
          <w:rFonts w:hint="eastAsia" w:ascii="Times New Roman" w:hAnsi="Times New Roman" w:eastAsia="方正仿宋_GBK" w:cs="Times New Roman"/>
          <w:color w:val="auto"/>
          <w:spacing w:val="0"/>
          <w:sz w:val="32"/>
          <w:szCs w:val="32"/>
          <w:lang w:val="en-US" w:eastAsia="zh-CN"/>
        </w:rPr>
        <w:t>辖区商户、</w:t>
      </w:r>
      <w:r>
        <w:rPr>
          <w:rFonts w:hint="default" w:ascii="Times New Roman" w:hAnsi="Times New Roman" w:eastAsia="方正仿宋_GBK" w:cs="Times New Roman"/>
          <w:color w:val="auto"/>
          <w:spacing w:val="0"/>
          <w:sz w:val="32"/>
          <w:szCs w:val="32"/>
          <w:lang w:val="en-US" w:eastAsia="zh-CN"/>
        </w:rPr>
        <w:t>群众对依法行政工作的投诉和举报。</w:t>
      </w:r>
      <w:r>
        <w:rPr>
          <w:rFonts w:hint="eastAsia" w:ascii="Times New Roman" w:hAnsi="Times New Roman" w:eastAsia="方正仿宋_GBK" w:cs="Times New Roman"/>
          <w:color w:val="auto"/>
          <w:spacing w:val="0"/>
          <w:sz w:val="32"/>
          <w:szCs w:val="32"/>
          <w:lang w:val="en-US" w:eastAsia="zh-CN"/>
        </w:rPr>
        <w:t>领导干部带队深入一线，通过召开执法人员座谈会，辖区企业、商户座谈会等形式，积极探索符合商圈实际的运行机制和执法方式，灵活采用柔性执法手段，加强服务企业意识，实现严格执法与文明管理的双赢。</w:t>
      </w:r>
    </w:p>
    <w:p>
      <w:pPr>
        <w:pStyle w:val="2"/>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Times New Roman" w:hAnsi="Times New Roman" w:eastAsia="方正仿宋_GBK" w:cs="Times New Roman"/>
          <w:color w:val="auto"/>
          <w:sz w:val="32"/>
          <w:szCs w:val="32"/>
          <w:u w:val="none"/>
          <w:lang w:eastAsia="zh-CN"/>
        </w:rPr>
      </w:pPr>
      <w:r>
        <w:rPr>
          <w:rFonts w:hint="eastAsia" w:ascii="Times New Roman" w:hAnsi="Times New Roman" w:eastAsia="方正楷体_GBK" w:cs="Times New Roman"/>
          <w:b w:val="0"/>
          <w:bCs w:val="0"/>
          <w:snapToGrid/>
          <w:color w:val="000000"/>
          <w:kern w:val="0"/>
          <w:sz w:val="32"/>
          <w:szCs w:val="32"/>
          <w:lang w:val="en-US" w:eastAsia="zh-CN" w:bidi="ar-SA"/>
        </w:rPr>
        <w:t>（六）提高应急处置能力</w:t>
      </w:r>
      <w:r>
        <w:rPr>
          <w:rFonts w:hint="default" w:ascii="Times New Roman" w:hAnsi="Times New Roman" w:eastAsia="方正楷体_GBK" w:cs="Times New Roman"/>
          <w:b w:val="0"/>
          <w:bCs w:val="0"/>
          <w:snapToGrid/>
          <w:color w:val="000000"/>
          <w:kern w:val="0"/>
          <w:sz w:val="32"/>
          <w:szCs w:val="32"/>
          <w:lang w:val="en-US" w:eastAsia="zh-CN" w:bidi="ar-SA"/>
        </w:rPr>
        <w:t>，依法预防处置重大突发事件。</w:t>
      </w:r>
      <w:r>
        <w:rPr>
          <w:rFonts w:hint="eastAsia" w:ascii="方正仿宋_GBK" w:hAnsi="方正仿宋_GBK" w:eastAsia="方正仿宋_GBK" w:cs="方正仿宋_GBK"/>
          <w:b/>
          <w:bCs w:val="0"/>
          <w:snapToGrid/>
          <w:kern w:val="0"/>
          <w:sz w:val="32"/>
          <w:szCs w:val="32"/>
          <w:lang w:val="en-US" w:eastAsia="zh-CN" w:bidi="ar-SA"/>
        </w:rPr>
        <w:t>一是</w:t>
      </w:r>
      <w:r>
        <w:rPr>
          <w:rFonts w:hint="eastAsia" w:ascii="Times New Roman" w:hAnsi="Times New Roman" w:eastAsia="方正仿宋_GBK" w:cs="Times New Roman"/>
          <w:b w:val="0"/>
          <w:bCs w:val="0"/>
          <w:snapToGrid/>
          <w:color w:val="000000"/>
          <w:kern w:val="2"/>
          <w:sz w:val="32"/>
          <w:szCs w:val="32"/>
          <w:lang w:val="en-US" w:eastAsia="zh-CN" w:bidi="ar-SA"/>
        </w:rPr>
        <w:t>建立健全应急预案制度，全年编制印发突发公共事件总体和专项应急预案和</w:t>
      </w:r>
      <w:r>
        <w:rPr>
          <w:rFonts w:hint="default" w:ascii="Times New Roman" w:hAnsi="Times New Roman" w:eastAsia="方正仿宋_GBK" w:cs="Times New Roman"/>
          <w:b w:val="0"/>
          <w:bCs/>
          <w:color w:val="auto"/>
          <w:sz w:val="32"/>
          <w:szCs w:val="32"/>
          <w:highlight w:val="none"/>
          <w:lang w:val="en-US" w:eastAsia="zh-CN"/>
        </w:rPr>
        <w:t>安全管理</w:t>
      </w:r>
      <w:r>
        <w:rPr>
          <w:rFonts w:hint="eastAsia" w:ascii="Times New Roman" w:hAnsi="Times New Roman" w:eastAsia="方正仿宋_GBK" w:cs="Times New Roman"/>
          <w:b w:val="0"/>
          <w:bCs/>
          <w:color w:val="auto"/>
          <w:sz w:val="32"/>
          <w:szCs w:val="32"/>
          <w:highlight w:val="none"/>
          <w:lang w:val="en-US" w:eastAsia="zh-CN"/>
        </w:rPr>
        <w:t>方案等20余个。</w:t>
      </w:r>
      <w:r>
        <w:rPr>
          <w:rFonts w:hint="eastAsia" w:ascii="Times New Roman" w:hAnsi="Times New Roman" w:eastAsia="方正仿宋_GBK" w:cs="Times New Roman"/>
          <w:b/>
          <w:bCs/>
          <w:snapToGrid/>
          <w:kern w:val="2"/>
          <w:sz w:val="32"/>
          <w:szCs w:val="32"/>
          <w:lang w:val="en-US" w:eastAsia="zh-CN" w:bidi="ar-SA"/>
        </w:rPr>
        <w:t>二是</w:t>
      </w:r>
      <w:r>
        <w:rPr>
          <w:rFonts w:hint="eastAsia" w:ascii="Times New Roman" w:hAnsi="Times New Roman" w:eastAsia="方正仿宋_GBK" w:cs="Times New Roman"/>
          <w:b w:val="0"/>
          <w:bCs w:val="0"/>
          <w:snapToGrid/>
          <w:color w:val="000000"/>
          <w:kern w:val="2"/>
          <w:sz w:val="32"/>
          <w:szCs w:val="32"/>
          <w:lang w:val="en-US" w:eastAsia="zh-CN" w:bidi="ar-SA"/>
        </w:rPr>
        <w:t>不断增强风险防范意识，优化完善突发事件分级分类响应工作制度，完善各类突发事件应急响应处置程序和协调联动机制，增强应急处置的针对性实效性，开展应急演练8次。</w:t>
      </w:r>
      <w:r>
        <w:rPr>
          <w:rFonts w:hint="eastAsia" w:ascii="Times New Roman" w:hAnsi="Times New Roman" w:eastAsia="方正仿宋_GBK" w:cs="Times New Roman"/>
          <w:b/>
          <w:bCs/>
          <w:snapToGrid/>
          <w:color w:val="000000"/>
          <w:kern w:val="2"/>
          <w:sz w:val="32"/>
          <w:szCs w:val="32"/>
          <w:lang w:val="en-US" w:eastAsia="zh-CN" w:bidi="ar-SA"/>
        </w:rPr>
        <w:t>三是</w:t>
      </w:r>
      <w:r>
        <w:rPr>
          <w:rFonts w:hint="default" w:ascii="Times New Roman" w:hAnsi="Times New Roman" w:eastAsia="方正仿宋_GBK" w:cs="Times New Roman"/>
          <w:color w:val="auto"/>
          <w:sz w:val="32"/>
          <w:szCs w:val="32"/>
          <w:u w:val="none"/>
        </w:rPr>
        <w:t>成立疫情防控工作指挥部，</w:t>
      </w:r>
      <w:r>
        <w:rPr>
          <w:rFonts w:hint="eastAsia" w:ascii="Times New Roman" w:hAnsi="Times New Roman" w:eastAsia="方正仿宋_GBK" w:cs="Times New Roman"/>
          <w:b w:val="0"/>
          <w:bCs w:val="0"/>
          <w:color w:val="auto"/>
          <w:sz w:val="32"/>
          <w:szCs w:val="32"/>
          <w:u w:val="none"/>
          <w:lang w:eastAsia="zh-CN"/>
        </w:rPr>
        <w:t>完善</w:t>
      </w:r>
      <w:r>
        <w:rPr>
          <w:rFonts w:hint="eastAsia" w:ascii="Times New Roman" w:hAnsi="Times New Roman" w:eastAsia="方正仿宋_GBK" w:cs="Times New Roman"/>
          <w:color w:val="auto"/>
          <w:sz w:val="32"/>
          <w:szCs w:val="32"/>
          <w:u w:val="none"/>
          <w:lang w:eastAsia="zh-CN"/>
        </w:rPr>
        <w:t>新冠疫情</w:t>
      </w:r>
      <w:r>
        <w:rPr>
          <w:rFonts w:hint="default" w:ascii="Times New Roman" w:hAnsi="Times New Roman" w:eastAsia="方正仿宋_GBK" w:cs="Times New Roman"/>
          <w:color w:val="auto"/>
          <w:sz w:val="32"/>
          <w:szCs w:val="32"/>
          <w:u w:val="none"/>
        </w:rPr>
        <w:t>联防联控机制，编制疫情防控实施方案、大规模核酸检测工作方案和疫情防控处置预案</w:t>
      </w:r>
      <w:r>
        <w:rPr>
          <w:rFonts w:hint="eastAsia" w:ascii="Times New Roman" w:hAnsi="Times New Roman" w:eastAsia="方正仿宋_GBK" w:cs="Times New Roman"/>
          <w:color w:val="auto"/>
          <w:sz w:val="32"/>
          <w:szCs w:val="32"/>
          <w:u w:val="none"/>
          <w:lang w:eastAsia="zh-CN"/>
        </w:rPr>
        <w:t>等</w:t>
      </w:r>
      <w:r>
        <w:rPr>
          <w:rFonts w:hint="default" w:ascii="Times New Roman" w:hAnsi="Times New Roman" w:eastAsia="方正仿宋_GBK" w:cs="Times New Roman"/>
          <w:color w:val="auto"/>
          <w:sz w:val="32"/>
          <w:szCs w:val="32"/>
          <w:u w:val="none"/>
        </w:rPr>
        <w:t>，明确了先期处置、无异常情况处置、疑似病例或确诊病例处置等事项，</w:t>
      </w:r>
      <w:r>
        <w:rPr>
          <w:rFonts w:hint="eastAsia" w:ascii="Times New Roman" w:hAnsi="Times New Roman" w:eastAsia="方正仿宋_GBK" w:cs="Times New Roman"/>
          <w:color w:val="auto"/>
          <w:sz w:val="32"/>
          <w:szCs w:val="32"/>
          <w:u w:val="none"/>
          <w:lang w:eastAsia="zh-CN"/>
        </w:rPr>
        <w:t>全力</w:t>
      </w:r>
      <w:r>
        <w:rPr>
          <w:rFonts w:hint="default" w:ascii="Times New Roman" w:hAnsi="Times New Roman" w:eastAsia="方正仿宋_GBK" w:cs="Times New Roman"/>
          <w:color w:val="auto"/>
          <w:sz w:val="32"/>
          <w:szCs w:val="32"/>
          <w:u w:val="none"/>
        </w:rPr>
        <w:t>做好疫情突发情况准备</w:t>
      </w:r>
      <w:r>
        <w:rPr>
          <w:rFonts w:hint="eastAsia" w:ascii="Times New Roman" w:hAnsi="Times New Roman" w:eastAsia="方正仿宋_GBK" w:cs="Times New Roman"/>
          <w:color w:val="auto"/>
          <w:sz w:val="32"/>
          <w:szCs w:val="32"/>
          <w:u w:val="none"/>
          <w:lang w:eastAsia="zh-CN"/>
        </w:rPr>
        <w:t>。</w:t>
      </w:r>
    </w:p>
    <w:p>
      <w:pPr>
        <w:pStyle w:val="2"/>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楷体_GBK" w:cs="Times New Roman"/>
          <w:b w:val="0"/>
          <w:bCs w:val="0"/>
          <w:color w:val="000000"/>
          <w:kern w:val="0"/>
          <w:sz w:val="32"/>
          <w:szCs w:val="32"/>
          <w:lang w:val="en-US" w:eastAsia="zh-CN"/>
        </w:rPr>
        <w:t>（七）强化基层治理，依法妥善化解矛盾纠纷。</w:t>
      </w:r>
      <w:r>
        <w:rPr>
          <w:rFonts w:hint="eastAsia" w:ascii="Times New Roman" w:hAnsi="Times New Roman" w:eastAsia="方正仿宋_GBK" w:cs="Times New Roman"/>
          <w:color w:val="auto"/>
          <w:spacing w:val="0"/>
          <w:sz w:val="32"/>
          <w:szCs w:val="32"/>
          <w:lang w:val="en-US" w:eastAsia="zh-CN"/>
        </w:rPr>
        <w:t>把信访纳入法治化轨道，努力保障合理合法诉求依照法律规定程序能得到合理合法的结果。</w:t>
      </w:r>
      <w:r>
        <w:rPr>
          <w:rFonts w:hint="eastAsia" w:ascii="方正仿宋_GBK" w:hAnsi="方正仿宋_GBK" w:eastAsia="方正仿宋_GBK" w:cs="方正仿宋_GBK"/>
          <w:b/>
          <w:bCs w:val="0"/>
          <w:kern w:val="0"/>
          <w:sz w:val="32"/>
          <w:szCs w:val="32"/>
          <w:lang w:val="en-US" w:eastAsia="zh-CN" w:bidi="ar-SA"/>
        </w:rPr>
        <w:t>一是</w:t>
      </w:r>
      <w:r>
        <w:rPr>
          <w:rFonts w:hint="eastAsia" w:ascii="Times New Roman" w:hAnsi="Times New Roman" w:eastAsia="方正仿宋_GBK" w:cs="Times New Roman"/>
          <w:b w:val="0"/>
          <w:bCs w:val="0"/>
          <w:color w:val="000000"/>
          <w:sz w:val="32"/>
          <w:szCs w:val="32"/>
          <w:lang w:val="en-US" w:eastAsia="zh-CN"/>
        </w:rPr>
        <w:t>积极推动、协调相关部门解决立海大厦“6.21”爆炸事故和龙湖八方品、凤凰机器人培训学校、华宇时尚商业街、拉摩国际购物中心租赁纠纷等群体事件，共计召开协调会议38次，电话沟通187人次，现场协调553人次，积极引导通过司法途径解决纠纷，有效化解社会矛盾。</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是</w:t>
      </w:r>
      <w:r>
        <w:rPr>
          <w:rFonts w:hint="eastAsia" w:ascii="Times New Roman" w:hAnsi="Times New Roman" w:eastAsia="方正仿宋_GBK" w:cs="Times New Roman"/>
          <w:color w:val="auto"/>
          <w:spacing w:val="0"/>
          <w:sz w:val="32"/>
          <w:szCs w:val="32"/>
          <w:lang w:val="en-US" w:eastAsia="zh-CN"/>
        </w:rPr>
        <w:t>善用法治思维和法治方式，</w:t>
      </w:r>
      <w:r>
        <w:rPr>
          <w:rFonts w:hint="default" w:ascii="Times New Roman" w:hAnsi="Times New Roman" w:eastAsia="方正仿宋_GBK" w:cs="Times New Roman"/>
          <w:sz w:val="32"/>
          <w:szCs w:val="32"/>
          <w:lang w:val="en-US" w:eastAsia="zh-CN"/>
        </w:rPr>
        <w:t>正确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及时、</w:t>
      </w:r>
      <w:r>
        <w:rPr>
          <w:rFonts w:hint="eastAsia" w:ascii="Times New Roman" w:hAnsi="Times New Roman" w:eastAsia="方正仿宋_GBK" w:cs="Times New Roman"/>
          <w:sz w:val="32"/>
          <w:szCs w:val="32"/>
          <w:lang w:val="en-US" w:eastAsia="zh-CN"/>
        </w:rPr>
        <w:t>有效</w:t>
      </w:r>
      <w:r>
        <w:rPr>
          <w:rFonts w:hint="default" w:ascii="Times New Roman" w:hAnsi="Times New Roman" w:eastAsia="方正仿宋_GBK" w:cs="Times New Roman"/>
          <w:sz w:val="32"/>
          <w:szCs w:val="32"/>
          <w:lang w:val="en-US" w:eastAsia="zh-CN"/>
        </w:rPr>
        <w:t>处理群众来访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来电、</w:t>
      </w:r>
      <w:r>
        <w:rPr>
          <w:rFonts w:hint="eastAsia" w:ascii="Times New Roman" w:hAnsi="Times New Roman" w:eastAsia="方正仿宋_GBK" w:cs="Times New Roman"/>
          <w:sz w:val="32"/>
          <w:szCs w:val="32"/>
          <w:lang w:val="en-US" w:eastAsia="zh-CN"/>
        </w:rPr>
        <w:t>来信</w:t>
      </w:r>
      <w:r>
        <w:rPr>
          <w:rFonts w:hint="default" w:ascii="Times New Roman" w:hAnsi="Times New Roman" w:eastAsia="方正仿宋_GBK" w:cs="Times New Roman"/>
          <w:sz w:val="32"/>
          <w:szCs w:val="32"/>
          <w:lang w:val="en-US" w:eastAsia="zh-CN"/>
        </w:rPr>
        <w:t>等各种问题，确保三峡广场商圈社会、生产、安全、环保等秩序稳定。</w:t>
      </w:r>
      <w:r>
        <w:rPr>
          <w:rFonts w:hint="eastAsia" w:ascii="Times New Roman" w:hAnsi="Times New Roman" w:eastAsia="方正仿宋_GBK" w:cs="Times New Roman"/>
          <w:sz w:val="32"/>
          <w:szCs w:val="32"/>
          <w:lang w:val="en-US" w:eastAsia="zh-CN"/>
        </w:rPr>
        <w:t>2021年</w:t>
      </w:r>
      <w:r>
        <w:rPr>
          <w:rFonts w:hint="default" w:ascii="Times New Roman" w:hAnsi="Times New Roman" w:eastAsia="方正仿宋_GBK" w:cs="Times New Roman"/>
          <w:sz w:val="32"/>
          <w:szCs w:val="32"/>
          <w:lang w:val="en-US" w:eastAsia="zh-CN"/>
        </w:rPr>
        <w:t>共受理群众来电、来访、来信、网络投诉等案件</w:t>
      </w:r>
      <w:r>
        <w:rPr>
          <w:rFonts w:hint="eastAsia" w:ascii="Times New Roman" w:hAnsi="Times New Roman" w:eastAsia="方正仿宋_GBK" w:cs="Times New Roman"/>
          <w:sz w:val="32"/>
          <w:szCs w:val="32"/>
          <w:lang w:val="en-US" w:eastAsia="zh-CN"/>
        </w:rPr>
        <w:t>103</w:t>
      </w:r>
      <w:r>
        <w:rPr>
          <w:rFonts w:hint="default" w:ascii="Times New Roman" w:hAnsi="Times New Roman" w:eastAsia="方正仿宋_GBK" w:cs="Times New Roman"/>
          <w:sz w:val="32"/>
          <w:szCs w:val="32"/>
          <w:lang w:val="en-US" w:eastAsia="zh-CN"/>
        </w:rPr>
        <w:t>起，办结率100%。</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进一步加强消费者权益保护、治安管理、噪音污染、社会保障、租赁纠纷、违停处罚等领域的行政调解，不断提高行政调解质效，全年未发生行政复议和行政应诉案件。</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w:t>
      </w:r>
      <w:r>
        <w:rPr>
          <w:rFonts w:hint="eastAsia" w:ascii="Times New Roman" w:hAnsi="Times New Roman" w:eastAsia="方正黑体_GBK" w:cs="Times New Roman"/>
          <w:sz w:val="32"/>
          <w:szCs w:val="32"/>
          <w:lang w:val="en-US" w:eastAsia="zh-CN"/>
        </w:rPr>
        <w:t>党政</w:t>
      </w:r>
      <w:r>
        <w:rPr>
          <w:rFonts w:hint="default" w:ascii="Times New Roman" w:hAnsi="Times New Roman" w:eastAsia="方正黑体_GBK" w:cs="Times New Roman"/>
          <w:sz w:val="32"/>
          <w:szCs w:val="32"/>
          <w:lang w:val="en-US" w:eastAsia="zh-CN"/>
        </w:rPr>
        <w:t>主要负责人履行推进法治建设</w:t>
      </w:r>
      <w:r>
        <w:rPr>
          <w:rFonts w:hint="eastAsia" w:ascii="Times New Roman" w:hAnsi="Times New Roman" w:eastAsia="方正黑体_GBK" w:cs="Times New Roman"/>
          <w:sz w:val="32"/>
          <w:szCs w:val="32"/>
          <w:lang w:val="en-US" w:eastAsia="zh-CN"/>
        </w:rPr>
        <w:t>第一责任人职责情况</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认真</w:t>
      </w:r>
      <w:r>
        <w:rPr>
          <w:rFonts w:hint="eastAsia" w:ascii="Times New Roman" w:hAnsi="Times New Roman" w:eastAsia="方正仿宋_GBK" w:cs="Times New Roman"/>
          <w:b w:val="0"/>
          <w:bCs w:val="0"/>
          <w:sz w:val="32"/>
          <w:szCs w:val="32"/>
          <w:lang w:eastAsia="zh-CN"/>
        </w:rPr>
        <w:t>履行</w:t>
      </w:r>
      <w:r>
        <w:rPr>
          <w:rFonts w:hint="default" w:ascii="Times New Roman" w:hAnsi="Times New Roman" w:eastAsia="方正仿宋_GBK" w:cs="Times New Roman"/>
          <w:b w:val="0"/>
          <w:bCs w:val="0"/>
          <w:sz w:val="32"/>
          <w:szCs w:val="32"/>
        </w:rPr>
        <w:t>法治建设第一责任人</w:t>
      </w:r>
      <w:r>
        <w:rPr>
          <w:rFonts w:hint="eastAsia" w:ascii="Times New Roman" w:hAnsi="Times New Roman" w:eastAsia="方正仿宋_GBK" w:cs="Times New Roman"/>
          <w:b w:val="0"/>
          <w:bCs w:val="0"/>
          <w:sz w:val="32"/>
          <w:szCs w:val="32"/>
          <w:lang w:eastAsia="zh-CN"/>
        </w:rPr>
        <w:t>职责</w:t>
      </w:r>
      <w:r>
        <w:rPr>
          <w:rFonts w:hint="default" w:ascii="Times New Roman" w:hAnsi="Times New Roman" w:eastAsia="方正仿宋_GBK" w:cs="Times New Roman"/>
          <w:b w:val="0"/>
          <w:bCs w:val="0"/>
          <w:sz w:val="32"/>
          <w:szCs w:val="32"/>
        </w:rPr>
        <w:t>，坚持</w:t>
      </w:r>
      <w:r>
        <w:rPr>
          <w:rFonts w:hint="eastAsia" w:ascii="Times New Roman" w:hAnsi="Times New Roman" w:eastAsia="方正仿宋_GBK" w:cs="Times New Roman"/>
          <w:b w:val="0"/>
          <w:bCs w:val="0"/>
          <w:sz w:val="32"/>
          <w:szCs w:val="32"/>
          <w:lang w:eastAsia="zh-CN"/>
        </w:rPr>
        <w:t>带头守法、</w:t>
      </w:r>
      <w:r>
        <w:rPr>
          <w:rFonts w:hint="default" w:ascii="Times New Roman" w:hAnsi="Times New Roman" w:eastAsia="方正仿宋_GBK" w:cs="Times New Roman"/>
          <w:b w:val="0"/>
          <w:bCs w:val="0"/>
          <w:sz w:val="32"/>
          <w:szCs w:val="32"/>
        </w:rPr>
        <w:t>保证执法、支持司法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总揽全局协调推进商圈各方面的工作</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highlight w:val="none"/>
        </w:rPr>
        <w:t>坚持对</w:t>
      </w:r>
      <w:r>
        <w:rPr>
          <w:rFonts w:hint="eastAsia" w:ascii="Times New Roman" w:hAnsi="Times New Roman" w:eastAsia="方正仿宋_GBK" w:cs="Times New Roman"/>
          <w:sz w:val="32"/>
          <w:szCs w:val="32"/>
          <w:highlight w:val="none"/>
          <w:lang w:eastAsia="zh-CN"/>
        </w:rPr>
        <w:t>重要</w:t>
      </w:r>
      <w:r>
        <w:rPr>
          <w:rFonts w:hint="default" w:ascii="Times New Roman" w:hAnsi="Times New Roman" w:eastAsia="方正仿宋_GBK" w:cs="Times New Roman"/>
          <w:sz w:val="32"/>
          <w:szCs w:val="32"/>
          <w:highlight w:val="none"/>
        </w:rPr>
        <w:t>工作亲自部署、重大问题亲自过问、重要任务亲自督办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切实把法治建设的各项</w:t>
      </w:r>
      <w:r>
        <w:rPr>
          <w:rFonts w:hint="eastAsia" w:ascii="Times New Roman" w:hAnsi="Times New Roman" w:eastAsia="方正仿宋_GBK" w:cs="Times New Roman"/>
          <w:sz w:val="32"/>
          <w:szCs w:val="32"/>
          <w:highlight w:val="none"/>
          <w:lang w:eastAsia="zh-CN"/>
        </w:rPr>
        <w:t>任务</w:t>
      </w:r>
      <w:r>
        <w:rPr>
          <w:rFonts w:hint="default" w:ascii="Times New Roman" w:hAnsi="Times New Roman" w:eastAsia="方正仿宋_GBK" w:cs="Times New Roman"/>
          <w:sz w:val="32"/>
          <w:szCs w:val="32"/>
          <w:highlight w:val="none"/>
        </w:rPr>
        <w:t>要求</w:t>
      </w:r>
      <w:r>
        <w:rPr>
          <w:rFonts w:hint="eastAsia" w:ascii="Times New Roman" w:hAnsi="Times New Roman" w:eastAsia="方正仿宋_GBK" w:cs="Times New Roman"/>
          <w:sz w:val="32"/>
          <w:szCs w:val="32"/>
          <w:highlight w:val="none"/>
          <w:lang w:eastAsia="zh-CN"/>
        </w:rPr>
        <w:t>落实到位；坚持</w:t>
      </w:r>
      <w:r>
        <w:rPr>
          <w:rFonts w:hint="default" w:ascii="Times New Roman" w:hAnsi="Times New Roman" w:eastAsia="方正仿宋_GBK" w:cs="Times New Roman"/>
          <w:sz w:val="32"/>
          <w:szCs w:val="32"/>
          <w:highlight w:val="none"/>
          <w:lang w:eastAsia="zh-CN"/>
        </w:rPr>
        <w:t>带头</w:t>
      </w:r>
      <w:r>
        <w:rPr>
          <w:rFonts w:hint="default" w:ascii="Times New Roman" w:hAnsi="Times New Roman" w:eastAsia="方正仿宋_GBK" w:cs="Times New Roman"/>
          <w:sz w:val="32"/>
          <w:szCs w:val="32"/>
          <w:highlight w:val="none"/>
        </w:rPr>
        <w:t>学习习近平总书记关于全面依法治国的重要论述，学习掌握中国特色社会主义法律体系，切实增强贯彻落实党中央关于法治建设重大决策部署的思想自觉和行动自觉，不断提升运用法治思维和法治方式</w:t>
      </w:r>
      <w:r>
        <w:rPr>
          <w:rFonts w:hint="default" w:ascii="Times New Roman" w:hAnsi="Times New Roman" w:eastAsia="方正仿宋_GBK" w:cs="Times New Roman"/>
          <w:sz w:val="32"/>
          <w:szCs w:val="32"/>
          <w:highlight w:val="none"/>
          <w:lang w:eastAsia="zh-CN"/>
        </w:rPr>
        <w:t>解决问题的</w:t>
      </w:r>
      <w:r>
        <w:rPr>
          <w:rFonts w:hint="default" w:ascii="Times New Roman" w:hAnsi="Times New Roman" w:eastAsia="方正仿宋_GBK" w:cs="Times New Roman"/>
          <w:sz w:val="32"/>
          <w:szCs w:val="32"/>
          <w:highlight w:val="none"/>
        </w:rPr>
        <w:t>能力和水平。</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0" w:firstLineChars="200"/>
        <w:jc w:val="left"/>
        <w:textAlignment w:val="auto"/>
        <w:rPr>
          <w:rFonts w:hint="eastAsia"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rPr>
        <w:t>三、</w:t>
      </w:r>
      <w:r>
        <w:rPr>
          <w:rFonts w:hint="eastAsia" w:ascii="Times New Roman" w:hAnsi="Times New Roman" w:eastAsia="方正黑体_GBK" w:cs="Times New Roman"/>
          <w:b w:val="0"/>
          <w:bCs w:val="0"/>
          <w:sz w:val="32"/>
          <w:szCs w:val="32"/>
          <w:lang w:eastAsia="zh-CN"/>
        </w:rPr>
        <w:t>存在的不足和原因</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3"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eastAsia="zh-CN"/>
        </w:rPr>
        <w:t>一是新进执法人员专业素养有待加强。</w:t>
      </w:r>
      <w:r>
        <w:rPr>
          <w:rFonts w:hint="eastAsia" w:ascii="Times New Roman" w:hAnsi="Times New Roman" w:eastAsia="方正仿宋_GBK" w:cs="Times New Roman"/>
          <w:b w:val="0"/>
          <w:bCs w:val="0"/>
          <w:sz w:val="32"/>
          <w:szCs w:val="32"/>
          <w:lang w:eastAsia="zh-CN"/>
        </w:rPr>
        <w:t>因城管执法人员流动性大，</w:t>
      </w:r>
      <w:r>
        <w:rPr>
          <w:rFonts w:hint="eastAsia" w:ascii="Times New Roman" w:hAnsi="Times New Roman" w:eastAsia="方正仿宋_GBK" w:cs="Times New Roman"/>
          <w:sz w:val="32"/>
          <w:szCs w:val="32"/>
          <w:lang w:eastAsia="zh-CN"/>
        </w:rPr>
        <w:t>新进执法人员依法行政观念淡薄，对法律条文不熟悉，执法程序不严谨，在开展执法、协调问题、处理纠纷时靠主观解决</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未完全做到以法服人。</w:t>
      </w:r>
      <w:r>
        <w:rPr>
          <w:rFonts w:hint="eastAsia"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bCs/>
          <w:sz w:val="32"/>
          <w:szCs w:val="32"/>
        </w:rPr>
        <w:t>行政执法监督</w:t>
      </w:r>
      <w:r>
        <w:rPr>
          <w:rFonts w:hint="eastAsia" w:ascii="Times New Roman" w:hAnsi="Times New Roman" w:eastAsia="方正仿宋_GBK" w:cs="Times New Roman"/>
          <w:b/>
          <w:bCs/>
          <w:sz w:val="32"/>
          <w:szCs w:val="32"/>
          <w:lang w:eastAsia="zh-CN"/>
        </w:rPr>
        <w:t>力度有待加强</w:t>
      </w:r>
      <w:r>
        <w:rPr>
          <w:rFonts w:hint="default" w:ascii="Times New Roman" w:hAnsi="Times New Roman" w:eastAsia="方正仿宋_GBK" w:cs="Times New Roman"/>
          <w:b/>
          <w:bCs/>
          <w:sz w:val="32"/>
          <w:szCs w:val="32"/>
        </w:rPr>
        <w:t>。</w:t>
      </w:r>
      <w:r>
        <w:rPr>
          <w:rFonts w:hint="eastAsia" w:ascii="Times New Roman" w:hAnsi="Times New Roman" w:eastAsia="方正仿宋_GBK" w:cs="Times New Roman"/>
          <w:sz w:val="32"/>
          <w:szCs w:val="32"/>
          <w:lang w:eastAsia="zh-CN"/>
        </w:rPr>
        <w:t>仍然</w:t>
      </w:r>
      <w:r>
        <w:rPr>
          <w:rFonts w:hint="eastAsia" w:ascii="Times New Roman" w:hAnsi="Times New Roman" w:eastAsia="方正仿宋_GBK" w:cs="Times New Roman"/>
          <w:sz w:val="32"/>
          <w:szCs w:val="32"/>
          <w:lang w:val="en-US" w:eastAsia="zh-CN"/>
        </w:rPr>
        <w:t>存在群众对执法人员执法简单粗暴、工作态度不好、执法程序错误、条款解释不清等问题的投诉，全年正式受理执法类投诉案件10件，同比去年有所增长。</w:t>
      </w:r>
      <w:r>
        <w:rPr>
          <w:rFonts w:hint="eastAsia" w:ascii="Times New Roman" w:hAnsi="Times New Roman" w:eastAsia="方正仿宋_GBK" w:cs="Times New Roman"/>
          <w:b/>
          <w:bCs/>
          <w:sz w:val="32"/>
          <w:szCs w:val="32"/>
          <w:lang w:eastAsia="zh-CN"/>
        </w:rPr>
        <w:t>三是</w:t>
      </w:r>
      <w:r>
        <w:rPr>
          <w:rFonts w:hint="eastAsia" w:ascii="Times New Roman" w:hAnsi="Times New Roman" w:eastAsia="方正仿宋_GBK" w:cs="Times New Roman"/>
          <w:b/>
          <w:bCs/>
          <w:sz w:val="32"/>
          <w:szCs w:val="32"/>
          <w:lang w:val="en-US" w:eastAsia="zh-CN"/>
        </w:rPr>
        <w:t>法治宣传教育工作有待加强。</w:t>
      </w:r>
      <w:r>
        <w:rPr>
          <w:rFonts w:hint="eastAsia" w:ascii="Times New Roman" w:hAnsi="Times New Roman" w:eastAsia="方正仿宋_GBK" w:cs="Times New Roman"/>
          <w:sz w:val="32"/>
          <w:szCs w:val="32"/>
          <w:highlight w:val="none"/>
          <w:lang w:val="en-US" w:eastAsia="zh-CN"/>
        </w:rPr>
        <w:t>仅</w:t>
      </w:r>
      <w:r>
        <w:rPr>
          <w:rFonts w:hint="eastAsia" w:ascii="Times New Roman" w:hAnsi="Times New Roman" w:eastAsia="方正仿宋_GBK" w:cs="Times New Roman"/>
          <w:sz w:val="32"/>
          <w:szCs w:val="32"/>
          <w:highlight w:val="none"/>
          <w:lang w:eastAsia="zh-CN"/>
        </w:rPr>
        <w:t>注</w:t>
      </w:r>
      <w:r>
        <w:rPr>
          <w:rFonts w:hint="eastAsia" w:ascii="Times New Roman" w:hAnsi="Times New Roman" w:eastAsia="方正仿宋_GBK" w:cs="Times New Roman"/>
          <w:sz w:val="32"/>
          <w:szCs w:val="32"/>
          <w:lang w:eastAsia="zh-CN"/>
        </w:rPr>
        <w:t>重在“12.4宪法宣传日”和五一节、国庆节等特殊日子搞集中宣传，没有将法治宣传贯彻于日常工作，没有形成长效宣传机制。针对辖区生产经营单位的普法宣传工作还不够深入，部分商户法律意识和法治观念淡薄，发生矛盾纠纷时不通过法律途径，往往采取围堵机关办公场所、聚众上访、广场拉横幅等简单、粗暴的方式解决问题，影响社会和谐稳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eastAsia" w:ascii="Times New Roman" w:hAnsi="Times New Roman" w:eastAsia="方正黑体_GBK" w:cs="Times New Roman"/>
          <w:b w:val="0"/>
          <w:bCs w:val="0"/>
          <w:sz w:val="32"/>
          <w:szCs w:val="32"/>
          <w:lang w:eastAsia="zh-CN"/>
        </w:rPr>
        <w:t>下一步</w:t>
      </w:r>
      <w:r>
        <w:rPr>
          <w:rFonts w:hint="default" w:ascii="Times New Roman" w:hAnsi="Times New Roman" w:eastAsia="方正黑体_GBK" w:cs="Times New Roman"/>
          <w:b w:val="0"/>
          <w:bCs w:val="0"/>
          <w:sz w:val="32"/>
          <w:szCs w:val="32"/>
        </w:rPr>
        <w:t>工作计划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2022年，三峡广场商圈党工委、管委会将</w:t>
      </w:r>
      <w:r>
        <w:rPr>
          <w:rFonts w:hint="default" w:ascii="Times New Roman" w:hAnsi="Times New Roman" w:eastAsia="方正仿宋_GBK" w:cs="Times New Roman"/>
          <w:color w:val="auto"/>
          <w:kern w:val="2"/>
          <w:sz w:val="32"/>
          <w:szCs w:val="32"/>
          <w:lang w:val="en-US" w:eastAsia="zh-CN" w:bidi="ar-SA"/>
        </w:rPr>
        <w:t>紧紧围绕</w:t>
      </w:r>
      <w:r>
        <w:rPr>
          <w:rFonts w:hint="eastAsia" w:ascii="Times New Roman" w:hAnsi="Times New Roman" w:eastAsia="方正仿宋_GBK" w:cs="Times New Roman"/>
          <w:color w:val="auto"/>
          <w:kern w:val="2"/>
          <w:sz w:val="32"/>
          <w:szCs w:val="32"/>
          <w:lang w:val="en-US" w:eastAsia="zh-CN" w:bidi="ar-SA"/>
        </w:rPr>
        <w:t>区委法治政府建设决策部署，以创新为动力，着力补短板、抓重点、强基础，以更高的标准，更大的力度，全面推进“法治商圈”建设。</w:t>
      </w:r>
      <w:r>
        <w:rPr>
          <w:rFonts w:hint="eastAsia"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bCs/>
          <w:sz w:val="32"/>
          <w:szCs w:val="32"/>
          <w:lang w:val="en-US" w:eastAsia="zh-CN"/>
        </w:rPr>
        <w:t>进一步</w:t>
      </w:r>
      <w:r>
        <w:rPr>
          <w:rFonts w:hint="eastAsia" w:ascii="Times New Roman" w:hAnsi="Times New Roman" w:eastAsia="方正仿宋_GBK" w:cs="Times New Roman"/>
          <w:b/>
          <w:bCs/>
          <w:sz w:val="32"/>
          <w:szCs w:val="32"/>
          <w:lang w:val="en-US" w:eastAsia="zh-CN"/>
        </w:rPr>
        <w:t>加强新进执法人员法律培训</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sz w:val="32"/>
          <w:szCs w:val="32"/>
          <w:lang w:eastAsia="zh-CN"/>
        </w:rPr>
        <w:t>严格新进执法人员岗前</w:t>
      </w:r>
      <w:r>
        <w:rPr>
          <w:rFonts w:hint="eastAsia" w:ascii="Times New Roman" w:hAnsi="Times New Roman" w:eastAsia="方正仿宋_GBK" w:cs="Times New Roman"/>
          <w:sz w:val="32"/>
          <w:szCs w:val="32"/>
        </w:rPr>
        <w:t>培训，</w:t>
      </w:r>
      <w:r>
        <w:rPr>
          <w:rFonts w:hint="eastAsia" w:ascii="Times New Roman" w:hAnsi="Times New Roman" w:eastAsia="方正仿宋_GBK" w:cs="Times New Roman"/>
          <w:sz w:val="32"/>
          <w:szCs w:val="32"/>
          <w:lang w:eastAsia="zh-CN"/>
        </w:rPr>
        <w:t>加强</w:t>
      </w:r>
      <w:r>
        <w:rPr>
          <w:rFonts w:hint="eastAsia" w:ascii="Times New Roman" w:hAnsi="Times New Roman" w:eastAsia="方正仿宋_GBK" w:cs="Times New Roman"/>
          <w:sz w:val="32"/>
          <w:szCs w:val="32"/>
        </w:rPr>
        <w:t>理论知识</w:t>
      </w:r>
      <w:r>
        <w:rPr>
          <w:rFonts w:hint="eastAsia" w:ascii="Times New Roman" w:hAnsi="Times New Roman" w:eastAsia="方正仿宋_GBK" w:cs="Times New Roman"/>
          <w:sz w:val="32"/>
          <w:szCs w:val="32"/>
          <w:lang w:eastAsia="zh-CN"/>
        </w:rPr>
        <w:t>学习，采取</w:t>
      </w:r>
      <w:r>
        <w:rPr>
          <w:rFonts w:hint="eastAsia" w:ascii="Times New Roman" w:hAnsi="Times New Roman" w:eastAsia="方正仿宋_GBK" w:cs="Times New Roman"/>
          <w:sz w:val="32"/>
          <w:szCs w:val="32"/>
        </w:rPr>
        <w:t>以老带新</w:t>
      </w:r>
      <w:r>
        <w:rPr>
          <w:rFonts w:hint="eastAsia" w:ascii="Times New Roman" w:hAnsi="Times New Roman" w:eastAsia="方正仿宋_GBK" w:cs="Times New Roman"/>
          <w:sz w:val="32"/>
          <w:szCs w:val="32"/>
          <w:lang w:eastAsia="zh-CN"/>
        </w:rPr>
        <w:t>教学方式</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安排新</w:t>
      </w:r>
      <w:r>
        <w:rPr>
          <w:rFonts w:hint="eastAsia" w:ascii="Times New Roman" w:hAnsi="Times New Roman" w:eastAsia="方正仿宋_GBK"/>
          <w:sz w:val="32"/>
          <w:szCs w:val="32"/>
          <w:lang w:eastAsia="zh-CN"/>
        </w:rPr>
        <w:t>进执法人员</w:t>
      </w:r>
      <w:r>
        <w:rPr>
          <w:rFonts w:hint="eastAsia" w:ascii="Times New Roman" w:hAnsi="Times New Roman" w:eastAsia="方正仿宋_GBK"/>
          <w:sz w:val="32"/>
          <w:szCs w:val="32"/>
        </w:rPr>
        <w:t>在实践中进行跟岗培训，在老队员的带领下熟悉辖区环境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学习执法技巧，体验现场执法，逐步掌握各项工作内容，确保业务能力和整体素质得到有效提高。</w:t>
      </w:r>
      <w:r>
        <w:rPr>
          <w:rFonts w:hint="eastAsia" w:ascii="方正仿宋_GBK" w:hAnsi="仿宋" w:eastAsia="方正仿宋_GBK" w:cs="仿宋"/>
          <w:b/>
          <w:bCs/>
          <w:sz w:val="32"/>
          <w:szCs w:val="32"/>
          <w:lang w:val="en-US" w:eastAsia="zh-CN"/>
        </w:rPr>
        <w:t>二是进一步加强行政执法监督。</w:t>
      </w:r>
      <w:r>
        <w:rPr>
          <w:rFonts w:hint="eastAsia" w:ascii="Times New Roman" w:hAnsi="Times New Roman" w:eastAsia="方正仿宋_GBK"/>
          <w:sz w:val="32"/>
          <w:szCs w:val="32"/>
          <w:lang w:val="en-US" w:eastAsia="zh-CN"/>
        </w:rPr>
        <w:t>落实行政执法公示制度，设置公示栏张贴执法文书，以公开透明倒逼规范执法。落实执法全过程记录，严格要求执法人员在执法过程中全程佩戴执法记录仪不间断录制并存储现场执法影像，并做好执法文字记录。落实法制审核工作机制，每月定期邀请法律顾问对行政处罚案件进行审核，发现问题立即整改。</w:t>
      </w:r>
      <w:r>
        <w:rPr>
          <w:rFonts w:hint="eastAsia" w:ascii="Times New Roman" w:hAnsi="Times New Roman" w:eastAsia="方正仿宋_GBK" w:cs="Times New Roman"/>
          <w:b/>
          <w:bCs/>
          <w:color w:val="auto"/>
          <w:kern w:val="2"/>
          <w:sz w:val="32"/>
          <w:szCs w:val="32"/>
          <w:lang w:val="en-US" w:eastAsia="zh-CN" w:bidi="ar-SA"/>
        </w:rPr>
        <w:t>三是进一步加强法治宣传教育。</w:t>
      </w:r>
      <w:r>
        <w:rPr>
          <w:rFonts w:hint="eastAsia" w:ascii="方正仿宋_GBK" w:hAnsi="方正仿宋_GBK" w:eastAsia="方正仿宋_GBK" w:cs="方正仿宋_GBK"/>
          <w:color w:val="auto"/>
          <w:kern w:val="2"/>
          <w:sz w:val="32"/>
          <w:szCs w:val="32"/>
          <w:lang w:val="en-US" w:eastAsia="zh-CN" w:bidi="ar-SA"/>
        </w:rPr>
        <w:t>充分</w:t>
      </w:r>
      <w:r>
        <w:rPr>
          <w:rFonts w:hint="eastAsia" w:ascii="方正仿宋_GBK" w:hAnsi="方正仿宋_GBK" w:eastAsia="方正仿宋_GBK" w:cs="方正仿宋_GBK"/>
          <w:b w:val="0"/>
          <w:bCs w:val="0"/>
          <w:sz w:val="32"/>
          <w:szCs w:val="32"/>
          <w:lang w:eastAsia="zh-CN" w:bidi="ar"/>
        </w:rPr>
        <w:t>利用广场大型户外</w:t>
      </w:r>
      <w:r>
        <w:rPr>
          <w:rFonts w:hint="default" w:ascii="Times New Roman" w:hAnsi="Times New Roman" w:eastAsia="方正仿宋_GBK" w:cs="Times New Roman"/>
          <w:sz w:val="32"/>
          <w:szCs w:val="32"/>
        </w:rPr>
        <w:t>LED</w:t>
      </w:r>
      <w:r>
        <w:rPr>
          <w:rFonts w:hint="eastAsia" w:ascii="方正仿宋_GBK" w:hAnsi="方正仿宋_GBK" w:eastAsia="方正仿宋_GBK" w:cs="方正仿宋_GBK"/>
          <w:sz w:val="32"/>
          <w:szCs w:val="32"/>
        </w:rPr>
        <w:t>显示屏、智慧商圈终端机、宣传栏、政府门户网站、灯杆道旗等宣传载体</w:t>
      </w:r>
      <w:r>
        <w:rPr>
          <w:rFonts w:hint="eastAsia" w:ascii="方正仿宋_GBK" w:hAnsi="方正仿宋_GBK" w:eastAsia="方正仿宋_GBK" w:cs="方正仿宋_GBK"/>
          <w:sz w:val="32"/>
          <w:szCs w:val="32"/>
          <w:lang w:eastAsia="zh-CN"/>
        </w:rPr>
        <w:t>深入</w:t>
      </w:r>
      <w:r>
        <w:rPr>
          <w:rFonts w:hint="eastAsia" w:ascii="方正仿宋_GBK" w:hAnsi="方正仿宋_GBK" w:eastAsia="方正仿宋_GBK" w:cs="方正仿宋_GBK"/>
          <w:sz w:val="32"/>
          <w:szCs w:val="32"/>
        </w:rPr>
        <w:t>开展习近平</w:t>
      </w:r>
      <w:r>
        <w:rPr>
          <w:rFonts w:hint="eastAsia" w:ascii="方正仿宋_GBK" w:hAnsi="方正仿宋_GBK" w:eastAsia="方正仿宋_GBK" w:cs="方正仿宋_GBK"/>
          <w:sz w:val="32"/>
          <w:szCs w:val="32"/>
          <w:lang w:eastAsia="zh-CN"/>
        </w:rPr>
        <w:t>法治</w:t>
      </w:r>
      <w:r>
        <w:rPr>
          <w:rFonts w:hint="eastAsia" w:ascii="方正仿宋_GBK" w:hAnsi="方正仿宋_GBK" w:eastAsia="方正仿宋_GBK" w:cs="方正仿宋_GBK"/>
          <w:sz w:val="32"/>
          <w:szCs w:val="32"/>
        </w:rPr>
        <w:t>思想、</w:t>
      </w:r>
      <w:r>
        <w:rPr>
          <w:rFonts w:hint="eastAsia" w:ascii="方正仿宋_GBK" w:hAnsi="方正仿宋_GBK" w:eastAsia="方正仿宋_GBK" w:cs="方正仿宋_GBK"/>
          <w:color w:val="auto"/>
          <w:kern w:val="2"/>
          <w:sz w:val="32"/>
          <w:szCs w:val="32"/>
          <w:lang w:val="en-US" w:eastAsia="zh-CN" w:bidi="ar-SA"/>
        </w:rPr>
        <w:t>《宪法》《消费者权益保护法》《民法典》《优化营商环境条例》等法律法规知识宣传；经常性开展</w:t>
      </w:r>
      <w:r>
        <w:rPr>
          <w:rFonts w:hint="eastAsia" w:ascii="方正仿宋_GBK" w:hAnsi="方正仿宋_GBK" w:eastAsia="方正仿宋_GBK" w:cs="方正仿宋_GBK"/>
          <w:i w:val="0"/>
          <w:caps w:val="0"/>
          <w:color w:val="333333"/>
          <w:spacing w:val="0"/>
          <w:sz w:val="32"/>
          <w:szCs w:val="32"/>
        </w:rPr>
        <w:t>法律进</w:t>
      </w:r>
      <w:r>
        <w:rPr>
          <w:rFonts w:hint="eastAsia" w:ascii="方正仿宋_GBK" w:hAnsi="方正仿宋_GBK" w:eastAsia="方正仿宋_GBK" w:cs="方正仿宋_GBK"/>
          <w:i w:val="0"/>
          <w:caps w:val="0"/>
          <w:color w:val="333333"/>
          <w:spacing w:val="0"/>
          <w:sz w:val="32"/>
          <w:szCs w:val="32"/>
          <w:lang w:eastAsia="zh-CN"/>
        </w:rPr>
        <w:t>企业</w:t>
      </w:r>
      <w:r>
        <w:rPr>
          <w:rFonts w:hint="eastAsia" w:ascii="方正仿宋_GBK" w:hAnsi="方正仿宋_GBK" w:eastAsia="方正仿宋_GBK" w:cs="方正仿宋_GBK"/>
          <w:i w:val="0"/>
          <w:caps w:val="0"/>
          <w:color w:val="333333"/>
          <w:spacing w:val="0"/>
          <w:sz w:val="32"/>
          <w:szCs w:val="32"/>
        </w:rPr>
        <w:t>、进</w:t>
      </w:r>
      <w:r>
        <w:rPr>
          <w:rFonts w:hint="eastAsia" w:ascii="方正仿宋_GBK" w:hAnsi="方正仿宋_GBK" w:eastAsia="方正仿宋_GBK" w:cs="方正仿宋_GBK"/>
          <w:i w:val="0"/>
          <w:caps w:val="0"/>
          <w:color w:val="333333"/>
          <w:spacing w:val="0"/>
          <w:sz w:val="32"/>
          <w:szCs w:val="32"/>
          <w:lang w:eastAsia="zh-CN"/>
        </w:rPr>
        <w:t>商场</w:t>
      </w:r>
      <w:r>
        <w:rPr>
          <w:rFonts w:hint="eastAsia" w:ascii="方正仿宋_GBK" w:hAnsi="方正仿宋_GBK" w:eastAsia="方正仿宋_GBK" w:cs="方正仿宋_GBK"/>
          <w:i w:val="0"/>
          <w:caps w:val="0"/>
          <w:color w:val="333333"/>
          <w:spacing w:val="0"/>
          <w:sz w:val="32"/>
          <w:szCs w:val="32"/>
        </w:rPr>
        <w:t>、进</w:t>
      </w:r>
      <w:r>
        <w:rPr>
          <w:rFonts w:hint="eastAsia" w:ascii="方正仿宋_GBK" w:hAnsi="方正仿宋_GBK" w:eastAsia="方正仿宋_GBK" w:cs="方正仿宋_GBK"/>
          <w:i w:val="0"/>
          <w:caps w:val="0"/>
          <w:color w:val="333333"/>
          <w:spacing w:val="0"/>
          <w:sz w:val="32"/>
          <w:szCs w:val="32"/>
          <w:lang w:eastAsia="zh-CN"/>
        </w:rPr>
        <w:t>商铺的主题宣传活动，</w:t>
      </w:r>
      <w:r>
        <w:rPr>
          <w:rFonts w:hint="eastAsia" w:ascii="方正仿宋_GBK" w:hAnsi="方正仿宋_GBK" w:eastAsia="方正仿宋_GBK" w:cs="方正仿宋_GBK"/>
          <w:i w:val="0"/>
          <w:caps w:val="0"/>
          <w:color w:val="333333"/>
          <w:spacing w:val="0"/>
          <w:sz w:val="32"/>
          <w:szCs w:val="32"/>
        </w:rPr>
        <w:t>形成</w:t>
      </w:r>
      <w:r>
        <w:rPr>
          <w:rFonts w:hint="eastAsia" w:ascii="方正仿宋_GBK" w:hAnsi="方正仿宋_GBK" w:eastAsia="方正仿宋_GBK" w:cs="方正仿宋_GBK"/>
          <w:i w:val="0"/>
          <w:caps w:val="0"/>
          <w:color w:val="333333"/>
          <w:spacing w:val="0"/>
          <w:sz w:val="32"/>
          <w:szCs w:val="32"/>
          <w:lang w:eastAsia="zh-CN"/>
        </w:rPr>
        <w:t>三峡广场商圈遵法守法</w:t>
      </w:r>
      <w:r>
        <w:rPr>
          <w:rFonts w:hint="eastAsia" w:ascii="方正仿宋_GBK" w:hAnsi="方正仿宋_GBK" w:eastAsia="方正仿宋_GBK" w:cs="方正仿宋_GBK"/>
          <w:i w:val="0"/>
          <w:caps w:val="0"/>
          <w:color w:val="333333"/>
          <w:spacing w:val="0"/>
          <w:sz w:val="32"/>
          <w:szCs w:val="32"/>
        </w:rPr>
        <w:t>的良好氛围。</w:t>
      </w:r>
      <w:r>
        <w:rPr>
          <w:rFonts w:hint="eastAsia" w:ascii="方正仿宋_GBK" w:hAnsi="仿宋" w:eastAsia="方正仿宋_GBK" w:cs="仿宋"/>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kinsoku/>
        <w:wordWrap/>
        <w:overflowPunct/>
        <w:topLinePunct w:val="0"/>
        <w:autoSpaceDE/>
        <w:autoSpaceDN/>
        <w:bidi w:val="0"/>
        <w:adjustRightInd w:val="0"/>
        <w:snapToGrid w:val="0"/>
        <w:spacing w:line="550"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val="0"/>
        <w:snapToGrid w:val="0"/>
        <w:spacing w:line="550" w:lineRule="exact"/>
        <w:textAlignment w:val="auto"/>
        <w:rPr>
          <w:rFonts w:hint="default"/>
          <w:lang w:val="en-US" w:eastAsia="zh-CN"/>
        </w:rPr>
      </w:pPr>
      <w:bookmarkStart w:id="0" w:name="_GoBack"/>
      <w:bookmarkEnd w:id="0"/>
    </w:p>
    <w:sectPr>
      <w:footerReference r:id="rId3" w:type="default"/>
      <w:footerReference r:id="rId4" w:type="even"/>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embedRegular r:id="rId1" w:fontKey="{AEE9A369-A08E-4710-B0A6-3F6977B5B256}"/>
  </w:font>
  <w:font w:name="方正小标宋_GBK">
    <w:panose1 w:val="03000509000000000000"/>
    <w:charset w:val="86"/>
    <w:family w:val="auto"/>
    <w:pitch w:val="default"/>
    <w:sig w:usb0="00000001" w:usb1="080E0000" w:usb2="00000000" w:usb3="00000000" w:csb0="00040000" w:csb1="00000000"/>
    <w:embedRegular r:id="rId2" w:fontKey="{F8F48608-3E3B-4AEB-9E37-78F0A349A424}"/>
  </w:font>
  <w:font w:name="方正黑体_GBK">
    <w:panose1 w:val="03000509000000000000"/>
    <w:charset w:val="86"/>
    <w:family w:val="auto"/>
    <w:pitch w:val="default"/>
    <w:sig w:usb0="00000001" w:usb1="080E0000" w:usb2="00000000" w:usb3="00000000" w:csb0="00040000" w:csb1="00000000"/>
    <w:embedRegular r:id="rId3" w:fontKey="{A22773AA-BA8B-474E-B443-90E7D0BB3FF0}"/>
  </w:font>
  <w:font w:name="方正楷体_GBK">
    <w:panose1 w:val="03000509000000000000"/>
    <w:charset w:val="86"/>
    <w:family w:val="auto"/>
    <w:pitch w:val="default"/>
    <w:sig w:usb0="00000001" w:usb1="080E0000" w:usb2="00000000" w:usb3="00000000" w:csb0="00040000" w:csb1="00000000"/>
    <w:embedRegular r:id="rId4" w:fontKey="{BD74608F-0B5F-4E2D-99D7-E2862BECE686}"/>
  </w:font>
  <w:font w:name="微软雅黑">
    <w:panose1 w:val="020B0503020204020204"/>
    <w:charset w:val="86"/>
    <w:family w:val="auto"/>
    <w:pitch w:val="default"/>
    <w:sig w:usb0="80000287" w:usb1="280F3C52" w:usb2="00000016" w:usb3="00000000" w:csb0="0004001F" w:csb1="00000000"/>
    <w:embedRegular r:id="rId5" w:fontKey="{3909CC76-E1D1-4E41-80AA-741D1D661CAA}"/>
  </w:font>
  <w:font w:name="仿宋">
    <w:panose1 w:val="02010609060101010101"/>
    <w:charset w:val="86"/>
    <w:family w:val="modern"/>
    <w:pitch w:val="default"/>
    <w:sig w:usb0="800002BF" w:usb1="38CF7CFA" w:usb2="00000016" w:usb3="00000000" w:csb0="00040001" w:csb1="00000000"/>
    <w:embedRegular r:id="rId6" w:fontKey="{CDBA4A7A-0456-4F11-BB47-0C838B8DA3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Theme="minorEastAsia" w:hAnsiTheme="minorEastAsia" w:eastAsiaTheme="minorEastAsia" w:cstheme="minorEastAsia"/>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wordWrap w:val="0"/>
                  <w:jc w:val="right"/>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Theme="minorEastAsia" w:hAnsiTheme="minorEastAsia"/>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ind w:firstLine="280" w:firstLineChars="100"/>
                </w:pPr>
                <w:r>
                  <w:rPr>
                    <w:rFonts w:hint="eastAsia" w:asciiTheme="minorEastAsia" w:hAnsi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heme="minorEastAsia" w:hAnsiTheme="minorEastAsia"/>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DE4F4"/>
    <w:multiLevelType w:val="singleLevel"/>
    <w:tmpl w:val="C61DE4F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jMGNiYzVjMmFkMmU5NTY1YjMzYmU5N2Y0NjM1NmIifQ=="/>
  </w:docVars>
  <w:rsids>
    <w:rsidRoot w:val="00090BEA"/>
    <w:rsid w:val="00090BEA"/>
    <w:rsid w:val="000B7DAD"/>
    <w:rsid w:val="000C5389"/>
    <w:rsid w:val="00100293"/>
    <w:rsid w:val="0014196B"/>
    <w:rsid w:val="00196B1A"/>
    <w:rsid w:val="001C418F"/>
    <w:rsid w:val="002045C6"/>
    <w:rsid w:val="00215263"/>
    <w:rsid w:val="002324E8"/>
    <w:rsid w:val="00237F79"/>
    <w:rsid w:val="002514CB"/>
    <w:rsid w:val="00280BFE"/>
    <w:rsid w:val="00292969"/>
    <w:rsid w:val="002C1ADB"/>
    <w:rsid w:val="002D6BA0"/>
    <w:rsid w:val="002F3230"/>
    <w:rsid w:val="00300BC8"/>
    <w:rsid w:val="00313460"/>
    <w:rsid w:val="00332A6D"/>
    <w:rsid w:val="0034573C"/>
    <w:rsid w:val="00371B60"/>
    <w:rsid w:val="003B56FA"/>
    <w:rsid w:val="003C70DF"/>
    <w:rsid w:val="003F295B"/>
    <w:rsid w:val="004017BA"/>
    <w:rsid w:val="00417F89"/>
    <w:rsid w:val="00432394"/>
    <w:rsid w:val="0043249A"/>
    <w:rsid w:val="00445949"/>
    <w:rsid w:val="00456987"/>
    <w:rsid w:val="0046181C"/>
    <w:rsid w:val="004858A6"/>
    <w:rsid w:val="004921CC"/>
    <w:rsid w:val="004B1FAC"/>
    <w:rsid w:val="004C6264"/>
    <w:rsid w:val="004C7B5A"/>
    <w:rsid w:val="004D5472"/>
    <w:rsid w:val="004D620E"/>
    <w:rsid w:val="00504FD6"/>
    <w:rsid w:val="0054419B"/>
    <w:rsid w:val="005A1BA3"/>
    <w:rsid w:val="005A735F"/>
    <w:rsid w:val="005B546B"/>
    <w:rsid w:val="005C3FF2"/>
    <w:rsid w:val="00600F74"/>
    <w:rsid w:val="006324E0"/>
    <w:rsid w:val="006360C4"/>
    <w:rsid w:val="00657535"/>
    <w:rsid w:val="00680312"/>
    <w:rsid w:val="006822C8"/>
    <w:rsid w:val="006D4EB9"/>
    <w:rsid w:val="007017D2"/>
    <w:rsid w:val="007116F8"/>
    <w:rsid w:val="007216D9"/>
    <w:rsid w:val="00725137"/>
    <w:rsid w:val="007258CE"/>
    <w:rsid w:val="007407D5"/>
    <w:rsid w:val="007548D8"/>
    <w:rsid w:val="007612C8"/>
    <w:rsid w:val="00776A1B"/>
    <w:rsid w:val="007A4618"/>
    <w:rsid w:val="007B698A"/>
    <w:rsid w:val="0080444D"/>
    <w:rsid w:val="00817D2B"/>
    <w:rsid w:val="0088216E"/>
    <w:rsid w:val="00883EA1"/>
    <w:rsid w:val="008843A0"/>
    <w:rsid w:val="008942C9"/>
    <w:rsid w:val="008B6894"/>
    <w:rsid w:val="008D2362"/>
    <w:rsid w:val="008D26CE"/>
    <w:rsid w:val="008E2FAD"/>
    <w:rsid w:val="00921F9F"/>
    <w:rsid w:val="00A17638"/>
    <w:rsid w:val="00A21A51"/>
    <w:rsid w:val="00A3240A"/>
    <w:rsid w:val="00A4531C"/>
    <w:rsid w:val="00A462E5"/>
    <w:rsid w:val="00A9704B"/>
    <w:rsid w:val="00AA3B7B"/>
    <w:rsid w:val="00AB7652"/>
    <w:rsid w:val="00B059BD"/>
    <w:rsid w:val="00B153B0"/>
    <w:rsid w:val="00B440CD"/>
    <w:rsid w:val="00B64A15"/>
    <w:rsid w:val="00B97C4A"/>
    <w:rsid w:val="00BA0D76"/>
    <w:rsid w:val="00BD22D3"/>
    <w:rsid w:val="00C04D15"/>
    <w:rsid w:val="00C2780B"/>
    <w:rsid w:val="00C55E7D"/>
    <w:rsid w:val="00C563B6"/>
    <w:rsid w:val="00C83F45"/>
    <w:rsid w:val="00C86BE8"/>
    <w:rsid w:val="00CF1DFB"/>
    <w:rsid w:val="00D2188B"/>
    <w:rsid w:val="00D246C7"/>
    <w:rsid w:val="00D45D11"/>
    <w:rsid w:val="00D7137F"/>
    <w:rsid w:val="00DA2987"/>
    <w:rsid w:val="00DB3EC5"/>
    <w:rsid w:val="00DC4D0B"/>
    <w:rsid w:val="00DD2F8A"/>
    <w:rsid w:val="00DD3701"/>
    <w:rsid w:val="00DF3768"/>
    <w:rsid w:val="00DF6262"/>
    <w:rsid w:val="00E01E5D"/>
    <w:rsid w:val="00E06C15"/>
    <w:rsid w:val="00E162C2"/>
    <w:rsid w:val="00E37C86"/>
    <w:rsid w:val="00E421D2"/>
    <w:rsid w:val="00E709D3"/>
    <w:rsid w:val="00E802CB"/>
    <w:rsid w:val="00ED767D"/>
    <w:rsid w:val="00EF712C"/>
    <w:rsid w:val="00F15A39"/>
    <w:rsid w:val="00F25621"/>
    <w:rsid w:val="00F41226"/>
    <w:rsid w:val="00F821FA"/>
    <w:rsid w:val="00F82662"/>
    <w:rsid w:val="00F82E6B"/>
    <w:rsid w:val="00F8670D"/>
    <w:rsid w:val="00FE2108"/>
    <w:rsid w:val="00FE6C1F"/>
    <w:rsid w:val="00FF126A"/>
    <w:rsid w:val="019C10E6"/>
    <w:rsid w:val="019F16E2"/>
    <w:rsid w:val="01F47267"/>
    <w:rsid w:val="020F7D08"/>
    <w:rsid w:val="02710952"/>
    <w:rsid w:val="02C82D9F"/>
    <w:rsid w:val="03030D69"/>
    <w:rsid w:val="04207FEF"/>
    <w:rsid w:val="0457354B"/>
    <w:rsid w:val="04AB2C5D"/>
    <w:rsid w:val="05431567"/>
    <w:rsid w:val="054C28AE"/>
    <w:rsid w:val="0565158B"/>
    <w:rsid w:val="06B167EB"/>
    <w:rsid w:val="06E878F0"/>
    <w:rsid w:val="07645196"/>
    <w:rsid w:val="09756187"/>
    <w:rsid w:val="09A12D6B"/>
    <w:rsid w:val="0A051DDB"/>
    <w:rsid w:val="0B1F51C5"/>
    <w:rsid w:val="0BB24F9B"/>
    <w:rsid w:val="0BD52004"/>
    <w:rsid w:val="0BE92517"/>
    <w:rsid w:val="0CB9417E"/>
    <w:rsid w:val="0D0D6C3C"/>
    <w:rsid w:val="0D1C4110"/>
    <w:rsid w:val="0DA310D2"/>
    <w:rsid w:val="0DB42637"/>
    <w:rsid w:val="0DC34055"/>
    <w:rsid w:val="0DE4426C"/>
    <w:rsid w:val="0E635024"/>
    <w:rsid w:val="0E8D3933"/>
    <w:rsid w:val="0F546789"/>
    <w:rsid w:val="0F5A2F6C"/>
    <w:rsid w:val="0F8521A7"/>
    <w:rsid w:val="0FE86668"/>
    <w:rsid w:val="10CC3F5F"/>
    <w:rsid w:val="10EA6F42"/>
    <w:rsid w:val="112357CA"/>
    <w:rsid w:val="113E1F16"/>
    <w:rsid w:val="12224A84"/>
    <w:rsid w:val="126E6722"/>
    <w:rsid w:val="12984108"/>
    <w:rsid w:val="13D377F2"/>
    <w:rsid w:val="13EF67DE"/>
    <w:rsid w:val="14570F37"/>
    <w:rsid w:val="15095186"/>
    <w:rsid w:val="15FA39FB"/>
    <w:rsid w:val="16076AAC"/>
    <w:rsid w:val="16D509FE"/>
    <w:rsid w:val="16EC7DB6"/>
    <w:rsid w:val="173A15BD"/>
    <w:rsid w:val="1816681F"/>
    <w:rsid w:val="1A242AFB"/>
    <w:rsid w:val="1B04746C"/>
    <w:rsid w:val="1B213459"/>
    <w:rsid w:val="1B546F38"/>
    <w:rsid w:val="1CC01E9F"/>
    <w:rsid w:val="1CC40435"/>
    <w:rsid w:val="1D4149E9"/>
    <w:rsid w:val="1D593FE0"/>
    <w:rsid w:val="1E934A4F"/>
    <w:rsid w:val="1F700DC6"/>
    <w:rsid w:val="1F826519"/>
    <w:rsid w:val="20077EAF"/>
    <w:rsid w:val="20CC14CC"/>
    <w:rsid w:val="21657E5B"/>
    <w:rsid w:val="216B029C"/>
    <w:rsid w:val="21941B0F"/>
    <w:rsid w:val="219E6522"/>
    <w:rsid w:val="224811D1"/>
    <w:rsid w:val="22E067F2"/>
    <w:rsid w:val="232C7959"/>
    <w:rsid w:val="23505673"/>
    <w:rsid w:val="23B433DE"/>
    <w:rsid w:val="241F4D2F"/>
    <w:rsid w:val="257F0651"/>
    <w:rsid w:val="25FD03C3"/>
    <w:rsid w:val="26F61135"/>
    <w:rsid w:val="27693EB6"/>
    <w:rsid w:val="2792313A"/>
    <w:rsid w:val="280F632F"/>
    <w:rsid w:val="28DE3D09"/>
    <w:rsid w:val="2931457E"/>
    <w:rsid w:val="293878FC"/>
    <w:rsid w:val="2981238D"/>
    <w:rsid w:val="29AA2697"/>
    <w:rsid w:val="2B4C0B44"/>
    <w:rsid w:val="2B6F1785"/>
    <w:rsid w:val="2BE961A0"/>
    <w:rsid w:val="2C116909"/>
    <w:rsid w:val="2C2448BB"/>
    <w:rsid w:val="2C252824"/>
    <w:rsid w:val="2CA043E2"/>
    <w:rsid w:val="2CAF656B"/>
    <w:rsid w:val="2D1D39D6"/>
    <w:rsid w:val="2DB54362"/>
    <w:rsid w:val="2F735EDA"/>
    <w:rsid w:val="2F871148"/>
    <w:rsid w:val="309E4644"/>
    <w:rsid w:val="310C4884"/>
    <w:rsid w:val="3128714C"/>
    <w:rsid w:val="31980F12"/>
    <w:rsid w:val="31B71392"/>
    <w:rsid w:val="32B82954"/>
    <w:rsid w:val="335C010C"/>
    <w:rsid w:val="335F17DF"/>
    <w:rsid w:val="33A96649"/>
    <w:rsid w:val="34F76C5D"/>
    <w:rsid w:val="35AC12B2"/>
    <w:rsid w:val="36211FE4"/>
    <w:rsid w:val="36445382"/>
    <w:rsid w:val="36B91A9E"/>
    <w:rsid w:val="36D81485"/>
    <w:rsid w:val="372D1E36"/>
    <w:rsid w:val="378B3A7E"/>
    <w:rsid w:val="37F570E0"/>
    <w:rsid w:val="387C2267"/>
    <w:rsid w:val="38AF65C7"/>
    <w:rsid w:val="38E14B08"/>
    <w:rsid w:val="391A02AC"/>
    <w:rsid w:val="3A4F4363"/>
    <w:rsid w:val="3A5C6185"/>
    <w:rsid w:val="3A8C6BEC"/>
    <w:rsid w:val="3A9C25E1"/>
    <w:rsid w:val="3AB4047A"/>
    <w:rsid w:val="3B1B56C3"/>
    <w:rsid w:val="3B5335CD"/>
    <w:rsid w:val="3C11466D"/>
    <w:rsid w:val="3CFD0C0E"/>
    <w:rsid w:val="3D140F2C"/>
    <w:rsid w:val="3D571B41"/>
    <w:rsid w:val="3D815213"/>
    <w:rsid w:val="3D8A6D0C"/>
    <w:rsid w:val="3D985763"/>
    <w:rsid w:val="3E1D1ACD"/>
    <w:rsid w:val="3E8650AA"/>
    <w:rsid w:val="3EA703C9"/>
    <w:rsid w:val="3FA775FE"/>
    <w:rsid w:val="400D1FD4"/>
    <w:rsid w:val="40EA67BE"/>
    <w:rsid w:val="411E5126"/>
    <w:rsid w:val="413B3A7C"/>
    <w:rsid w:val="41AE3243"/>
    <w:rsid w:val="41C66C77"/>
    <w:rsid w:val="428B0FF6"/>
    <w:rsid w:val="42A921F7"/>
    <w:rsid w:val="43627566"/>
    <w:rsid w:val="436F33B4"/>
    <w:rsid w:val="439805F7"/>
    <w:rsid w:val="442357B2"/>
    <w:rsid w:val="445C5B3D"/>
    <w:rsid w:val="455B2F9C"/>
    <w:rsid w:val="455E7A22"/>
    <w:rsid w:val="45AE571C"/>
    <w:rsid w:val="45B55612"/>
    <w:rsid w:val="4644788F"/>
    <w:rsid w:val="466F668E"/>
    <w:rsid w:val="46A619AC"/>
    <w:rsid w:val="46E75105"/>
    <w:rsid w:val="46E849A3"/>
    <w:rsid w:val="48994A8F"/>
    <w:rsid w:val="48A213AF"/>
    <w:rsid w:val="48A55830"/>
    <w:rsid w:val="48B36C23"/>
    <w:rsid w:val="49F7659F"/>
    <w:rsid w:val="4A4C311C"/>
    <w:rsid w:val="4AAF111F"/>
    <w:rsid w:val="4AFC5FE8"/>
    <w:rsid w:val="4BF62B4E"/>
    <w:rsid w:val="4CE33FAC"/>
    <w:rsid w:val="4CEC25ED"/>
    <w:rsid w:val="4CEF7CE7"/>
    <w:rsid w:val="4DF34D05"/>
    <w:rsid w:val="4DF73A9E"/>
    <w:rsid w:val="4DFE68E2"/>
    <w:rsid w:val="4E0A5E54"/>
    <w:rsid w:val="4E9A272D"/>
    <w:rsid w:val="4EC315B2"/>
    <w:rsid w:val="4EC94534"/>
    <w:rsid w:val="4EDF3048"/>
    <w:rsid w:val="4F9541FD"/>
    <w:rsid w:val="4FB83C3E"/>
    <w:rsid w:val="505031FC"/>
    <w:rsid w:val="508972D2"/>
    <w:rsid w:val="510A33FD"/>
    <w:rsid w:val="523C0017"/>
    <w:rsid w:val="525A05EE"/>
    <w:rsid w:val="52AE3F61"/>
    <w:rsid w:val="53175E1D"/>
    <w:rsid w:val="53AE6D2F"/>
    <w:rsid w:val="53BF0C35"/>
    <w:rsid w:val="541E3671"/>
    <w:rsid w:val="54845526"/>
    <w:rsid w:val="55AB3FDD"/>
    <w:rsid w:val="560063BE"/>
    <w:rsid w:val="56612793"/>
    <w:rsid w:val="57641914"/>
    <w:rsid w:val="58221A6A"/>
    <w:rsid w:val="59487C70"/>
    <w:rsid w:val="59FC30ED"/>
    <w:rsid w:val="5A2A5FEF"/>
    <w:rsid w:val="5AA07B60"/>
    <w:rsid w:val="5AE66B8E"/>
    <w:rsid w:val="5AEA6D1C"/>
    <w:rsid w:val="5B24602D"/>
    <w:rsid w:val="5BA06FC4"/>
    <w:rsid w:val="5D04304F"/>
    <w:rsid w:val="5DA57E5C"/>
    <w:rsid w:val="5DC67AFA"/>
    <w:rsid w:val="5FB052FE"/>
    <w:rsid w:val="601A1A30"/>
    <w:rsid w:val="602766D1"/>
    <w:rsid w:val="60396DEB"/>
    <w:rsid w:val="604877F6"/>
    <w:rsid w:val="60607BB3"/>
    <w:rsid w:val="607603F2"/>
    <w:rsid w:val="60807BFF"/>
    <w:rsid w:val="624002F8"/>
    <w:rsid w:val="64983D58"/>
    <w:rsid w:val="64F13BAE"/>
    <w:rsid w:val="64FE01C2"/>
    <w:rsid w:val="651F4AA7"/>
    <w:rsid w:val="656A2506"/>
    <w:rsid w:val="66476D2B"/>
    <w:rsid w:val="66872837"/>
    <w:rsid w:val="6732619C"/>
    <w:rsid w:val="67617D73"/>
    <w:rsid w:val="68696D11"/>
    <w:rsid w:val="68802AD7"/>
    <w:rsid w:val="69412192"/>
    <w:rsid w:val="694B10D7"/>
    <w:rsid w:val="69AF7405"/>
    <w:rsid w:val="6A7B66AB"/>
    <w:rsid w:val="6AA83FE7"/>
    <w:rsid w:val="6B35350A"/>
    <w:rsid w:val="6B9A3674"/>
    <w:rsid w:val="6D1A5CED"/>
    <w:rsid w:val="6D886193"/>
    <w:rsid w:val="6DFA7087"/>
    <w:rsid w:val="6EA82912"/>
    <w:rsid w:val="6EF83672"/>
    <w:rsid w:val="6FAE607C"/>
    <w:rsid w:val="6FBB7E5E"/>
    <w:rsid w:val="6FEC077A"/>
    <w:rsid w:val="70147B7E"/>
    <w:rsid w:val="70497000"/>
    <w:rsid w:val="7137627E"/>
    <w:rsid w:val="71F22625"/>
    <w:rsid w:val="7239647E"/>
    <w:rsid w:val="729D643D"/>
    <w:rsid w:val="72AF5BBC"/>
    <w:rsid w:val="74030658"/>
    <w:rsid w:val="74297596"/>
    <w:rsid w:val="7445022C"/>
    <w:rsid w:val="747F25A5"/>
    <w:rsid w:val="74A30791"/>
    <w:rsid w:val="75296D75"/>
    <w:rsid w:val="75C2240E"/>
    <w:rsid w:val="76DD4DE8"/>
    <w:rsid w:val="77047C28"/>
    <w:rsid w:val="772D6CA1"/>
    <w:rsid w:val="77520915"/>
    <w:rsid w:val="776E3781"/>
    <w:rsid w:val="782E0C13"/>
    <w:rsid w:val="787D6230"/>
    <w:rsid w:val="799E5545"/>
    <w:rsid w:val="79F87B05"/>
    <w:rsid w:val="7B7A0856"/>
    <w:rsid w:val="7B9D3DAC"/>
    <w:rsid w:val="7C28669B"/>
    <w:rsid w:val="7C735B02"/>
    <w:rsid w:val="7CEB25A5"/>
    <w:rsid w:val="7CFF1367"/>
    <w:rsid w:val="7D8156A2"/>
    <w:rsid w:val="7E3C2DDF"/>
    <w:rsid w:val="7E574376"/>
    <w:rsid w:val="7FA1642B"/>
    <w:rsid w:val="7FCC630F"/>
    <w:rsid w:val="7FDA6DE4"/>
    <w:rsid w:val="7FF0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kern w:val="0"/>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snapToGrid/>
      <w:kern w:val="2"/>
      <w:sz w:val="21"/>
    </w:rPr>
  </w:style>
  <w:style w:type="paragraph" w:customStyle="1" w:styleId="3">
    <w:name w:val="_Style 2"/>
    <w:next w:val="1"/>
    <w:qFormat/>
    <w:uiPriority w:val="0"/>
    <w:pPr>
      <w:wordWrap w:val="0"/>
      <w:spacing w:before="200" w:after="160" w:line="240" w:lineRule="auto"/>
      <w:ind w:left="864" w:right="864"/>
      <w:jc w:val="center"/>
    </w:pPr>
    <w:rPr>
      <w:rFonts w:ascii="Times New Roman" w:hAnsi="Times New Roman" w:eastAsia="宋体" w:cs="Times New Roman"/>
      <w:i/>
      <w:color w:val="auto"/>
      <w:sz w:val="21"/>
      <w:szCs w:val="22"/>
    </w:rPr>
  </w:style>
  <w:style w:type="paragraph" w:styleId="6">
    <w:name w:val="Normal Indent"/>
    <w:basedOn w:val="1"/>
    <w:next w:val="1"/>
    <w:unhideWhenUsed/>
    <w:qFormat/>
    <w:uiPriority w:val="99"/>
    <w:pPr>
      <w:ind w:firstLine="880" w:firstLineChars="2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jc w:val="center"/>
    </w:pPr>
    <w:rPr>
      <w:rFonts w:ascii="仿宋_GB2312" w:eastAsia="仿宋_GB2312"/>
      <w:sz w:val="32"/>
      <w:szCs w:val="32"/>
    </w:rPr>
  </w:style>
  <w:style w:type="paragraph" w:styleId="10">
    <w:name w:val="Normal (Web)"/>
    <w:basedOn w:val="1"/>
    <w:unhideWhenUsed/>
    <w:qFormat/>
    <w:uiPriority w:val="99"/>
    <w:pPr>
      <w:spacing w:before="100" w:beforeAutospacing="1" w:after="100" w:afterAutospacing="1"/>
      <w:jc w:val="left"/>
    </w:pPr>
    <w:rPr>
      <w:kern w:val="0"/>
      <w:sz w:val="24"/>
      <w:szCs w:val="20"/>
    </w:rPr>
  </w:style>
  <w:style w:type="character" w:styleId="13">
    <w:name w:val="Strong"/>
    <w:basedOn w:val="12"/>
    <w:qFormat/>
    <w:uiPriority w:val="22"/>
    <w:rPr>
      <w:b/>
    </w:rPr>
  </w:style>
  <w:style w:type="paragraph" w:customStyle="1" w:styleId="1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5">
    <w:name w:val="页眉 Char"/>
    <w:basedOn w:val="12"/>
    <w:link w:val="8"/>
    <w:semiHidden/>
    <w:qFormat/>
    <w:uiPriority w:val="99"/>
    <w:rPr>
      <w:sz w:val="18"/>
      <w:szCs w:val="18"/>
    </w:rPr>
  </w:style>
  <w:style w:type="character" w:customStyle="1" w:styleId="16">
    <w:name w:val="页脚 Char"/>
    <w:basedOn w:val="12"/>
    <w:link w:val="7"/>
    <w:qFormat/>
    <w:uiPriority w:val="99"/>
    <w:rPr>
      <w:sz w:val="18"/>
      <w:szCs w:val="18"/>
    </w:rPr>
  </w:style>
  <w:style w:type="paragraph" w:customStyle="1" w:styleId="17">
    <w:name w:val="p0"/>
    <w:basedOn w:val="1"/>
    <w:qFormat/>
    <w:uiPriority w:val="0"/>
    <w:pPr>
      <w:widowControl/>
    </w:pPr>
    <w:rPr>
      <w:kern w:val="0"/>
      <w:sz w:val="32"/>
      <w:szCs w:val="32"/>
    </w:rPr>
  </w:style>
  <w:style w:type="paragraph" w:customStyle="1" w:styleId="18">
    <w:name w:val="默认"/>
    <w:qFormat/>
    <w:uiPriority w:val="0"/>
    <w:rPr>
      <w:rFonts w:ascii="Helvetica" w:hAnsi="Helvetica" w:eastAsia="Helvetica" w:cs="Times New Roman"/>
      <w:color w:val="000000"/>
      <w:sz w:val="22"/>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C72A1-0BA3-484E-ACDE-F180DA186D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2590</Words>
  <Characters>2645</Characters>
  <Lines>17</Lines>
  <Paragraphs>5</Paragraphs>
  <TotalTime>15</TotalTime>
  <ScaleCrop>false</ScaleCrop>
  <LinksUpToDate>false</LinksUpToDate>
  <CharactersWithSpaces>2654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2019-04-03T07:57:00Z</dcterms:created>
  <dc:creator>n001</dc:creator>
  <cp:lastModifiedBy>Administrator</cp:lastModifiedBy>
  <cp:lastPrinted>2022-01-12T03:49:00Z</cp:lastPrinted>
  <dcterms:modified xsi:type="dcterms:W3CDTF">2022-05-20T02:59:43Z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406782100_btnclosed</vt:lpwstr>
  </property>
  <property fmtid="{D5CDD505-2E9C-101B-9397-08002B2CF9AE}" pid="4" name="ICV">
    <vt:lpwstr>C6869A5242C041EBBC49DAA40ED91FC3</vt:lpwstr>
  </property>
</Properties>
</file>