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黑体_GBK" w:eastAsia="方正黑体_GBK"/>
          <w:color w:val="000000"/>
          <w:spacing w:val="-20"/>
          <w:sz w:val="32"/>
          <w:szCs w:val="32"/>
        </w:rPr>
      </w:pPr>
      <w:r>
        <w:rPr>
          <w:rFonts w:hint="eastAsia" w:ascii="方正黑体_GBK" w:eastAsia="方正黑体_GBK"/>
          <w:color w:val="000000"/>
          <w:spacing w:val="-20"/>
          <w:sz w:val="32"/>
          <w:szCs w:val="32"/>
        </w:rPr>
        <w:t>附件</w:t>
      </w:r>
    </w:p>
    <w:tbl>
      <w:tblPr>
        <w:tblStyle w:val="2"/>
        <w:tblW w:w="4885" w:type="pct"/>
        <w:tblInd w:w="114" w:type="dxa"/>
        <w:tblLayout w:type="autofit"/>
        <w:tblCellMar>
          <w:top w:w="0" w:type="dxa"/>
          <w:left w:w="0" w:type="dxa"/>
          <w:bottom w:w="0" w:type="dxa"/>
          <w:right w:w="0" w:type="dxa"/>
        </w:tblCellMar>
      </w:tblPr>
      <w:tblGrid>
        <w:gridCol w:w="725"/>
        <w:gridCol w:w="914"/>
        <w:gridCol w:w="4135"/>
        <w:gridCol w:w="76"/>
        <w:gridCol w:w="1073"/>
        <w:gridCol w:w="63"/>
        <w:gridCol w:w="1129"/>
      </w:tblGrid>
      <w:tr>
        <w:tblPrEx>
          <w:tblCellMar>
            <w:top w:w="0" w:type="dxa"/>
            <w:left w:w="0" w:type="dxa"/>
            <w:bottom w:w="0" w:type="dxa"/>
            <w:right w:w="0" w:type="dxa"/>
          </w:tblCellMar>
        </w:tblPrEx>
        <w:trPr>
          <w:trHeight w:val="1428" w:hRule="exact"/>
        </w:trPr>
        <w:tc>
          <w:tcPr>
            <w:tcW w:w="5000" w:type="pct"/>
            <w:gridSpan w:val="7"/>
            <w:tcBorders>
              <w:bottom w:val="single" w:color="auto" w:sz="4" w:space="0"/>
            </w:tcBorders>
            <w:shd w:val="clear" w:color="auto" w:fill="FFFFFF"/>
            <w:noWrap w:val="0"/>
            <w:vAlign w:val="center"/>
          </w:tcPr>
          <w:p>
            <w:pPr>
              <w:autoSpaceDE w:val="0"/>
              <w:autoSpaceDN w:val="0"/>
              <w:adjustRightInd w:val="0"/>
              <w:spacing w:line="520" w:lineRule="exact"/>
              <w:jc w:val="center"/>
              <w:rPr>
                <w:rFonts w:ascii="方正小标宋_GBK" w:eastAsia="方正小标宋_GBK"/>
                <w:kern w:val="0"/>
                <w:sz w:val="44"/>
                <w:szCs w:val="44"/>
              </w:rPr>
            </w:pPr>
            <w:r>
              <w:rPr>
                <w:rFonts w:hint="eastAsia" w:ascii="方正小标宋_GBK" w:eastAsia="方正小标宋_GBK"/>
                <w:kern w:val="0"/>
                <w:sz w:val="44"/>
                <w:szCs w:val="44"/>
              </w:rPr>
              <w:t>沙坪坝区营商环境优化提升主要举措及责任分  工</w:t>
            </w:r>
          </w:p>
        </w:tc>
      </w:tr>
      <w:tr>
        <w:tblPrEx>
          <w:tblCellMar>
            <w:top w:w="0" w:type="dxa"/>
            <w:left w:w="0" w:type="dxa"/>
            <w:bottom w:w="0" w:type="dxa"/>
            <w:right w:w="0" w:type="dxa"/>
          </w:tblCellMar>
        </w:tblPrEx>
        <w:trPr>
          <w:trHeight w:val="547"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2" w:leftChars="-1"/>
              <w:jc w:val="center"/>
              <w:rPr>
                <w:rFonts w:eastAsia="方正仿宋_GBK"/>
                <w:b/>
                <w:kern w:val="0"/>
                <w:sz w:val="24"/>
                <w:szCs w:val="24"/>
              </w:rPr>
            </w:pPr>
            <w:r>
              <w:rPr>
                <w:rFonts w:eastAsia="方正仿宋_GBK"/>
                <w:b/>
                <w:kern w:val="0"/>
                <w:sz w:val="24"/>
                <w:szCs w:val="24"/>
              </w:rPr>
              <w:t>目标任务</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573"/>
              <w:jc w:val="left"/>
              <w:rPr>
                <w:rFonts w:eastAsia="方正仿宋_GBK"/>
                <w:b/>
                <w:kern w:val="0"/>
                <w:sz w:val="24"/>
                <w:szCs w:val="24"/>
              </w:rPr>
            </w:pPr>
            <w:r>
              <w:rPr>
                <w:rFonts w:eastAsia="方正仿宋_GBK"/>
                <w:b/>
                <w:kern w:val="0"/>
                <w:sz w:val="24"/>
                <w:szCs w:val="24"/>
              </w:rPr>
              <w:t>工作措施</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19"/>
              <w:jc w:val="left"/>
              <w:rPr>
                <w:rFonts w:eastAsia="方正仿宋_GBK"/>
                <w:b/>
                <w:kern w:val="0"/>
                <w:sz w:val="24"/>
                <w:szCs w:val="24"/>
              </w:rPr>
            </w:pPr>
            <w:r>
              <w:rPr>
                <w:rFonts w:eastAsia="方正仿宋_GBK"/>
                <w:b/>
                <w:kern w:val="0"/>
                <w:sz w:val="24"/>
                <w:szCs w:val="24"/>
              </w:rPr>
              <w:t>牵头单位</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eastAsia="方正仿宋_GBK"/>
                <w:b/>
                <w:kern w:val="0"/>
                <w:sz w:val="24"/>
                <w:szCs w:val="24"/>
              </w:rPr>
            </w:pPr>
            <w:r>
              <w:rPr>
                <w:rFonts w:eastAsia="方正仿宋_GBK"/>
                <w:b/>
                <w:kern w:val="0"/>
                <w:sz w:val="24"/>
                <w:szCs w:val="24"/>
              </w:rPr>
              <w:t>配合单位</w:t>
            </w:r>
          </w:p>
        </w:tc>
      </w:tr>
      <w:tr>
        <w:tblPrEx>
          <w:tblCellMar>
            <w:top w:w="0" w:type="dxa"/>
            <w:left w:w="0" w:type="dxa"/>
            <w:bottom w:w="0" w:type="dxa"/>
            <w:right w:w="0" w:type="dxa"/>
          </w:tblCellMar>
        </w:tblPrEx>
        <w:trPr>
          <w:trHeight w:val="609" w:hRule="exact"/>
        </w:trPr>
        <w:tc>
          <w:tcPr>
            <w:tcW w:w="5000" w:type="pct"/>
            <w:gridSpan w:val="7"/>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237"/>
              <w:jc w:val="left"/>
              <w:rPr>
                <w:rFonts w:ascii="方正黑体_GBK" w:eastAsia="方正黑体_GBK"/>
                <w:kern w:val="0"/>
                <w:sz w:val="24"/>
                <w:szCs w:val="24"/>
              </w:rPr>
            </w:pPr>
            <w:r>
              <w:rPr>
                <w:rFonts w:hint="eastAsia" w:ascii="方正黑体_GBK" w:eastAsia="方正黑体_GBK"/>
                <w:kern w:val="0"/>
                <w:sz w:val="24"/>
                <w:szCs w:val="24"/>
              </w:rPr>
              <w:t>一、对标对表落实市级任务</w:t>
            </w:r>
          </w:p>
        </w:tc>
      </w:tr>
      <w:tr>
        <w:tblPrEx>
          <w:tblCellMar>
            <w:top w:w="0" w:type="dxa"/>
            <w:left w:w="0" w:type="dxa"/>
            <w:bottom w:w="0" w:type="dxa"/>
            <w:right w:w="0" w:type="dxa"/>
          </w:tblCellMar>
        </w:tblPrEx>
        <w:trPr>
          <w:trHeight w:val="1485" w:hRule="exact"/>
        </w:trPr>
        <w:tc>
          <w:tcPr>
            <w:tcW w:w="447" w:type="pct"/>
            <w:vMerge w:val="restart"/>
            <w:tcBorders>
              <w:top w:val="single" w:color="auto" w:sz="4" w:space="0"/>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一、开办企业</w:t>
            </w:r>
          </w:p>
          <w:p>
            <w:pPr>
              <w:autoSpaceDE w:val="0"/>
              <w:autoSpaceDN w:val="0"/>
              <w:adjustRightInd w:val="0"/>
              <w:spacing w:line="240" w:lineRule="exact"/>
              <w:ind w:left="16"/>
              <w:jc w:val="left"/>
              <w:rPr>
                <w:rFonts w:eastAsia="方正仿宋_GBK"/>
                <w:spacing w:val="-20"/>
                <w:w w:val="90"/>
                <w:kern w:val="0"/>
                <w:sz w:val="24"/>
                <w:szCs w:val="24"/>
              </w:rPr>
            </w:pPr>
          </w:p>
        </w:tc>
        <w:tc>
          <w:tcPr>
            <w:tcW w:w="563"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1．精简企业开办流程</w:t>
            </w:r>
          </w:p>
        </w:tc>
        <w:tc>
          <w:tcPr>
            <w:tcW w:w="2548"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right="63" w:rightChars="30"/>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（1）除涉及前置审批事项或企业名称核准与企业设立登记不在同一机关外，企业名称不再实行预先核准，2019 年 9月底前实现全市企业名称自主申报。</w:t>
            </w:r>
          </w:p>
          <w:p>
            <w:pPr>
              <w:autoSpaceDE w:val="0"/>
              <w:autoSpaceDN w:val="0"/>
              <w:adjustRightInd w:val="0"/>
              <w:spacing w:line="240" w:lineRule="exact"/>
              <w:ind w:left="16" w:right="63" w:rightChars="30"/>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（2）推行印章在线刻制，设立登记和公章刻制实行并联办理，将企业开办流程简化为办理营业执照、申领发票、员工参保登记 3 个环节。</w:t>
            </w:r>
          </w:p>
        </w:tc>
        <w:tc>
          <w:tcPr>
            <w:tcW w:w="708" w:type="pct"/>
            <w:gridSpan w:val="2"/>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区市场监管局</w:t>
            </w:r>
          </w:p>
        </w:tc>
        <w:tc>
          <w:tcPr>
            <w:tcW w:w="735" w:type="pct"/>
            <w:gridSpan w:val="2"/>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区公安分局、区人力社保局、区税务局、区政务办</w:t>
            </w:r>
          </w:p>
        </w:tc>
      </w:tr>
      <w:tr>
        <w:tblPrEx>
          <w:tblCellMar>
            <w:top w:w="0" w:type="dxa"/>
            <w:left w:w="0" w:type="dxa"/>
            <w:bottom w:w="0" w:type="dxa"/>
            <w:right w:w="0" w:type="dxa"/>
          </w:tblCellMar>
        </w:tblPrEx>
        <w:trPr>
          <w:trHeight w:val="1001" w:hRule="exact"/>
        </w:trPr>
        <w:tc>
          <w:tcPr>
            <w:tcW w:w="447" w:type="pct"/>
            <w:vMerge w:val="continue"/>
            <w:tcBorders>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2．压减企业开办耗时</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right="63" w:rightChars="30"/>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2019 年底前实现办理营业执照、公章刻制、申领发票、员工参保登记 3 个工作日以内办结。</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区市场监管局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区公安分局、区人力社保局、区税务局、区政务办</w:t>
            </w:r>
          </w:p>
        </w:tc>
      </w:tr>
      <w:tr>
        <w:tblPrEx>
          <w:tblCellMar>
            <w:top w:w="0" w:type="dxa"/>
            <w:left w:w="0" w:type="dxa"/>
            <w:bottom w:w="0" w:type="dxa"/>
            <w:right w:w="0" w:type="dxa"/>
          </w:tblCellMar>
        </w:tblPrEx>
        <w:trPr>
          <w:trHeight w:val="1124" w:hRule="exact"/>
        </w:trPr>
        <w:tc>
          <w:tcPr>
            <w:tcW w:w="447" w:type="pct"/>
            <w:vMerge w:val="continue"/>
            <w:tcBorders>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3．降低开办企业费用</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right="63" w:rightChars="30"/>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（1）减少企业材料准备成本。</w:t>
            </w:r>
          </w:p>
          <w:p>
            <w:pPr>
              <w:autoSpaceDE w:val="0"/>
              <w:autoSpaceDN w:val="0"/>
              <w:adjustRightInd w:val="0"/>
              <w:spacing w:line="240" w:lineRule="exact"/>
              <w:ind w:left="16" w:right="63" w:rightChars="30"/>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（2）新开办企业办理营业执照、申领发票、员工参保登记均实行免费办理。</w:t>
            </w:r>
          </w:p>
          <w:p>
            <w:pPr>
              <w:autoSpaceDE w:val="0"/>
              <w:autoSpaceDN w:val="0"/>
              <w:adjustRightInd w:val="0"/>
              <w:spacing w:line="240" w:lineRule="exact"/>
              <w:ind w:left="16" w:right="63" w:rightChars="30"/>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（3）降低印章刻制费用。</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区市场监管局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区公安分局、区人力社保局、区税务局、区政务办</w:t>
            </w:r>
          </w:p>
        </w:tc>
      </w:tr>
      <w:tr>
        <w:tblPrEx>
          <w:tblCellMar>
            <w:top w:w="0" w:type="dxa"/>
            <w:left w:w="0" w:type="dxa"/>
            <w:bottom w:w="0" w:type="dxa"/>
            <w:right w:w="0" w:type="dxa"/>
          </w:tblCellMar>
        </w:tblPrEx>
        <w:trPr>
          <w:trHeight w:val="2416" w:hRule="exact"/>
        </w:trPr>
        <w:tc>
          <w:tcPr>
            <w:tcW w:w="447" w:type="pct"/>
            <w:vMerge w:val="continue"/>
            <w:tcBorders>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4.提升开办企业便利度</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right="63" w:rightChars="30"/>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（1）推广全程电子化登记、电子税务局和社保网上经办平台，2019 年底前实现企业开办“一网通办、一窗受理、并联办理”。</w:t>
            </w:r>
          </w:p>
          <w:p>
            <w:pPr>
              <w:autoSpaceDE w:val="0"/>
              <w:autoSpaceDN w:val="0"/>
              <w:adjustRightInd w:val="0"/>
              <w:spacing w:line="240" w:lineRule="exact"/>
              <w:ind w:left="16" w:right="63" w:rightChars="30"/>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（2）加大电子营业执照和电子发票推行力度。</w:t>
            </w:r>
          </w:p>
          <w:p>
            <w:pPr>
              <w:autoSpaceDE w:val="0"/>
              <w:autoSpaceDN w:val="0"/>
              <w:adjustRightInd w:val="0"/>
              <w:spacing w:line="240" w:lineRule="exact"/>
              <w:ind w:left="16" w:right="63" w:rightChars="30"/>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（3）推行企业开办“容缺受理”，落实“一次性告知”制度。</w:t>
            </w:r>
          </w:p>
          <w:p>
            <w:pPr>
              <w:autoSpaceDE w:val="0"/>
              <w:autoSpaceDN w:val="0"/>
              <w:adjustRightInd w:val="0"/>
              <w:spacing w:line="240" w:lineRule="exact"/>
              <w:ind w:left="16" w:right="63" w:rightChars="30"/>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（4）按照全市统一的企业开办服务标准、申办材料，制作办事指南、操作手册。</w:t>
            </w:r>
          </w:p>
          <w:p>
            <w:pPr>
              <w:autoSpaceDE w:val="0"/>
              <w:autoSpaceDN w:val="0"/>
              <w:adjustRightInd w:val="0"/>
              <w:spacing w:line="240" w:lineRule="exact"/>
              <w:ind w:left="16" w:right="63" w:rightChars="30"/>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（5）取消企业银行账户许可，实现企业开户预约制。</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区市场监管局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区公安分局、区人力社保局、区税务局、区政务办</w:t>
            </w:r>
          </w:p>
        </w:tc>
      </w:tr>
      <w:tr>
        <w:tblPrEx>
          <w:tblCellMar>
            <w:top w:w="0" w:type="dxa"/>
            <w:left w:w="0" w:type="dxa"/>
            <w:bottom w:w="0" w:type="dxa"/>
            <w:right w:w="0" w:type="dxa"/>
          </w:tblCellMar>
        </w:tblPrEx>
        <w:trPr>
          <w:trHeight w:val="580"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2" w:leftChars="-1"/>
              <w:jc w:val="center"/>
              <w:rPr>
                <w:rFonts w:eastAsia="方正仿宋_GBK"/>
                <w:b/>
                <w:kern w:val="0"/>
                <w:sz w:val="24"/>
                <w:szCs w:val="24"/>
              </w:rPr>
            </w:pPr>
            <w:r>
              <w:rPr>
                <w:rFonts w:eastAsia="方正仿宋_GBK"/>
                <w:b/>
                <w:kern w:val="0"/>
                <w:sz w:val="24"/>
                <w:szCs w:val="24"/>
              </w:rPr>
              <w:t>目标任务</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573"/>
              <w:jc w:val="left"/>
              <w:rPr>
                <w:rFonts w:eastAsia="方正仿宋_GBK"/>
                <w:b/>
                <w:kern w:val="0"/>
                <w:sz w:val="24"/>
                <w:szCs w:val="24"/>
              </w:rPr>
            </w:pPr>
            <w:r>
              <w:rPr>
                <w:rFonts w:eastAsia="方正仿宋_GBK"/>
                <w:b/>
                <w:kern w:val="0"/>
                <w:sz w:val="24"/>
                <w:szCs w:val="24"/>
              </w:rPr>
              <w:t>工作措施</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19"/>
              <w:jc w:val="left"/>
              <w:rPr>
                <w:rFonts w:eastAsia="方正仿宋_GBK"/>
                <w:b/>
                <w:kern w:val="0"/>
                <w:sz w:val="24"/>
                <w:szCs w:val="24"/>
              </w:rPr>
            </w:pPr>
            <w:r>
              <w:rPr>
                <w:rFonts w:eastAsia="方正仿宋_GBK"/>
                <w:b/>
                <w:kern w:val="0"/>
                <w:sz w:val="24"/>
                <w:szCs w:val="24"/>
              </w:rPr>
              <w:t>牵头单位</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eastAsia="方正仿宋_GBK"/>
                <w:b/>
                <w:kern w:val="0"/>
                <w:sz w:val="24"/>
                <w:szCs w:val="24"/>
              </w:rPr>
            </w:pPr>
            <w:r>
              <w:rPr>
                <w:rFonts w:eastAsia="方正仿宋_GBK"/>
                <w:b/>
                <w:kern w:val="0"/>
                <w:sz w:val="24"/>
                <w:szCs w:val="24"/>
              </w:rPr>
              <w:t>配合单位</w:t>
            </w:r>
          </w:p>
        </w:tc>
      </w:tr>
      <w:tr>
        <w:tblPrEx>
          <w:tblCellMar>
            <w:top w:w="0" w:type="dxa"/>
            <w:left w:w="0" w:type="dxa"/>
            <w:bottom w:w="0" w:type="dxa"/>
            <w:right w:w="0" w:type="dxa"/>
          </w:tblCellMar>
        </w:tblPrEx>
        <w:trPr>
          <w:trHeight w:val="2419" w:hRule="exact"/>
        </w:trPr>
        <w:tc>
          <w:tcPr>
            <w:tcW w:w="447" w:type="pct"/>
            <w:vMerge w:val="restart"/>
            <w:tcBorders>
              <w:top w:val="single" w:color="000000" w:sz="4" w:space="0"/>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w w:val="97"/>
                <w:kern w:val="0"/>
                <w:sz w:val="24"/>
                <w:szCs w:val="24"/>
              </w:rPr>
            </w:pPr>
            <w:r>
              <w:rPr>
                <w:rFonts w:eastAsia="方正仿宋_GBK"/>
                <w:w w:val="97"/>
                <w:kern w:val="0"/>
                <w:sz w:val="24"/>
                <w:szCs w:val="24"/>
              </w:rPr>
              <w:t>二、办理</w:t>
            </w:r>
            <w:r>
              <w:rPr>
                <w:rFonts w:eastAsia="方正仿宋_GBK"/>
                <w:kern w:val="0"/>
                <w:sz w:val="24"/>
                <w:szCs w:val="24"/>
              </w:rPr>
              <w:t>建筑许可</w:t>
            </w:r>
          </w:p>
          <w:p>
            <w:pPr>
              <w:autoSpaceDE w:val="0"/>
              <w:autoSpaceDN w:val="0"/>
              <w:adjustRightInd w:val="0"/>
              <w:spacing w:line="240" w:lineRule="exact"/>
              <w:ind w:left="16"/>
              <w:jc w:val="left"/>
              <w:rPr>
                <w:rFonts w:eastAsia="方正仿宋_GBK"/>
                <w:kern w:val="0"/>
                <w:sz w:val="24"/>
                <w:szCs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5．精简办理建筑许可流程</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right="63" w:rightChars="30"/>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 2019 年底前取消社会投资项目初步设计审批等一批审批事项，将城市桥梁上架设各类市政管线审批等一批审批事项整合，将园林绿地指标审查等一批审批事项调整为内部协作事项。</w:t>
            </w:r>
          </w:p>
          <w:p>
            <w:pPr>
              <w:autoSpaceDE w:val="0"/>
              <w:autoSpaceDN w:val="0"/>
              <w:adjustRightInd w:val="0"/>
              <w:spacing w:line="240" w:lineRule="exact"/>
              <w:ind w:left="16" w:right="63" w:rightChars="30"/>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（2）对开发区、产业园区等特定区域的地震安全性评价等一批事项实行区域评价，对建设项目用地预审等一批审批事项实行告知承诺制。</w:t>
            </w:r>
          </w:p>
          <w:p>
            <w:pPr>
              <w:autoSpaceDE w:val="0"/>
              <w:autoSpaceDN w:val="0"/>
              <w:adjustRightInd w:val="0"/>
              <w:spacing w:line="240" w:lineRule="exact"/>
              <w:ind w:left="16" w:right="63" w:rightChars="30"/>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（3）建设工程规划许可与规划设计方案审查一并办理。环境影响评价、节能评价等评价事项不作为项目审批或核准条件，调整到施工许可前完成。</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区住房城乡建委、区规划自然资源局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eastAsia="方正仿宋_GBK"/>
                <w:spacing w:val="-20"/>
                <w:w w:val="90"/>
                <w:kern w:val="0"/>
                <w:sz w:val="24"/>
                <w:szCs w:val="24"/>
              </w:rPr>
            </w:pPr>
          </w:p>
        </w:tc>
      </w:tr>
      <w:tr>
        <w:tblPrEx>
          <w:tblCellMar>
            <w:top w:w="0" w:type="dxa"/>
            <w:left w:w="0" w:type="dxa"/>
            <w:bottom w:w="0" w:type="dxa"/>
            <w:right w:w="0" w:type="dxa"/>
          </w:tblCellMar>
        </w:tblPrEx>
        <w:trPr>
          <w:trHeight w:val="2277" w:hRule="exact"/>
        </w:trPr>
        <w:tc>
          <w:tcPr>
            <w:tcW w:w="447" w:type="pct"/>
            <w:vMerge w:val="continue"/>
            <w:tcBorders>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kern w:val="0"/>
                <w:sz w:val="24"/>
                <w:szCs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6．压减办理建筑许可耗时</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right="63" w:rightChars="30"/>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 2019 年底前将一般社会投资项目从立项到竣工验收的审批时间控制在 50 个工作日以内，小型社会投资项目控制在 35 个工作日以内，带方案出让土地的项目控制在 20个工作日以内，一般工业项目从取得土地到开工控制在 15个工作日以内。</w:t>
            </w:r>
          </w:p>
          <w:p>
            <w:pPr>
              <w:autoSpaceDE w:val="0"/>
              <w:autoSpaceDN w:val="0"/>
              <w:adjustRightInd w:val="0"/>
              <w:spacing w:line="240" w:lineRule="exact"/>
              <w:ind w:left="16" w:right="63" w:rightChars="30"/>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 2019 年底前政府投资项目从立项到竣工验收的审批时间控制在 80 个工作日以内，其中一般政府投资房屋建筑和市政工程建设项目控制在 70 个工作日以内。</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区住房城乡建委</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区规划自然资源局、区发展改革委</w:t>
            </w:r>
          </w:p>
        </w:tc>
      </w:tr>
      <w:tr>
        <w:tblPrEx>
          <w:tblCellMar>
            <w:top w:w="0" w:type="dxa"/>
            <w:left w:w="0" w:type="dxa"/>
            <w:bottom w:w="0" w:type="dxa"/>
            <w:right w:w="0" w:type="dxa"/>
          </w:tblCellMar>
        </w:tblPrEx>
        <w:trPr>
          <w:trHeight w:val="1416" w:hRule="exact"/>
        </w:trPr>
        <w:tc>
          <w:tcPr>
            <w:tcW w:w="447" w:type="pct"/>
            <w:vMerge w:val="continue"/>
            <w:tcBorders>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kern w:val="0"/>
                <w:sz w:val="24"/>
                <w:szCs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7．降低办理建筑许可费用</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right="63" w:rightChars="30"/>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（1）全面清理办理施工许可收费，取消没有法律法规依据的收费项目，取消申请施工许可证时需提交的资金到位证明。</w:t>
            </w:r>
          </w:p>
          <w:p>
            <w:pPr>
              <w:autoSpaceDE w:val="0"/>
              <w:autoSpaceDN w:val="0"/>
              <w:adjustRightInd w:val="0"/>
              <w:spacing w:line="240" w:lineRule="exact"/>
              <w:ind w:left="16" w:right="63" w:rightChars="30"/>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（2）拓展在线支付渠道。运用统一的在线支付平台，实现工程建设领域办事、缴费“一站式”服务。</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区住房城乡建委</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eastAsia="方正仿宋_GBK"/>
                <w:spacing w:val="-20"/>
                <w:w w:val="90"/>
                <w:kern w:val="0"/>
                <w:sz w:val="24"/>
                <w:szCs w:val="24"/>
              </w:rPr>
            </w:pPr>
          </w:p>
        </w:tc>
      </w:tr>
      <w:tr>
        <w:tblPrEx>
          <w:tblCellMar>
            <w:top w:w="0" w:type="dxa"/>
            <w:left w:w="0" w:type="dxa"/>
            <w:bottom w:w="0" w:type="dxa"/>
            <w:right w:w="0" w:type="dxa"/>
          </w:tblCellMar>
        </w:tblPrEx>
        <w:trPr>
          <w:trHeight w:val="1563" w:hRule="exact"/>
        </w:trPr>
        <w:tc>
          <w:tcPr>
            <w:tcW w:w="447" w:type="pct"/>
            <w:vMerge w:val="continue"/>
            <w:tcBorders>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kern w:val="0"/>
                <w:sz w:val="24"/>
                <w:szCs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8．优化建筑质量控制指数</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right="63" w:rightChars="30"/>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（1）构建多维度评价体系，加强效能监管。</w:t>
            </w:r>
          </w:p>
          <w:p>
            <w:pPr>
              <w:autoSpaceDE w:val="0"/>
              <w:autoSpaceDN w:val="0"/>
              <w:adjustRightInd w:val="0"/>
              <w:spacing w:line="240" w:lineRule="exact"/>
              <w:ind w:left="16" w:right="63" w:rightChars="30"/>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（2）依托“信用重庆”，建立工程建设项目审批信用信息平台，健全覆盖建设、勘察、设计、施工、监理、造价、招标代理、检测、施工图审查等各类企业和注册执业人员的工程建设领域诚信体系。</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区住房城乡建委、区发展改革委</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区交通局、区农业农村委</w:t>
            </w:r>
          </w:p>
        </w:tc>
      </w:tr>
      <w:tr>
        <w:tblPrEx>
          <w:tblCellMar>
            <w:top w:w="0" w:type="dxa"/>
            <w:left w:w="0" w:type="dxa"/>
            <w:bottom w:w="0" w:type="dxa"/>
            <w:right w:w="0" w:type="dxa"/>
          </w:tblCellMar>
        </w:tblPrEx>
        <w:trPr>
          <w:trHeight w:val="508"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2" w:leftChars="-1"/>
              <w:jc w:val="center"/>
              <w:rPr>
                <w:rFonts w:hint="eastAsia" w:ascii="方正仿宋_GBK" w:eastAsia="方正仿宋_GBK"/>
                <w:b/>
                <w:kern w:val="0"/>
                <w:sz w:val="24"/>
                <w:szCs w:val="24"/>
              </w:rPr>
            </w:pPr>
            <w:r>
              <w:rPr>
                <w:rFonts w:hint="eastAsia" w:ascii="方正仿宋_GBK" w:eastAsia="方正仿宋_GBK"/>
                <w:b/>
                <w:kern w:val="0"/>
                <w:sz w:val="24"/>
                <w:szCs w:val="24"/>
              </w:rPr>
              <w:t>目标任务</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573"/>
              <w:jc w:val="left"/>
              <w:rPr>
                <w:rFonts w:hint="eastAsia" w:ascii="方正仿宋_GBK" w:eastAsia="方正仿宋_GBK"/>
                <w:b/>
                <w:kern w:val="0"/>
                <w:sz w:val="24"/>
                <w:szCs w:val="24"/>
              </w:rPr>
            </w:pPr>
            <w:r>
              <w:rPr>
                <w:rFonts w:hint="eastAsia" w:ascii="方正仿宋_GBK" w:eastAsia="方正仿宋_GBK"/>
                <w:b/>
                <w:kern w:val="0"/>
                <w:sz w:val="24"/>
                <w:szCs w:val="24"/>
              </w:rPr>
              <w:t>工作措施</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19"/>
              <w:jc w:val="left"/>
              <w:rPr>
                <w:rFonts w:hint="eastAsia" w:ascii="方正仿宋_GBK" w:eastAsia="方正仿宋_GBK"/>
                <w:b/>
                <w:kern w:val="0"/>
                <w:sz w:val="24"/>
                <w:szCs w:val="24"/>
              </w:rPr>
            </w:pPr>
            <w:r>
              <w:rPr>
                <w:rFonts w:hint="eastAsia" w:ascii="方正仿宋_GBK" w:eastAsia="方正仿宋_GBK"/>
                <w:b/>
                <w:kern w:val="0"/>
                <w:sz w:val="24"/>
                <w:szCs w:val="24"/>
              </w:rPr>
              <w:t>牵头单位</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eastAsia="方正仿宋_GBK"/>
                <w:b/>
                <w:kern w:val="0"/>
                <w:sz w:val="24"/>
                <w:szCs w:val="24"/>
              </w:rPr>
            </w:pPr>
            <w:r>
              <w:rPr>
                <w:rFonts w:eastAsia="方正仿宋_GBK"/>
                <w:b/>
                <w:kern w:val="0"/>
                <w:sz w:val="24"/>
                <w:szCs w:val="24"/>
              </w:rPr>
              <w:t>配合单位</w:t>
            </w:r>
          </w:p>
        </w:tc>
      </w:tr>
      <w:tr>
        <w:tblPrEx>
          <w:tblCellMar>
            <w:top w:w="0" w:type="dxa"/>
            <w:left w:w="0" w:type="dxa"/>
            <w:bottom w:w="0" w:type="dxa"/>
            <w:right w:w="0" w:type="dxa"/>
          </w:tblCellMar>
        </w:tblPrEx>
        <w:trPr>
          <w:trHeight w:val="1621" w:hRule="exact"/>
        </w:trPr>
        <w:tc>
          <w:tcPr>
            <w:tcW w:w="447"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kern w:val="0"/>
                <w:sz w:val="24"/>
                <w:szCs w:val="24"/>
              </w:rPr>
            </w:pPr>
            <w:r>
              <w:rPr>
                <w:rFonts w:eastAsia="方正仿宋_GBK"/>
                <w:w w:val="97"/>
                <w:kern w:val="0"/>
                <w:sz w:val="24"/>
                <w:szCs w:val="24"/>
              </w:rPr>
              <w:t>二、办理</w:t>
            </w:r>
            <w:r>
              <w:rPr>
                <w:rFonts w:eastAsia="方正仿宋_GBK"/>
                <w:kern w:val="0"/>
                <w:sz w:val="24"/>
                <w:szCs w:val="24"/>
              </w:rPr>
              <w:t>建筑许可</w:t>
            </w:r>
          </w:p>
        </w:tc>
        <w:tc>
          <w:tcPr>
            <w:tcW w:w="563"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9．提高办理建筑许可便利度</w:t>
            </w:r>
          </w:p>
        </w:tc>
        <w:tc>
          <w:tcPr>
            <w:tcW w:w="2548"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一个窗口”提供综合服务。设立工程建设项目审批服务大厅，制定大厅建设指导标准和“一窗受理”工作规程，落实“一枚印章管审批”。统一设立立项用地规划许可工程建设许可、施工许可、竣工验收综合窗口，事项分阶段纳入综合窗口统一接件、出件和咨询，2022 年底前实现“一家牵头、并联审批、限时办结”。</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区规划自然资源局、区住房城乡建委</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eastAsia="方正仿宋_GBK"/>
                <w:spacing w:val="-20"/>
                <w:w w:val="90"/>
                <w:kern w:val="0"/>
                <w:sz w:val="24"/>
                <w:szCs w:val="24"/>
              </w:rPr>
            </w:pPr>
            <w:r>
              <w:rPr>
                <w:rFonts w:eastAsia="方正仿宋_GBK"/>
                <w:spacing w:val="-20"/>
                <w:w w:val="90"/>
                <w:kern w:val="0"/>
                <w:sz w:val="24"/>
                <w:szCs w:val="24"/>
              </w:rPr>
              <w:t>区政务办</w:t>
            </w:r>
          </w:p>
        </w:tc>
      </w:tr>
      <w:tr>
        <w:tblPrEx>
          <w:tblCellMar>
            <w:top w:w="0" w:type="dxa"/>
            <w:left w:w="0" w:type="dxa"/>
            <w:bottom w:w="0" w:type="dxa"/>
            <w:right w:w="0" w:type="dxa"/>
          </w:tblCellMar>
        </w:tblPrEx>
        <w:trPr>
          <w:trHeight w:val="1548" w:hRule="exact"/>
        </w:trPr>
        <w:tc>
          <w:tcPr>
            <w:tcW w:w="44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w w:val="97"/>
                <w:kern w:val="0"/>
                <w:sz w:val="24"/>
                <w:szCs w:val="24"/>
              </w:rPr>
            </w:pPr>
            <w:r>
              <w:rPr>
                <w:rFonts w:eastAsia="方正仿宋_GBK"/>
                <w:w w:val="97"/>
                <w:kern w:val="0"/>
                <w:sz w:val="24"/>
                <w:szCs w:val="24"/>
              </w:rPr>
              <w:t>三、获得</w:t>
            </w:r>
            <w:r>
              <w:rPr>
                <w:rFonts w:eastAsia="方正仿宋_GBK"/>
                <w:kern w:val="0"/>
                <w:sz w:val="24"/>
                <w:szCs w:val="24"/>
              </w:rPr>
              <w:t>电力</w:t>
            </w: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10．精简获得电力流程</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分别压减高、低压客户办电环节至 4 个（申请受理、供电方案答复、外部工程实施和装表接电）、3 个（申请受理、外部工程实施和装表接电），对不涉及外部工程、具备直接装表条件的项目，取消“外部工程实施”，进一步压减环节至 3 个、2 个。</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市区供电公司</w:t>
            </w:r>
          </w:p>
        </w:tc>
      </w:tr>
      <w:tr>
        <w:tblPrEx>
          <w:tblCellMar>
            <w:top w:w="0" w:type="dxa"/>
            <w:left w:w="0" w:type="dxa"/>
            <w:bottom w:w="0" w:type="dxa"/>
            <w:right w:w="0" w:type="dxa"/>
          </w:tblCellMar>
        </w:tblPrEx>
        <w:trPr>
          <w:trHeight w:val="1145"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kern w:val="0"/>
                <w:sz w:val="24"/>
                <w:szCs w:val="24"/>
              </w:rPr>
            </w:pPr>
          </w:p>
        </w:tc>
        <w:tc>
          <w:tcPr>
            <w:tcW w:w="563"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11．压减获得电力耗时</w:t>
            </w:r>
          </w:p>
          <w:p>
            <w:pPr>
              <w:autoSpaceDE w:val="0"/>
              <w:autoSpaceDN w:val="0"/>
              <w:adjustRightInd w:val="0"/>
              <w:spacing w:line="240" w:lineRule="exact"/>
              <w:jc w:val="left"/>
              <w:rPr>
                <w:rFonts w:hint="eastAsia" w:ascii="方正仿宋_GBK" w:eastAsia="方正仿宋_GBK"/>
                <w:spacing w:val="-20"/>
                <w:w w:val="90"/>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（1）压缩办理时限。2019 年底前将高压客户在供电企业的办电时限控制在 20 个工作日以内；低压非居民客户在供电企业的办电时限控制在 4 个工作日以内。</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市区供电公司</w:t>
            </w:r>
          </w:p>
        </w:tc>
      </w:tr>
      <w:tr>
        <w:tblPrEx>
          <w:tblCellMar>
            <w:top w:w="0" w:type="dxa"/>
            <w:left w:w="0" w:type="dxa"/>
            <w:bottom w:w="0" w:type="dxa"/>
            <w:right w:w="0" w:type="dxa"/>
          </w:tblCellMar>
        </w:tblPrEx>
        <w:trPr>
          <w:trHeight w:val="2419"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kern w:val="0"/>
                <w:sz w:val="24"/>
                <w:szCs w:val="24"/>
              </w:rPr>
            </w:pPr>
          </w:p>
        </w:tc>
        <w:tc>
          <w:tcPr>
            <w:tcW w:w="563"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（2）明确审批时限。按照“同步受理、并联审批、限时办结”的原则进一步压减涉电行政审批的程序和时限。2019年底前对低压供电非居民客户用地红线外电力接入工程不再办理建设工程规划许可；对 10 千伏供电非居民客户，加强外线工程前期审核和协调，简化规划许可程序，在正式受理申请后 5 个工作日内办结规划许可，情况复杂的不超过 10 个工作日。临时占用城市道路、挖掘城市道路和临时占用绿地、移植砍伐城市树木（不含古树名木移植）等行政审批事项 2 个工作日内办结。</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区规划自然资源局、区城市管理局、区公安分局、市区供电公司</w:t>
            </w:r>
          </w:p>
        </w:tc>
      </w:tr>
      <w:tr>
        <w:tblPrEx>
          <w:tblCellMar>
            <w:top w:w="0" w:type="dxa"/>
            <w:left w:w="0" w:type="dxa"/>
            <w:bottom w:w="0" w:type="dxa"/>
            <w:right w:w="0" w:type="dxa"/>
          </w:tblCellMar>
        </w:tblPrEx>
        <w:trPr>
          <w:trHeight w:val="1852"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kern w:val="0"/>
                <w:sz w:val="24"/>
                <w:szCs w:val="24"/>
              </w:rPr>
            </w:pP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12．降低获得电力费用</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（1）将城镇地区分散式小微企业低压接入容量放宽至 160千伏安并延伸投资至客户用电地址，深化小微企业“零上门”“零审批”“零投资”专项服务。</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（2）对市级工业园区 10 千伏工业企业项目、电能替代项目接入工程投资到用地红线，节省用户建设成本。</w:t>
            </w:r>
          </w:p>
          <w:p>
            <w:pPr>
              <w:autoSpaceDE w:val="0"/>
              <w:autoSpaceDN w:val="0"/>
              <w:adjustRightInd w:val="0"/>
              <w:spacing w:line="240" w:lineRule="exact"/>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（3）严厉打击电力设计、安装、施工领域市场操纵等违法违规行为。</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区经济信息委、区市场监管局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市区供电公司</w:t>
            </w:r>
          </w:p>
        </w:tc>
      </w:tr>
      <w:tr>
        <w:tblPrEx>
          <w:tblCellMar>
            <w:top w:w="0" w:type="dxa"/>
            <w:left w:w="0" w:type="dxa"/>
            <w:bottom w:w="0" w:type="dxa"/>
            <w:right w:w="0" w:type="dxa"/>
          </w:tblCellMar>
        </w:tblPrEx>
        <w:trPr>
          <w:trHeight w:val="617"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2" w:leftChars="-1"/>
              <w:jc w:val="center"/>
              <w:rPr>
                <w:rFonts w:eastAsia="方正仿宋_GBK"/>
                <w:b/>
                <w:kern w:val="0"/>
                <w:sz w:val="24"/>
                <w:szCs w:val="24"/>
              </w:rPr>
            </w:pPr>
            <w:r>
              <w:rPr>
                <w:rFonts w:eastAsia="方正仿宋_GBK"/>
                <w:b/>
                <w:kern w:val="0"/>
                <w:sz w:val="24"/>
                <w:szCs w:val="24"/>
              </w:rPr>
              <w:t>目标任务</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573"/>
              <w:jc w:val="left"/>
              <w:rPr>
                <w:rFonts w:eastAsia="方正仿宋_GBK"/>
                <w:b/>
                <w:kern w:val="0"/>
                <w:sz w:val="24"/>
                <w:szCs w:val="24"/>
              </w:rPr>
            </w:pPr>
            <w:r>
              <w:rPr>
                <w:rFonts w:eastAsia="方正仿宋_GBK"/>
                <w:b/>
                <w:kern w:val="0"/>
                <w:sz w:val="24"/>
                <w:szCs w:val="24"/>
              </w:rPr>
              <w:t>工作措施</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19"/>
              <w:jc w:val="left"/>
              <w:rPr>
                <w:rFonts w:eastAsia="方正仿宋_GBK"/>
                <w:b/>
                <w:kern w:val="0"/>
                <w:sz w:val="24"/>
                <w:szCs w:val="24"/>
              </w:rPr>
            </w:pPr>
            <w:r>
              <w:rPr>
                <w:rFonts w:eastAsia="方正仿宋_GBK"/>
                <w:b/>
                <w:kern w:val="0"/>
                <w:sz w:val="24"/>
                <w:szCs w:val="24"/>
              </w:rPr>
              <w:t>牵头单位</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eastAsia="方正仿宋_GBK"/>
                <w:b/>
                <w:kern w:val="0"/>
                <w:sz w:val="24"/>
                <w:szCs w:val="24"/>
              </w:rPr>
            </w:pPr>
            <w:r>
              <w:rPr>
                <w:rFonts w:eastAsia="方正仿宋_GBK"/>
                <w:b/>
                <w:kern w:val="0"/>
                <w:sz w:val="24"/>
                <w:szCs w:val="24"/>
              </w:rPr>
              <w:t>配合单位</w:t>
            </w:r>
          </w:p>
        </w:tc>
      </w:tr>
      <w:tr>
        <w:tblPrEx>
          <w:tblCellMar>
            <w:top w:w="0" w:type="dxa"/>
            <w:left w:w="0" w:type="dxa"/>
            <w:bottom w:w="0" w:type="dxa"/>
            <w:right w:w="0" w:type="dxa"/>
          </w:tblCellMar>
        </w:tblPrEx>
        <w:trPr>
          <w:trHeight w:val="1521" w:hRule="exact"/>
        </w:trPr>
        <w:tc>
          <w:tcPr>
            <w:tcW w:w="447" w:type="pct"/>
            <w:vMerge w:val="restart"/>
            <w:tcBorders>
              <w:top w:val="single" w:color="000000" w:sz="4" w:space="0"/>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w w:val="97"/>
                <w:kern w:val="0"/>
                <w:sz w:val="24"/>
                <w:szCs w:val="24"/>
              </w:rPr>
            </w:pPr>
            <w:r>
              <w:rPr>
                <w:rFonts w:eastAsia="方正仿宋_GBK"/>
                <w:w w:val="97"/>
                <w:kern w:val="0"/>
                <w:sz w:val="24"/>
                <w:szCs w:val="24"/>
              </w:rPr>
              <w:t>三、获得</w:t>
            </w:r>
            <w:r>
              <w:rPr>
                <w:rFonts w:eastAsia="方正仿宋_GBK"/>
                <w:kern w:val="0"/>
                <w:sz w:val="24"/>
                <w:szCs w:val="24"/>
              </w:rPr>
              <w:t>电力</w:t>
            </w:r>
          </w:p>
        </w:tc>
        <w:tc>
          <w:tcPr>
            <w:tcW w:w="563" w:type="pct"/>
            <w:tcBorders>
              <w:top w:val="single" w:color="000000" w:sz="4" w:space="0"/>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13．优化供电可靠性和电费透明度指数</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（1）全面实施“不停电作业”。持续减少年均停电时间和停电次数，开展停电故障主动研判，2019 年底前城市供电可靠率达到 99.96%，农村供电可靠率达到 99.81%。</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市区供电公司</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w:t>
            </w:r>
          </w:p>
        </w:tc>
      </w:tr>
      <w:tr>
        <w:tblPrEx>
          <w:tblCellMar>
            <w:top w:w="0" w:type="dxa"/>
            <w:left w:w="0" w:type="dxa"/>
            <w:bottom w:w="0" w:type="dxa"/>
            <w:right w:w="0" w:type="dxa"/>
          </w:tblCellMar>
        </w:tblPrEx>
        <w:trPr>
          <w:trHeight w:val="699" w:hRule="atLeast"/>
        </w:trPr>
        <w:tc>
          <w:tcPr>
            <w:tcW w:w="447" w:type="pct"/>
            <w:vMerge w:val="continue"/>
            <w:tcBorders>
              <w:left w:val="single" w:color="000000" w:sz="4" w:space="0"/>
              <w:bottom w:val="nil"/>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kern w:val="0"/>
                <w:sz w:val="24"/>
                <w:szCs w:val="24"/>
              </w:rPr>
            </w:pPr>
          </w:p>
        </w:tc>
        <w:tc>
          <w:tcPr>
            <w:tcW w:w="563" w:type="pct"/>
            <w:tcBorders>
              <w:top w:val="single" w:color="000000" w:sz="4" w:space="0"/>
              <w:left w:val="single" w:color="000000" w:sz="4" w:space="0"/>
              <w:bottom w:val="nil"/>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14．降低电力价格</w:t>
            </w:r>
          </w:p>
        </w:tc>
        <w:tc>
          <w:tcPr>
            <w:tcW w:w="2548" w:type="pct"/>
            <w:tcBorders>
              <w:top w:val="single" w:color="000000" w:sz="4" w:space="0"/>
              <w:left w:val="single" w:color="000000" w:sz="4" w:space="0"/>
              <w:bottom w:val="nil"/>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降低用电价格。严格执行我市电价规定，确保一般工商业电价平均再降低 10%的要求传导到终端客户。</w:t>
            </w:r>
          </w:p>
        </w:tc>
        <w:tc>
          <w:tcPr>
            <w:tcW w:w="708" w:type="pct"/>
            <w:gridSpan w:val="2"/>
            <w:tcBorders>
              <w:top w:val="single" w:color="000000" w:sz="4" w:space="0"/>
              <w:left w:val="single" w:color="000000" w:sz="4" w:space="0"/>
              <w:bottom w:val="nil"/>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区发展改革委</w:t>
            </w:r>
          </w:p>
        </w:tc>
        <w:tc>
          <w:tcPr>
            <w:tcW w:w="735" w:type="pct"/>
            <w:gridSpan w:val="2"/>
            <w:tcBorders>
              <w:top w:val="single" w:color="000000" w:sz="4" w:space="0"/>
              <w:left w:val="single" w:color="000000" w:sz="4" w:space="0"/>
              <w:bottom w:val="nil"/>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区市场监管局、市区供电公司</w:t>
            </w:r>
          </w:p>
        </w:tc>
      </w:tr>
      <w:tr>
        <w:tblPrEx>
          <w:tblCellMar>
            <w:top w:w="0" w:type="dxa"/>
            <w:left w:w="0" w:type="dxa"/>
            <w:bottom w:w="0" w:type="dxa"/>
            <w:right w:w="0" w:type="dxa"/>
          </w:tblCellMar>
        </w:tblPrEx>
        <w:trPr>
          <w:trHeight w:val="1126" w:hRule="exact"/>
        </w:trPr>
        <w:tc>
          <w:tcPr>
            <w:tcW w:w="447" w:type="pct"/>
            <w:vMerge w:val="continue"/>
            <w:tcBorders>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kern w:val="0"/>
                <w:sz w:val="24"/>
                <w:szCs w:val="24"/>
              </w:rPr>
            </w:pPr>
          </w:p>
        </w:tc>
        <w:tc>
          <w:tcPr>
            <w:tcW w:w="563" w:type="pct"/>
            <w:vMerge w:val="restart"/>
            <w:tcBorders>
              <w:top w:val="single" w:color="000000" w:sz="4" w:space="0"/>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15．提高获得电力便利度</w:t>
            </w:r>
          </w:p>
          <w:p>
            <w:pPr>
              <w:autoSpaceDE w:val="0"/>
              <w:autoSpaceDN w:val="0"/>
              <w:adjustRightInd w:val="0"/>
              <w:spacing w:line="240" w:lineRule="exact"/>
              <w:jc w:val="left"/>
              <w:rPr>
                <w:rFonts w:hint="eastAsia" w:ascii="方正仿宋_GBK" w:eastAsia="方正仿宋_GBK"/>
                <w:spacing w:val="-20"/>
                <w:w w:val="90"/>
                <w:kern w:val="0"/>
                <w:sz w:val="24"/>
                <w:szCs w:val="24"/>
              </w:rPr>
            </w:pP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（1）推广互联网办电渠道。不断提高客户线上办电比例，2020 年底前实现客户常用业务全天候办理，“一次都不跑”，切实提升办理便利度。</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市区供电公司</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565" w:hRule="exact"/>
        </w:trPr>
        <w:tc>
          <w:tcPr>
            <w:tcW w:w="447" w:type="pct"/>
            <w:vMerge w:val="continue"/>
            <w:tcBorders>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kern w:val="0"/>
                <w:sz w:val="24"/>
                <w:szCs w:val="24"/>
              </w:rPr>
            </w:pPr>
          </w:p>
        </w:tc>
        <w:tc>
          <w:tcPr>
            <w:tcW w:w="563" w:type="pct"/>
            <w:vMerge w:val="continue"/>
            <w:tcBorders>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实现客户信息共享。推进公用事业服务和行政审批服务集成，在电力客户办理投资项目备案时主动介入、提前开展咨询服务，自动获取身份证、营业执照、房屋产权所有证、项目规划许可等办电必要信息，实现仅凭有效主体资格证明即可用电业务全域“一证通办”。</w:t>
            </w:r>
          </w:p>
        </w:tc>
        <w:tc>
          <w:tcPr>
            <w:tcW w:w="708" w:type="pct"/>
            <w:gridSpan w:val="2"/>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市区供电公司</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837" w:hRule="exact"/>
        </w:trPr>
        <w:tc>
          <w:tcPr>
            <w:tcW w:w="44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w w:val="97"/>
                <w:kern w:val="0"/>
                <w:sz w:val="24"/>
                <w:szCs w:val="24"/>
              </w:rPr>
            </w:pPr>
            <w:r>
              <w:rPr>
                <w:rFonts w:eastAsia="方正仿宋_GBK"/>
                <w:w w:val="97"/>
                <w:kern w:val="0"/>
                <w:sz w:val="24"/>
                <w:szCs w:val="24"/>
              </w:rPr>
              <w:t>四、获得</w:t>
            </w:r>
            <w:r>
              <w:rPr>
                <w:rFonts w:eastAsia="方正仿宋_GBK"/>
                <w:kern w:val="0"/>
                <w:sz w:val="24"/>
                <w:szCs w:val="24"/>
              </w:rPr>
              <w:t>用水</w:t>
            </w:r>
          </w:p>
          <w:p>
            <w:pPr>
              <w:autoSpaceDE w:val="0"/>
              <w:autoSpaceDN w:val="0"/>
              <w:adjustRightInd w:val="0"/>
              <w:spacing w:line="240" w:lineRule="exact"/>
              <w:ind w:left="16"/>
              <w:jc w:val="left"/>
              <w:rPr>
                <w:rFonts w:eastAsia="方正仿宋_GBK"/>
                <w:kern w:val="0"/>
                <w:sz w:val="24"/>
                <w:szCs w:val="24"/>
              </w:rPr>
            </w:pP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16．精简获得用水流程</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可通过供水热线电话、网上营业厅、手机 APP、现场等多种方式申请用水，实现 1 个工作日内约定踏勘现场时间和收取申请材料。</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区城市管理局</w:t>
            </w:r>
          </w:p>
        </w:tc>
        <w:tc>
          <w:tcPr>
            <w:tcW w:w="735"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自来水公司沙坪坝营管所</w:t>
            </w:r>
          </w:p>
        </w:tc>
      </w:tr>
      <w:tr>
        <w:tblPrEx>
          <w:tblCellMar>
            <w:top w:w="0" w:type="dxa"/>
            <w:left w:w="0" w:type="dxa"/>
            <w:bottom w:w="0" w:type="dxa"/>
            <w:right w:w="0" w:type="dxa"/>
          </w:tblCellMar>
        </w:tblPrEx>
        <w:trPr>
          <w:trHeight w:val="1548"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kern w:val="0"/>
                <w:sz w:val="24"/>
                <w:szCs w:val="24"/>
              </w:rPr>
            </w:pP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17．压减获得用水耗时</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2020 年底前实现水表口径 DN100 以下的用水接入办理时间由 12 个工作日缩减至 7 个工作日以内。其中，水表口径DN40 以下且不涉及行政审批的，4 个工作日内装表通水；水表口径 DN100 以下或者涉及行政审批的，7 个工作日内装表通水。</w:t>
            </w:r>
          </w:p>
        </w:tc>
        <w:tc>
          <w:tcPr>
            <w:tcW w:w="708" w:type="pct"/>
            <w:gridSpan w:val="2"/>
            <w:tcBorders>
              <w:top w:val="single" w:color="auto"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区城市管理局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自来水公司沙坪坝营管所</w:t>
            </w:r>
          </w:p>
        </w:tc>
      </w:tr>
      <w:tr>
        <w:tblPrEx>
          <w:tblCellMar>
            <w:top w:w="0" w:type="dxa"/>
            <w:left w:w="0" w:type="dxa"/>
            <w:bottom w:w="0" w:type="dxa"/>
            <w:right w:w="0" w:type="dxa"/>
          </w:tblCellMar>
        </w:tblPrEx>
        <w:trPr>
          <w:trHeight w:val="2266" w:hRule="exact"/>
        </w:trPr>
        <w:tc>
          <w:tcPr>
            <w:tcW w:w="447" w:type="pct"/>
            <w:vMerge w:val="continue"/>
            <w:tcBorders>
              <w:top w:val="single" w:color="auto" w:sz="4" w:space="0"/>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kern w:val="0"/>
                <w:sz w:val="24"/>
                <w:szCs w:val="24"/>
              </w:rPr>
            </w:pPr>
          </w:p>
        </w:tc>
        <w:tc>
          <w:tcPr>
            <w:tcW w:w="563"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18．降低获得用水费用</w:t>
            </w:r>
          </w:p>
        </w:tc>
        <w:tc>
          <w:tcPr>
            <w:tcW w:w="2548"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（1）对使用水表口径在 DN100 以下的中小微企业、外资工商企业实行免收水表安装费。</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（2）严厉打击用水设计、安装、施工领域市场操纵等违法违规行为。</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区城市管理局、区市场监管局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自来水公司沙坪坝营管所</w:t>
            </w:r>
          </w:p>
        </w:tc>
      </w:tr>
      <w:tr>
        <w:tblPrEx>
          <w:tblCellMar>
            <w:top w:w="0" w:type="dxa"/>
            <w:left w:w="0" w:type="dxa"/>
            <w:bottom w:w="0" w:type="dxa"/>
            <w:right w:w="0" w:type="dxa"/>
          </w:tblCellMar>
        </w:tblPrEx>
        <w:trPr>
          <w:trHeight w:val="1703" w:hRule="exact"/>
        </w:trPr>
        <w:tc>
          <w:tcPr>
            <w:tcW w:w="447" w:type="pct"/>
            <w:vMerge w:val="continue"/>
            <w:tcBorders>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kern w:val="0"/>
                <w:sz w:val="24"/>
                <w:szCs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19．降低用水价格</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对于主城区不属于“两高一剩”项目的中小微企业及外商投资企业，不执行非居民超定额累进加价政策，按照非居民供水 3.25 元/吨的价格执行。</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区城市管理局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区发展改革委、自来水公司沙坪坝营管所</w:t>
            </w:r>
          </w:p>
        </w:tc>
      </w:tr>
      <w:tr>
        <w:tblPrEx>
          <w:tblCellMar>
            <w:top w:w="0" w:type="dxa"/>
            <w:left w:w="0" w:type="dxa"/>
            <w:bottom w:w="0" w:type="dxa"/>
            <w:right w:w="0" w:type="dxa"/>
          </w:tblCellMar>
        </w:tblPrEx>
        <w:trPr>
          <w:trHeight w:val="722"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2" w:leftChars="-1"/>
              <w:jc w:val="center"/>
              <w:rPr>
                <w:rFonts w:eastAsia="方正仿宋_GBK"/>
                <w:b/>
                <w:kern w:val="0"/>
                <w:sz w:val="24"/>
                <w:szCs w:val="24"/>
              </w:rPr>
            </w:pPr>
            <w:r>
              <w:rPr>
                <w:rFonts w:eastAsia="方正仿宋_GBK"/>
                <w:b/>
                <w:kern w:val="0"/>
                <w:sz w:val="24"/>
                <w:szCs w:val="24"/>
              </w:rPr>
              <w:t>目标任务</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573"/>
              <w:jc w:val="left"/>
              <w:rPr>
                <w:rFonts w:eastAsia="方正仿宋_GBK"/>
                <w:b/>
                <w:kern w:val="0"/>
                <w:sz w:val="24"/>
                <w:szCs w:val="24"/>
              </w:rPr>
            </w:pPr>
            <w:r>
              <w:rPr>
                <w:rFonts w:eastAsia="方正仿宋_GBK"/>
                <w:b/>
                <w:kern w:val="0"/>
                <w:sz w:val="24"/>
                <w:szCs w:val="24"/>
              </w:rPr>
              <w:t>工作措施</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19"/>
              <w:jc w:val="left"/>
              <w:rPr>
                <w:rFonts w:eastAsia="方正仿宋_GBK"/>
                <w:b/>
                <w:kern w:val="0"/>
                <w:sz w:val="24"/>
                <w:szCs w:val="24"/>
              </w:rPr>
            </w:pPr>
            <w:r>
              <w:rPr>
                <w:rFonts w:eastAsia="方正仿宋_GBK"/>
                <w:b/>
                <w:kern w:val="0"/>
                <w:sz w:val="24"/>
                <w:szCs w:val="24"/>
              </w:rPr>
              <w:t>牵头单位</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eastAsia="方正仿宋_GBK"/>
                <w:b/>
                <w:kern w:val="0"/>
                <w:sz w:val="24"/>
                <w:szCs w:val="24"/>
              </w:rPr>
            </w:pPr>
            <w:r>
              <w:rPr>
                <w:rFonts w:eastAsia="方正仿宋_GBK"/>
                <w:b/>
                <w:kern w:val="0"/>
                <w:sz w:val="24"/>
                <w:szCs w:val="24"/>
              </w:rPr>
              <w:t>配合单位</w:t>
            </w:r>
          </w:p>
        </w:tc>
      </w:tr>
      <w:tr>
        <w:tblPrEx>
          <w:tblCellMar>
            <w:top w:w="0" w:type="dxa"/>
            <w:left w:w="0" w:type="dxa"/>
            <w:bottom w:w="0" w:type="dxa"/>
            <w:right w:w="0" w:type="dxa"/>
          </w:tblCellMar>
        </w:tblPrEx>
        <w:trPr>
          <w:trHeight w:val="1248" w:hRule="exact"/>
        </w:trPr>
        <w:tc>
          <w:tcPr>
            <w:tcW w:w="44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五、获得用气</w:t>
            </w: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20．精简获得用气流程</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将获得用气流程由 9 个减少为客户提出用气需求并商议用气方案、委托设计、设计审查备案、委托施工、竣工验收及通气 5 个阶段。</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w:t>
            </w:r>
          </w:p>
        </w:tc>
        <w:tc>
          <w:tcPr>
            <w:tcW w:w="735"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区城市管理局、区规划自然资源局、区住房城乡建委</w:t>
            </w:r>
          </w:p>
        </w:tc>
      </w:tr>
      <w:tr>
        <w:tblPrEx>
          <w:tblCellMar>
            <w:top w:w="0" w:type="dxa"/>
            <w:left w:w="0" w:type="dxa"/>
            <w:bottom w:w="0" w:type="dxa"/>
            <w:right w:w="0" w:type="dxa"/>
          </w:tblCellMar>
        </w:tblPrEx>
        <w:trPr>
          <w:trHeight w:val="1563"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21．压减获得用气耗时</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2021 年底前用气总办理时限由 30 个工作日减少至 14 个工作日，其中，客户提出用气需求至与供气企业商议用气方案不超过 5 个工作日，设计审查备案不超过 1 个工作日，竣工验收不超过 5 个工作日，通气不超过 3 个工作日。</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w:t>
            </w:r>
          </w:p>
        </w:tc>
        <w:tc>
          <w:tcPr>
            <w:tcW w:w="735"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区城市管理局</w:t>
            </w:r>
          </w:p>
        </w:tc>
      </w:tr>
      <w:tr>
        <w:tblPrEx>
          <w:tblCellMar>
            <w:top w:w="0" w:type="dxa"/>
            <w:left w:w="0" w:type="dxa"/>
            <w:bottom w:w="0" w:type="dxa"/>
            <w:right w:w="0" w:type="dxa"/>
          </w:tblCellMar>
        </w:tblPrEx>
        <w:trPr>
          <w:trHeight w:val="1699" w:hRule="exact"/>
        </w:trPr>
        <w:tc>
          <w:tcPr>
            <w:tcW w:w="447" w:type="pct"/>
            <w:vMerge w:val="continue"/>
            <w:tcBorders>
              <w:top w:val="single" w:color="auto" w:sz="4" w:space="0"/>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kern w:val="0"/>
                <w:sz w:val="24"/>
                <w:szCs w:val="24"/>
              </w:rPr>
            </w:pPr>
          </w:p>
        </w:tc>
        <w:tc>
          <w:tcPr>
            <w:tcW w:w="563"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22．降低获得用气费用</w:t>
            </w:r>
          </w:p>
        </w:tc>
        <w:tc>
          <w:tcPr>
            <w:tcW w:w="2548"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（1）建立天然气设计、安装市场公告制度，定期公告、更新企业资质、收费、信用等信息，保障公众知情权、选择权。</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（2）严厉打击燃气设计、安装、施工领域市场操纵等违法违规行为。</w:t>
            </w:r>
          </w:p>
        </w:tc>
        <w:tc>
          <w:tcPr>
            <w:tcW w:w="708" w:type="pct"/>
            <w:gridSpan w:val="2"/>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区经济信息委、区市场监管局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kern w:val="0"/>
                <w:sz w:val="24"/>
                <w:szCs w:val="24"/>
              </w:rPr>
            </w:pPr>
            <w:r>
              <w:rPr>
                <w:rFonts w:hint="eastAsia" w:ascii="方正仿宋_GBK" w:eastAsia="方正仿宋_GBK"/>
                <w:kern w:val="0"/>
                <w:sz w:val="24"/>
                <w:szCs w:val="24"/>
              </w:rPr>
              <w:t>区住房城乡建委</w:t>
            </w:r>
          </w:p>
        </w:tc>
      </w:tr>
      <w:tr>
        <w:tblPrEx>
          <w:tblCellMar>
            <w:top w:w="0" w:type="dxa"/>
            <w:left w:w="0" w:type="dxa"/>
            <w:bottom w:w="0" w:type="dxa"/>
            <w:right w:w="0" w:type="dxa"/>
          </w:tblCellMar>
        </w:tblPrEx>
        <w:trPr>
          <w:trHeight w:val="1709" w:hRule="exact"/>
        </w:trPr>
        <w:tc>
          <w:tcPr>
            <w:tcW w:w="447" w:type="pct"/>
            <w:vMerge w:val="restart"/>
            <w:tcBorders>
              <w:top w:val="single" w:color="000000" w:sz="4" w:space="0"/>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w w:val="97"/>
                <w:kern w:val="0"/>
                <w:sz w:val="24"/>
                <w:szCs w:val="24"/>
              </w:rPr>
            </w:pPr>
            <w:r>
              <w:rPr>
                <w:rFonts w:eastAsia="方正仿宋_GBK"/>
                <w:w w:val="97"/>
                <w:kern w:val="0"/>
                <w:sz w:val="24"/>
                <w:szCs w:val="24"/>
              </w:rPr>
              <w:t>六、获得</w:t>
            </w:r>
            <w:r>
              <w:rPr>
                <w:rFonts w:eastAsia="方正仿宋_GBK"/>
                <w:kern w:val="0"/>
                <w:sz w:val="24"/>
                <w:szCs w:val="24"/>
              </w:rPr>
              <w:t>网络</w:t>
            </w:r>
          </w:p>
        </w:tc>
        <w:tc>
          <w:tcPr>
            <w:tcW w:w="5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24．精简获得网络流程</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（1）客户通过实名认证后即可在实体营业网点办理常规业务；拨打服务热线、网上营业厅、手机营业厅可办理部分业务。</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（2）电信业务经营者对资费套餐进行“清单式”公示，用户可以自主选择资费套餐。</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kern w:val="0"/>
                <w:sz w:val="24"/>
                <w:szCs w:val="24"/>
              </w:rPr>
            </w:pPr>
          </w:p>
        </w:tc>
      </w:tr>
      <w:tr>
        <w:tblPrEx>
          <w:tblCellMar>
            <w:top w:w="0" w:type="dxa"/>
            <w:left w:w="0" w:type="dxa"/>
            <w:bottom w:w="0" w:type="dxa"/>
            <w:right w:w="0" w:type="dxa"/>
          </w:tblCellMar>
        </w:tblPrEx>
        <w:trPr>
          <w:trHeight w:val="2252" w:hRule="exact"/>
        </w:trPr>
        <w:tc>
          <w:tcPr>
            <w:tcW w:w="447" w:type="pct"/>
            <w:vMerge w:val="continue"/>
            <w:tcBorders>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kern w:val="0"/>
                <w:sz w:val="24"/>
                <w:szCs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25．压减获得网络耗时</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（1）严格执行获得网络耗时对外服务承诺，用户也可与电信业务经营者约定有关的业务受理、开通、故障处理时限</w:t>
            </w:r>
          </w:p>
          <w:p>
            <w:pPr>
              <w:autoSpaceDE w:val="0"/>
              <w:autoSpaceDN w:val="0"/>
              <w:adjustRightInd w:val="0"/>
              <w:spacing w:line="240" w:lineRule="exact"/>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（2）用户申请安装电信终端设备的，电信业务经营者在其公布的时限内保证装机开通。</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kern w:val="0"/>
                <w:sz w:val="24"/>
                <w:szCs w:val="24"/>
              </w:rPr>
            </w:pPr>
          </w:p>
        </w:tc>
      </w:tr>
      <w:tr>
        <w:tblPrEx>
          <w:tblCellMar>
            <w:top w:w="0" w:type="dxa"/>
            <w:left w:w="0" w:type="dxa"/>
            <w:bottom w:w="0" w:type="dxa"/>
            <w:right w:w="0" w:type="dxa"/>
          </w:tblCellMar>
        </w:tblPrEx>
        <w:trPr>
          <w:trHeight w:val="1845" w:hRule="exact"/>
        </w:trPr>
        <w:tc>
          <w:tcPr>
            <w:tcW w:w="447" w:type="pct"/>
            <w:vMerge w:val="continue"/>
            <w:tcBorders>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kern w:val="0"/>
                <w:sz w:val="24"/>
                <w:szCs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26．降低获得网络费用</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（1）2019 年底前实现中小企业宽带平均资费降低 15%，移动网络流量平均资费降低 20%以上。</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（2）严厉打击用网设计、安装、施工领域市场操纵等违法违规行为。</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区经济信息委、区市场监管局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kern w:val="0"/>
                <w:sz w:val="24"/>
                <w:szCs w:val="24"/>
              </w:rPr>
            </w:pPr>
          </w:p>
        </w:tc>
      </w:tr>
      <w:tr>
        <w:tblPrEx>
          <w:tblCellMar>
            <w:top w:w="0" w:type="dxa"/>
            <w:left w:w="0" w:type="dxa"/>
            <w:bottom w:w="0" w:type="dxa"/>
            <w:right w:w="0" w:type="dxa"/>
          </w:tblCellMar>
        </w:tblPrEx>
        <w:trPr>
          <w:trHeight w:val="580"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2" w:leftChars="-1"/>
              <w:jc w:val="center"/>
              <w:rPr>
                <w:rFonts w:eastAsia="方正仿宋_GBK"/>
                <w:b/>
                <w:kern w:val="0"/>
                <w:sz w:val="24"/>
                <w:szCs w:val="24"/>
              </w:rPr>
            </w:pPr>
            <w:r>
              <w:rPr>
                <w:rFonts w:eastAsia="方正仿宋_GBK"/>
                <w:b/>
                <w:kern w:val="0"/>
                <w:sz w:val="24"/>
                <w:szCs w:val="24"/>
              </w:rPr>
              <w:t>目标任务</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573"/>
              <w:jc w:val="left"/>
              <w:rPr>
                <w:rFonts w:eastAsia="方正仿宋_GBK"/>
                <w:b/>
                <w:kern w:val="0"/>
                <w:sz w:val="24"/>
                <w:szCs w:val="24"/>
              </w:rPr>
            </w:pPr>
            <w:r>
              <w:rPr>
                <w:rFonts w:eastAsia="方正仿宋_GBK"/>
                <w:b/>
                <w:kern w:val="0"/>
                <w:sz w:val="24"/>
                <w:szCs w:val="24"/>
              </w:rPr>
              <w:t>工作措施</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19"/>
              <w:jc w:val="left"/>
              <w:rPr>
                <w:rFonts w:eastAsia="方正仿宋_GBK"/>
                <w:b/>
                <w:kern w:val="0"/>
                <w:sz w:val="24"/>
                <w:szCs w:val="24"/>
              </w:rPr>
            </w:pPr>
            <w:r>
              <w:rPr>
                <w:rFonts w:eastAsia="方正仿宋_GBK"/>
                <w:b/>
                <w:kern w:val="0"/>
                <w:sz w:val="24"/>
                <w:szCs w:val="24"/>
              </w:rPr>
              <w:t>牵头单位</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eastAsia="方正仿宋_GBK"/>
                <w:b/>
                <w:kern w:val="0"/>
                <w:sz w:val="24"/>
                <w:szCs w:val="24"/>
              </w:rPr>
            </w:pPr>
            <w:r>
              <w:rPr>
                <w:rFonts w:eastAsia="方正仿宋_GBK"/>
                <w:b/>
                <w:kern w:val="0"/>
                <w:sz w:val="24"/>
                <w:szCs w:val="24"/>
              </w:rPr>
              <w:t>配合单位</w:t>
            </w:r>
          </w:p>
        </w:tc>
      </w:tr>
      <w:tr>
        <w:tblPrEx>
          <w:tblCellMar>
            <w:top w:w="0" w:type="dxa"/>
            <w:left w:w="0" w:type="dxa"/>
            <w:bottom w:w="0" w:type="dxa"/>
            <w:right w:w="0" w:type="dxa"/>
          </w:tblCellMar>
        </w:tblPrEx>
        <w:trPr>
          <w:trHeight w:val="2257" w:hRule="exact"/>
        </w:trPr>
        <w:tc>
          <w:tcPr>
            <w:tcW w:w="447"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六、获得网络</w:t>
            </w:r>
          </w:p>
        </w:tc>
        <w:tc>
          <w:tcPr>
            <w:tcW w:w="563"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27．提高获得网络便利度</w:t>
            </w:r>
          </w:p>
        </w:tc>
        <w:tc>
          <w:tcPr>
            <w:tcW w:w="2548"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（1）提升轨道交通、学校、商场等流量热点区域以及覆盖薄弱地区 4G 网络覆盖率，2019 年底前新增无线 4G 基站1000个。</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（2）推动城区部署千兆宽带接入网络，提高光纤接入端口占比。</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 2019 年 11 月底前实现“异地销户”业务办理。</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（4）推动 5G 网络覆盖，配合市级推动5G 规模商用，2019 年底前落实新建 5G 基站任务。</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999" w:hRule="exact"/>
        </w:trPr>
        <w:tc>
          <w:tcPr>
            <w:tcW w:w="44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七、登记财产</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28．精简登记财产流程</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（1）推行“一窗受理、并行办理”。在政务服务大厅或不动产登记大厅设立综合受理窗口，统一受理税收、交易与登记等办理事项，一次性收取所需全部材料，实行并联办理。</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区不动产登记中心</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区住房城乡建委、区税务局</w:t>
            </w:r>
          </w:p>
        </w:tc>
      </w:tr>
      <w:tr>
        <w:tblPrEx>
          <w:tblCellMar>
            <w:top w:w="0" w:type="dxa"/>
            <w:left w:w="0" w:type="dxa"/>
            <w:bottom w:w="0" w:type="dxa"/>
            <w:right w:w="0" w:type="dxa"/>
          </w:tblCellMar>
        </w:tblPrEx>
        <w:trPr>
          <w:trHeight w:val="1268"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（2）精简登记申请材料。不动产登记机构通过跨部门间信息共享实时获取、核验相关材料，除需要收回的不动产权属证书和暂不具备条件采取电子介质的外，不再收取身份证复印件、产权证复印件等纸质材料。</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区不动产登记中心</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w:t>
            </w:r>
          </w:p>
        </w:tc>
      </w:tr>
      <w:tr>
        <w:tblPrEx>
          <w:tblCellMar>
            <w:top w:w="0" w:type="dxa"/>
            <w:left w:w="0" w:type="dxa"/>
            <w:bottom w:w="0" w:type="dxa"/>
            <w:right w:w="0" w:type="dxa"/>
          </w:tblCellMar>
        </w:tblPrEx>
        <w:trPr>
          <w:trHeight w:val="989"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29．压减登记财产耗时</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2019 年底前将一般登记压缩至 3 个工作日，抵押登记压缩至 2 个工作日，抵押注销登记、查封及解除查封登记、异议及注销异议登记实现立等可取。</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区不动产登记中心</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区规划自然资源局</w:t>
            </w:r>
          </w:p>
        </w:tc>
      </w:tr>
      <w:tr>
        <w:tblPrEx>
          <w:tblCellMar>
            <w:top w:w="0" w:type="dxa"/>
            <w:left w:w="0" w:type="dxa"/>
            <w:bottom w:w="0" w:type="dxa"/>
            <w:right w:w="0" w:type="dxa"/>
          </w:tblCellMar>
        </w:tblPrEx>
        <w:trPr>
          <w:trHeight w:val="1556"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kern w:val="0"/>
                <w:sz w:val="24"/>
                <w:szCs w:val="24"/>
              </w:rPr>
            </w:pP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w w:val="99"/>
                <w:kern w:val="0"/>
                <w:sz w:val="24"/>
                <w:szCs w:val="24"/>
              </w:rPr>
            </w:pPr>
            <w:r>
              <w:rPr>
                <w:rFonts w:hint="eastAsia" w:ascii="方正仿宋_GBK" w:eastAsia="方正仿宋_GBK"/>
                <w:w w:val="99"/>
                <w:kern w:val="0"/>
                <w:sz w:val="24"/>
                <w:szCs w:val="24"/>
              </w:rPr>
              <w:t>30．降低登</w:t>
            </w:r>
            <w:r>
              <w:rPr>
                <w:rFonts w:hint="eastAsia" w:ascii="方正仿宋_GBK" w:eastAsia="方正仿宋_GBK"/>
                <w:kern w:val="0"/>
                <w:sz w:val="24"/>
                <w:szCs w:val="24"/>
              </w:rPr>
              <w:t>记财产费用</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kern w:val="0"/>
                <w:sz w:val="24"/>
                <w:szCs w:val="24"/>
              </w:rPr>
            </w:pPr>
            <w:r>
              <w:rPr>
                <w:rFonts w:hint="eastAsia" w:ascii="方正仿宋_GBK" w:eastAsia="方正仿宋_GBK"/>
                <w:kern w:val="0"/>
                <w:sz w:val="24"/>
                <w:szCs w:val="24"/>
              </w:rPr>
              <w:t>（1）对申请办理不动产变更、更正登记的，免征不动产登记费。</w:t>
            </w:r>
          </w:p>
          <w:p>
            <w:pPr>
              <w:autoSpaceDE w:val="0"/>
              <w:autoSpaceDN w:val="0"/>
              <w:adjustRightInd w:val="0"/>
              <w:spacing w:line="240" w:lineRule="exact"/>
              <w:ind w:left="16"/>
              <w:jc w:val="left"/>
              <w:rPr>
                <w:rFonts w:hint="eastAsia" w:ascii="方正仿宋_GBK" w:eastAsia="方正仿宋_GBK"/>
                <w:kern w:val="0"/>
                <w:sz w:val="24"/>
                <w:szCs w:val="24"/>
              </w:rPr>
            </w:pPr>
            <w:r>
              <w:rPr>
                <w:rFonts w:hint="eastAsia" w:ascii="方正仿宋_GBK" w:eastAsia="方正仿宋_GBK"/>
                <w:kern w:val="0"/>
                <w:sz w:val="24"/>
                <w:szCs w:val="24"/>
              </w:rPr>
              <w:t>（2）对申请办理车库、车位、储藏室不动产登记，单独核发不动产权属证书或登记证明的，不动产登记费由每件 550元减至 80 元。</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kern w:val="0"/>
                <w:sz w:val="24"/>
                <w:szCs w:val="24"/>
              </w:rPr>
            </w:pPr>
            <w:r>
              <w:rPr>
                <w:rFonts w:hint="eastAsia" w:ascii="方正仿宋_GBK" w:eastAsia="方正仿宋_GBK"/>
                <w:kern w:val="0"/>
                <w:sz w:val="24"/>
                <w:szCs w:val="24"/>
              </w:rPr>
              <w:t>区不动产登记中心</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kern w:val="0"/>
                <w:sz w:val="24"/>
                <w:szCs w:val="24"/>
              </w:rPr>
            </w:pPr>
            <w:r>
              <w:rPr>
                <w:rFonts w:hint="eastAsia" w:ascii="方正仿宋_GBK" w:eastAsia="方正仿宋_GBK"/>
                <w:kern w:val="0"/>
                <w:sz w:val="24"/>
                <w:szCs w:val="24"/>
              </w:rPr>
              <w:t>区规划自然资源局</w:t>
            </w:r>
          </w:p>
        </w:tc>
      </w:tr>
      <w:tr>
        <w:tblPrEx>
          <w:tblCellMar>
            <w:top w:w="0" w:type="dxa"/>
            <w:left w:w="0" w:type="dxa"/>
            <w:bottom w:w="0" w:type="dxa"/>
            <w:right w:w="0" w:type="dxa"/>
          </w:tblCellMar>
        </w:tblPrEx>
        <w:trPr>
          <w:trHeight w:val="1563" w:hRule="exact"/>
        </w:trPr>
        <w:tc>
          <w:tcPr>
            <w:tcW w:w="447" w:type="pct"/>
            <w:vMerge w:val="continue"/>
            <w:tcBorders>
              <w:top w:val="single" w:color="auto" w:sz="4" w:space="0"/>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kern w:val="0"/>
                <w:sz w:val="24"/>
                <w:szCs w:val="24"/>
              </w:rPr>
            </w:pPr>
          </w:p>
        </w:tc>
        <w:tc>
          <w:tcPr>
            <w:tcW w:w="563"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kern w:val="0"/>
                <w:sz w:val="24"/>
                <w:szCs w:val="24"/>
              </w:rPr>
            </w:pPr>
            <w:r>
              <w:rPr>
                <w:rFonts w:hint="eastAsia" w:ascii="方正仿宋_GBK" w:eastAsia="方正仿宋_GBK"/>
                <w:w w:val="99"/>
                <w:kern w:val="0"/>
                <w:sz w:val="24"/>
                <w:szCs w:val="24"/>
              </w:rPr>
              <w:t>31．提高登</w:t>
            </w:r>
            <w:r>
              <w:rPr>
                <w:rFonts w:hint="eastAsia" w:ascii="方正仿宋_GBK" w:eastAsia="方正仿宋_GBK"/>
                <w:kern w:val="0"/>
                <w:sz w:val="24"/>
                <w:szCs w:val="24"/>
              </w:rPr>
              <w:t>记财产便利度</w:t>
            </w:r>
          </w:p>
        </w:tc>
        <w:tc>
          <w:tcPr>
            <w:tcW w:w="2548"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kern w:val="0"/>
                <w:sz w:val="24"/>
                <w:szCs w:val="24"/>
              </w:rPr>
            </w:pPr>
            <w:r>
              <w:rPr>
                <w:rFonts w:hint="eastAsia" w:ascii="方正仿宋_GBK" w:eastAsia="方正仿宋_GBK"/>
                <w:kern w:val="0"/>
                <w:sz w:val="24"/>
                <w:szCs w:val="24"/>
              </w:rPr>
              <w:t>降低材料获取难度。大力推进不动产登记信息自助查询结果的互信互认，各相关部门经“渝快办”中不动产登记查询结果验真比对一致的，不再要求当事人提供由不动产登记机构盖章的查询结果或相关证明材料。</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kern w:val="0"/>
                <w:sz w:val="24"/>
                <w:szCs w:val="24"/>
              </w:rPr>
            </w:pPr>
            <w:r>
              <w:rPr>
                <w:rFonts w:hint="eastAsia" w:ascii="方正仿宋_GBK" w:eastAsia="方正仿宋_GBK"/>
                <w:kern w:val="0"/>
                <w:sz w:val="24"/>
                <w:szCs w:val="24"/>
              </w:rPr>
              <w:t>区不动产登记中心</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kern w:val="0"/>
                <w:sz w:val="24"/>
                <w:szCs w:val="24"/>
              </w:rPr>
            </w:pPr>
            <w:r>
              <w:rPr>
                <w:rFonts w:hint="eastAsia" w:ascii="方正仿宋_GBK" w:eastAsia="方正仿宋_GBK"/>
                <w:kern w:val="0"/>
                <w:sz w:val="24"/>
                <w:szCs w:val="24"/>
              </w:rPr>
              <w:t>区政府信息中心、区经济信息委、区规划自然资源局</w:t>
            </w:r>
          </w:p>
        </w:tc>
      </w:tr>
      <w:tr>
        <w:tblPrEx>
          <w:tblCellMar>
            <w:top w:w="0" w:type="dxa"/>
            <w:left w:w="0" w:type="dxa"/>
            <w:bottom w:w="0" w:type="dxa"/>
            <w:right w:w="0" w:type="dxa"/>
          </w:tblCellMar>
        </w:tblPrEx>
        <w:trPr>
          <w:trHeight w:val="580"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2" w:leftChars="-1"/>
              <w:jc w:val="center"/>
              <w:rPr>
                <w:rFonts w:eastAsia="方正仿宋_GBK"/>
                <w:b/>
                <w:kern w:val="0"/>
                <w:sz w:val="24"/>
                <w:szCs w:val="24"/>
              </w:rPr>
            </w:pPr>
            <w:r>
              <w:rPr>
                <w:rFonts w:eastAsia="方正仿宋_GBK"/>
                <w:b/>
                <w:kern w:val="0"/>
                <w:sz w:val="24"/>
                <w:szCs w:val="24"/>
              </w:rPr>
              <w:t>目标任务</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573"/>
              <w:jc w:val="left"/>
              <w:rPr>
                <w:rFonts w:eastAsia="方正仿宋_GBK"/>
                <w:b/>
                <w:kern w:val="0"/>
                <w:sz w:val="24"/>
                <w:szCs w:val="24"/>
              </w:rPr>
            </w:pPr>
            <w:r>
              <w:rPr>
                <w:rFonts w:eastAsia="方正仿宋_GBK"/>
                <w:b/>
                <w:kern w:val="0"/>
                <w:sz w:val="24"/>
                <w:szCs w:val="24"/>
              </w:rPr>
              <w:t>工作措施</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19"/>
              <w:jc w:val="left"/>
              <w:rPr>
                <w:rFonts w:eastAsia="方正仿宋_GBK"/>
                <w:b/>
                <w:kern w:val="0"/>
                <w:sz w:val="24"/>
                <w:szCs w:val="24"/>
              </w:rPr>
            </w:pPr>
            <w:r>
              <w:rPr>
                <w:rFonts w:eastAsia="方正仿宋_GBK"/>
                <w:b/>
                <w:kern w:val="0"/>
                <w:sz w:val="24"/>
                <w:szCs w:val="24"/>
              </w:rPr>
              <w:t>牵头单位</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eastAsia="方正仿宋_GBK"/>
                <w:b/>
                <w:kern w:val="0"/>
                <w:sz w:val="24"/>
                <w:szCs w:val="24"/>
              </w:rPr>
            </w:pPr>
            <w:r>
              <w:rPr>
                <w:rFonts w:eastAsia="方正仿宋_GBK"/>
                <w:b/>
                <w:kern w:val="0"/>
                <w:sz w:val="24"/>
                <w:szCs w:val="24"/>
              </w:rPr>
              <w:t>配合单位</w:t>
            </w:r>
          </w:p>
        </w:tc>
      </w:tr>
      <w:tr>
        <w:tblPrEx>
          <w:tblCellMar>
            <w:top w:w="0" w:type="dxa"/>
            <w:left w:w="0" w:type="dxa"/>
            <w:bottom w:w="0" w:type="dxa"/>
            <w:right w:w="0" w:type="dxa"/>
          </w:tblCellMar>
        </w:tblPrEx>
        <w:trPr>
          <w:trHeight w:val="971" w:hRule="exact"/>
        </w:trPr>
        <w:tc>
          <w:tcPr>
            <w:tcW w:w="44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八、纳税</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32．减少纳税次数</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（1）推进集成申报。利用电子税务局、手机客户端、微信公众号等移动办税渠道，推进增值税、企业所得税、财产行为税分税种的集成申报。</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区税务局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569"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33．压减纳税时间</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（1）房产交易涉税业务“一窗式”办理。推动房产、土地、婚姻登记、人口信息数据共享，2019 年底前实现“一窗式办理房产交易涉税业务。</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区税务局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区规划自然资源局、区民政局、区公安分局</w:t>
            </w:r>
          </w:p>
        </w:tc>
      </w:tr>
      <w:tr>
        <w:tblPrEx>
          <w:tblCellMar>
            <w:top w:w="0" w:type="dxa"/>
            <w:left w:w="0" w:type="dxa"/>
            <w:bottom w:w="0" w:type="dxa"/>
            <w:right w:w="0" w:type="dxa"/>
          </w:tblCellMar>
        </w:tblPrEx>
        <w:trPr>
          <w:trHeight w:val="1143"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（2）构建智能化电子税务局。推进“互联网+税务”建设，大力发展自助办税、移动办税，不断完善电子税务局业务功能，提高电子税务局业务办理替代率，缩减纳税人平均办税时间。</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区税务局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557" w:hRule="exact"/>
        </w:trPr>
        <w:tc>
          <w:tcPr>
            <w:tcW w:w="447" w:type="pct"/>
            <w:vMerge w:val="restart"/>
            <w:tcBorders>
              <w:top w:val="single" w:color="auto" w:sz="4" w:space="0"/>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八、纳税</w:t>
            </w:r>
          </w:p>
        </w:tc>
        <w:tc>
          <w:tcPr>
            <w:tcW w:w="563" w:type="pct"/>
            <w:tcBorders>
              <w:top w:val="single" w:color="auto"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34．降低总税收和缴费率</w:t>
            </w:r>
          </w:p>
        </w:tc>
        <w:tc>
          <w:tcPr>
            <w:tcW w:w="2548"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对增值税小规模纳税人减按 50%征收资源税、城市维护建设税、房产税、城镇土地使用税、印花税（不含证券交易印花税）、耕地占用税和教育费附加、地方教育附加。</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区财政局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区税务局、区人力社</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保局、区医保局、区住房公积金管理中心</w:t>
            </w:r>
          </w:p>
        </w:tc>
      </w:tr>
      <w:tr>
        <w:tblPrEx>
          <w:tblCellMar>
            <w:top w:w="0" w:type="dxa"/>
            <w:left w:w="0" w:type="dxa"/>
            <w:bottom w:w="0" w:type="dxa"/>
            <w:right w:w="0" w:type="dxa"/>
          </w:tblCellMar>
        </w:tblPrEx>
        <w:trPr>
          <w:trHeight w:val="1686" w:hRule="atLeast"/>
        </w:trPr>
        <w:tc>
          <w:tcPr>
            <w:tcW w:w="447" w:type="pct"/>
            <w:vMerge w:val="continue"/>
            <w:tcBorders>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tcBorders>
              <w:top w:val="single" w:color="000000" w:sz="4" w:space="0"/>
              <w:left w:val="single" w:color="auto"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35．优化报税后流程指数</w:t>
            </w:r>
          </w:p>
        </w:tc>
        <w:tc>
          <w:tcPr>
            <w:tcW w:w="2548"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（1）企业所得税网上更正申报。依托电子税务局，实现纳税人对企业所得税申报、预缴、汇算清缴数据进行网上更正和补缴相应税款。（2）推行全程电子退税。推进退税电子化，2019 年底前实现退税审核、退库业务全流程网上办理，有效缩减退库办理时间。</w:t>
            </w:r>
          </w:p>
        </w:tc>
        <w:tc>
          <w:tcPr>
            <w:tcW w:w="708" w:type="pct"/>
            <w:gridSpan w:val="2"/>
            <w:tcBorders>
              <w:top w:val="single" w:color="000000" w:sz="4" w:space="0"/>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区税务局</w:t>
            </w:r>
          </w:p>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c>
          <w:tcPr>
            <w:tcW w:w="735" w:type="pct"/>
            <w:gridSpan w:val="2"/>
            <w:tcBorders>
              <w:top w:val="single" w:color="000000" w:sz="4" w:space="0"/>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418" w:hRule="exact"/>
        </w:trPr>
        <w:tc>
          <w:tcPr>
            <w:tcW w:w="44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九、跨境贸易</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36．压减出口边境审核耗时</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推行口岸作业单证电子化流转。依托重庆国际贸易“单一窗口”等信息平台，以电子化方式传输和接收口岸内各环节需要提交、申报、交换的单证（有特殊需求必须提供纸质单证的除外）。通过系统及时向进出口企业、货代、报关行、口岸作业场站推送查验通知，增强通关时效的可预期性。</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区物流办</w:t>
            </w:r>
          </w:p>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国际物流枢纽园区管委会</w:t>
            </w:r>
          </w:p>
        </w:tc>
      </w:tr>
      <w:tr>
        <w:tblPrEx>
          <w:tblCellMar>
            <w:top w:w="0" w:type="dxa"/>
            <w:left w:w="0" w:type="dxa"/>
            <w:bottom w:w="0" w:type="dxa"/>
            <w:right w:w="0" w:type="dxa"/>
          </w:tblCellMar>
        </w:tblPrEx>
        <w:trPr>
          <w:trHeight w:val="857"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（2）优化口岸物流作业流程。着重优化口岸经营服务企业场内转运、吊箱移位、掏箱和货方提箱等操作流程。</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区物流办</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国际物流枢纽园区管委会</w:t>
            </w:r>
          </w:p>
        </w:tc>
      </w:tr>
      <w:tr>
        <w:tblPrEx>
          <w:tblCellMar>
            <w:top w:w="0" w:type="dxa"/>
            <w:left w:w="0" w:type="dxa"/>
            <w:bottom w:w="0" w:type="dxa"/>
            <w:right w:w="0" w:type="dxa"/>
          </w:tblCellMar>
        </w:tblPrEx>
        <w:trPr>
          <w:trHeight w:val="969"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37．压减进出口单证审核耗时</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（1）推行重庆口岸 7×24 小时通关全覆盖。将 7×24 小时通关服务保障延伸至铁路口岸。</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eastAsia="方正仿宋_GBK"/>
                <w:spacing w:val="-20"/>
                <w:w w:val="90"/>
                <w:kern w:val="0"/>
                <w:sz w:val="24"/>
                <w:szCs w:val="24"/>
              </w:rPr>
            </w:pPr>
            <w:r>
              <w:rPr>
                <w:rFonts w:eastAsia="方正仿宋_GBK"/>
                <w:spacing w:val="-20"/>
                <w:w w:val="90"/>
                <w:kern w:val="0"/>
                <w:sz w:val="24"/>
                <w:szCs w:val="24"/>
              </w:rPr>
              <w:t>区物流办、渝州海关</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区财政局</w:t>
            </w:r>
          </w:p>
        </w:tc>
      </w:tr>
      <w:tr>
        <w:tblPrEx>
          <w:tblCellMar>
            <w:top w:w="0" w:type="dxa"/>
            <w:left w:w="0" w:type="dxa"/>
            <w:bottom w:w="0" w:type="dxa"/>
            <w:right w:w="0" w:type="dxa"/>
          </w:tblCellMar>
        </w:tblPrEx>
        <w:trPr>
          <w:trHeight w:val="580"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2" w:leftChars="-1"/>
              <w:jc w:val="center"/>
              <w:rPr>
                <w:rFonts w:hint="eastAsia" w:ascii="方正仿宋_GBK" w:eastAsia="方正仿宋_GBK"/>
                <w:b/>
                <w:kern w:val="0"/>
                <w:sz w:val="24"/>
                <w:szCs w:val="24"/>
              </w:rPr>
            </w:pPr>
            <w:r>
              <w:rPr>
                <w:rFonts w:hint="eastAsia" w:ascii="方正仿宋_GBK" w:eastAsia="方正仿宋_GBK"/>
                <w:b/>
                <w:kern w:val="0"/>
                <w:sz w:val="24"/>
                <w:szCs w:val="24"/>
              </w:rPr>
              <w:t>目标任务</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573"/>
              <w:jc w:val="left"/>
              <w:rPr>
                <w:rFonts w:hint="eastAsia" w:ascii="方正仿宋_GBK" w:eastAsia="方正仿宋_GBK"/>
                <w:b/>
                <w:kern w:val="0"/>
                <w:sz w:val="24"/>
                <w:szCs w:val="24"/>
              </w:rPr>
            </w:pPr>
            <w:r>
              <w:rPr>
                <w:rFonts w:hint="eastAsia" w:ascii="方正仿宋_GBK" w:eastAsia="方正仿宋_GBK"/>
                <w:b/>
                <w:kern w:val="0"/>
                <w:sz w:val="24"/>
                <w:szCs w:val="24"/>
              </w:rPr>
              <w:t>工作措施</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19"/>
              <w:jc w:val="left"/>
              <w:rPr>
                <w:rFonts w:eastAsia="方正仿宋_GBK"/>
                <w:b/>
                <w:kern w:val="0"/>
                <w:sz w:val="24"/>
                <w:szCs w:val="24"/>
              </w:rPr>
            </w:pPr>
            <w:r>
              <w:rPr>
                <w:rFonts w:eastAsia="方正仿宋_GBK"/>
                <w:b/>
                <w:kern w:val="0"/>
                <w:sz w:val="24"/>
                <w:szCs w:val="24"/>
              </w:rPr>
              <w:t>牵头单位</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eastAsia="方正仿宋_GBK"/>
                <w:b/>
                <w:kern w:val="0"/>
                <w:sz w:val="24"/>
                <w:szCs w:val="24"/>
              </w:rPr>
            </w:pPr>
            <w:r>
              <w:rPr>
                <w:rFonts w:eastAsia="方正仿宋_GBK"/>
                <w:b/>
                <w:kern w:val="0"/>
                <w:sz w:val="24"/>
                <w:szCs w:val="24"/>
              </w:rPr>
              <w:t>配合单位</w:t>
            </w:r>
          </w:p>
        </w:tc>
      </w:tr>
      <w:tr>
        <w:tblPrEx>
          <w:tblCellMar>
            <w:top w:w="0" w:type="dxa"/>
            <w:left w:w="0" w:type="dxa"/>
            <w:bottom w:w="0" w:type="dxa"/>
            <w:right w:w="0" w:type="dxa"/>
          </w:tblCellMar>
        </w:tblPrEx>
        <w:trPr>
          <w:trHeight w:val="1969" w:hRule="exact"/>
        </w:trPr>
        <w:tc>
          <w:tcPr>
            <w:tcW w:w="44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九、跨境贸易</w:t>
            </w:r>
          </w:p>
          <w:p>
            <w:pPr>
              <w:autoSpaceDE w:val="0"/>
              <w:autoSpaceDN w:val="0"/>
              <w:adjustRightInd w:val="0"/>
              <w:spacing w:line="240" w:lineRule="exact"/>
              <w:jc w:val="left"/>
              <w:rPr>
                <w:rFonts w:hint="eastAsia" w:ascii="方正仿宋_GBK" w:eastAsia="方正仿宋_GBK"/>
                <w:spacing w:val="-20"/>
                <w:w w:val="90"/>
                <w:kern w:val="0"/>
                <w:sz w:val="24"/>
                <w:szCs w:val="24"/>
              </w:rPr>
            </w:pP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37．压减进出口单证审核耗时</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（2）大力推广“提前申报”。引导企业提前办理单证审核和货物运输作业，货物运抵口岸或海关监管区时即可办理查验放行手续。压缩整体通关时间，2019 年底前实现口岸整体通关时间在 2017 年基础上压缩60%。</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eastAsia="方正仿宋_GBK"/>
                <w:spacing w:val="-20"/>
                <w:w w:val="90"/>
                <w:kern w:val="0"/>
                <w:sz w:val="24"/>
                <w:szCs w:val="24"/>
              </w:rPr>
            </w:pPr>
            <w:r>
              <w:rPr>
                <w:rFonts w:eastAsia="方正仿宋_GBK"/>
                <w:spacing w:val="-20"/>
                <w:w w:val="90"/>
                <w:kern w:val="0"/>
                <w:sz w:val="24"/>
                <w:szCs w:val="24"/>
              </w:rPr>
              <w:t>渝州海关、区物流办</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国际物流枢纽园区管委会</w:t>
            </w:r>
          </w:p>
        </w:tc>
      </w:tr>
      <w:tr>
        <w:tblPrEx>
          <w:tblCellMar>
            <w:top w:w="0" w:type="dxa"/>
            <w:left w:w="0" w:type="dxa"/>
            <w:bottom w:w="0" w:type="dxa"/>
            <w:right w:w="0" w:type="dxa"/>
          </w:tblCellMar>
        </w:tblPrEx>
        <w:trPr>
          <w:trHeight w:val="2310"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38．降低进出口单证审核费用</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除企业自理报关外，进出口单证均为电子数据上传和零费用。进出口环节验核的监管证件由 86 种减至 46 种，除安全保密需要等特殊情况外，全部实现在通关环节联网比对核查。</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eastAsia="方正仿宋_GBK"/>
                <w:spacing w:val="-20"/>
                <w:w w:val="90"/>
                <w:kern w:val="0"/>
                <w:sz w:val="24"/>
                <w:szCs w:val="24"/>
              </w:rPr>
            </w:pPr>
            <w:r>
              <w:rPr>
                <w:rFonts w:eastAsia="方正仿宋_GBK"/>
                <w:spacing w:val="-20"/>
                <w:w w:val="90"/>
                <w:kern w:val="0"/>
                <w:sz w:val="24"/>
                <w:szCs w:val="24"/>
              </w:rPr>
              <w:t>渝州海关</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区商务委、区物流办</w:t>
            </w:r>
          </w:p>
        </w:tc>
      </w:tr>
      <w:tr>
        <w:tblPrEx>
          <w:tblCellMar>
            <w:top w:w="0" w:type="dxa"/>
            <w:left w:w="0" w:type="dxa"/>
            <w:bottom w:w="0" w:type="dxa"/>
            <w:right w:w="0" w:type="dxa"/>
          </w:tblCellMar>
        </w:tblPrEx>
        <w:trPr>
          <w:trHeight w:val="1427"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39．提高跨境贸易便利度</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（1）加快推进智慧口岸建设。推动口岸基础设施建设和信息系统互联互通，实现“隐形监管”“顺势监管”和无感通关，便利人员和货物快速通关。</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eastAsia="方正仿宋_GBK"/>
                <w:spacing w:val="-20"/>
                <w:w w:val="90"/>
                <w:kern w:val="0"/>
                <w:sz w:val="24"/>
                <w:szCs w:val="24"/>
              </w:rPr>
            </w:pPr>
            <w:r>
              <w:rPr>
                <w:rFonts w:eastAsia="方正仿宋_GBK"/>
                <w:spacing w:val="-20"/>
                <w:w w:val="90"/>
                <w:kern w:val="0"/>
                <w:sz w:val="24"/>
                <w:szCs w:val="24"/>
              </w:rPr>
              <w:t>区物流办</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jc w:val="left"/>
              <w:rPr>
                <w:rFonts w:eastAsia="方正仿宋_GBK"/>
                <w:spacing w:val="-20"/>
                <w:w w:val="90"/>
                <w:kern w:val="0"/>
                <w:sz w:val="24"/>
                <w:szCs w:val="24"/>
              </w:rPr>
            </w:pPr>
            <w:r>
              <w:rPr>
                <w:rFonts w:eastAsia="方正仿宋_GBK"/>
                <w:spacing w:val="-20"/>
                <w:w w:val="90"/>
                <w:kern w:val="0"/>
                <w:sz w:val="24"/>
                <w:szCs w:val="24"/>
              </w:rPr>
              <w:t>国际物流枢纽园区管委会</w:t>
            </w:r>
          </w:p>
        </w:tc>
      </w:tr>
      <w:tr>
        <w:tblPrEx>
          <w:tblCellMar>
            <w:top w:w="0" w:type="dxa"/>
            <w:left w:w="0" w:type="dxa"/>
            <w:bottom w:w="0" w:type="dxa"/>
            <w:right w:w="0" w:type="dxa"/>
          </w:tblCellMar>
        </w:tblPrEx>
        <w:trPr>
          <w:trHeight w:val="993"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（2）深化国际贸易“单一窗口”功能。在“单一窗口”上建立口岸场所信息云平台，实现与主要口岸场所信息互通和共享。</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eastAsia="方正仿宋_GBK"/>
                <w:spacing w:val="-20"/>
                <w:w w:val="90"/>
                <w:kern w:val="0"/>
                <w:sz w:val="24"/>
                <w:szCs w:val="24"/>
              </w:rPr>
            </w:pPr>
            <w:r>
              <w:rPr>
                <w:rFonts w:eastAsia="方正仿宋_GBK"/>
                <w:spacing w:val="-20"/>
                <w:w w:val="90"/>
                <w:kern w:val="0"/>
                <w:sz w:val="24"/>
                <w:szCs w:val="24"/>
              </w:rPr>
              <w:t>区物流办</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jc w:val="left"/>
              <w:rPr>
                <w:rFonts w:eastAsia="方正仿宋_GBK"/>
                <w:spacing w:val="-20"/>
                <w:w w:val="90"/>
                <w:kern w:val="0"/>
                <w:sz w:val="24"/>
                <w:szCs w:val="24"/>
              </w:rPr>
            </w:pPr>
            <w:r>
              <w:rPr>
                <w:rFonts w:eastAsia="方正仿宋_GBK"/>
                <w:spacing w:val="-20"/>
                <w:w w:val="90"/>
                <w:kern w:val="0"/>
                <w:sz w:val="24"/>
                <w:szCs w:val="24"/>
              </w:rPr>
              <w:t>区经济信息委</w:t>
            </w:r>
          </w:p>
        </w:tc>
      </w:tr>
      <w:tr>
        <w:tblPrEx>
          <w:tblCellMar>
            <w:top w:w="0" w:type="dxa"/>
            <w:left w:w="0" w:type="dxa"/>
            <w:bottom w:w="0" w:type="dxa"/>
            <w:right w:w="0" w:type="dxa"/>
          </w:tblCellMar>
        </w:tblPrEx>
        <w:trPr>
          <w:trHeight w:val="851" w:hRule="exact"/>
        </w:trPr>
        <w:tc>
          <w:tcPr>
            <w:tcW w:w="44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十、办理</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破产</w:t>
            </w:r>
          </w:p>
          <w:p>
            <w:pPr>
              <w:autoSpaceDE w:val="0"/>
              <w:autoSpaceDN w:val="0"/>
              <w:adjustRightInd w:val="0"/>
              <w:spacing w:line="240" w:lineRule="exact"/>
              <w:jc w:val="left"/>
              <w:rPr>
                <w:rFonts w:hint="eastAsia" w:ascii="方正仿宋_GBK" w:eastAsia="方正仿宋_GBK"/>
                <w:spacing w:val="-20"/>
                <w:w w:val="90"/>
                <w:kern w:val="0"/>
                <w:sz w:val="24"/>
                <w:szCs w:val="24"/>
              </w:rPr>
            </w:pP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40．压减收回债务所需的时间</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加快债权债务清理、破产财产审计评估速度，推进破产案件繁简分流。</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jc w:val="left"/>
              <w:rPr>
                <w:rFonts w:eastAsia="方正仿宋_GBK"/>
                <w:spacing w:val="-20"/>
                <w:w w:val="90"/>
                <w:kern w:val="0"/>
                <w:sz w:val="24"/>
                <w:szCs w:val="24"/>
              </w:rPr>
            </w:pPr>
            <w:r>
              <w:rPr>
                <w:rFonts w:eastAsia="方正仿宋_GBK"/>
                <w:spacing w:val="-20"/>
                <w:w w:val="90"/>
                <w:kern w:val="0"/>
                <w:sz w:val="24"/>
                <w:szCs w:val="24"/>
              </w:rPr>
              <w:t>区法院、区司法局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eastAsia="方正仿宋_GBK"/>
                <w:spacing w:val="-20"/>
                <w:w w:val="90"/>
                <w:kern w:val="0"/>
                <w:sz w:val="24"/>
                <w:szCs w:val="24"/>
              </w:rPr>
            </w:pPr>
          </w:p>
        </w:tc>
      </w:tr>
      <w:tr>
        <w:tblPrEx>
          <w:tblCellMar>
            <w:top w:w="0" w:type="dxa"/>
            <w:left w:w="0" w:type="dxa"/>
            <w:bottom w:w="0" w:type="dxa"/>
            <w:right w:w="0" w:type="dxa"/>
          </w:tblCellMar>
        </w:tblPrEx>
        <w:trPr>
          <w:trHeight w:val="1700"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41．提高债权人回收率</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（1）完善破产立案听证审查机制，提高债权人参与程度。强化债权人知情权，协助市级建立债务人信息公开平台。</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（2）加强人民法院与政府职能部门的沟通协调，实现府院协调机制常态化、规范化运转，协助重整企业修复信用记录，促使企业恢复正常生产经营。</w:t>
            </w:r>
          </w:p>
          <w:p>
            <w:pPr>
              <w:autoSpaceDE w:val="0"/>
              <w:autoSpaceDN w:val="0"/>
              <w:adjustRightInd w:val="0"/>
              <w:spacing w:line="240" w:lineRule="exact"/>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（3）推动破产财产网络拍卖，提高财产变现价值。</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eastAsia="方正仿宋_GBK"/>
                <w:spacing w:val="-20"/>
                <w:w w:val="90"/>
                <w:kern w:val="0"/>
                <w:sz w:val="24"/>
                <w:szCs w:val="24"/>
              </w:rPr>
            </w:pPr>
            <w:r>
              <w:rPr>
                <w:rFonts w:eastAsia="方正仿宋_GBK"/>
                <w:spacing w:val="-20"/>
                <w:w w:val="90"/>
                <w:kern w:val="0"/>
                <w:sz w:val="24"/>
                <w:szCs w:val="24"/>
              </w:rPr>
              <w:t>区法院、</w:t>
            </w:r>
          </w:p>
          <w:p>
            <w:pPr>
              <w:autoSpaceDE w:val="0"/>
              <w:autoSpaceDN w:val="0"/>
              <w:adjustRightInd w:val="0"/>
              <w:spacing w:line="240" w:lineRule="exact"/>
              <w:ind w:left="17"/>
              <w:jc w:val="left"/>
              <w:rPr>
                <w:rFonts w:eastAsia="方正仿宋_GBK"/>
                <w:spacing w:val="-20"/>
                <w:w w:val="90"/>
                <w:kern w:val="0"/>
                <w:sz w:val="24"/>
                <w:szCs w:val="24"/>
              </w:rPr>
            </w:pPr>
            <w:r>
              <w:rPr>
                <w:rFonts w:eastAsia="方正仿宋_GBK"/>
                <w:spacing w:val="-20"/>
                <w:w w:val="90"/>
                <w:kern w:val="0"/>
                <w:sz w:val="24"/>
                <w:szCs w:val="24"/>
              </w:rPr>
              <w:t>区政府办</w:t>
            </w:r>
          </w:p>
          <w:p>
            <w:pPr>
              <w:autoSpaceDE w:val="0"/>
              <w:autoSpaceDN w:val="0"/>
              <w:adjustRightInd w:val="0"/>
              <w:spacing w:line="240" w:lineRule="exact"/>
              <w:ind w:left="17"/>
              <w:jc w:val="left"/>
              <w:rPr>
                <w:rFonts w:eastAsia="方正仿宋_GBK"/>
                <w:spacing w:val="-20"/>
                <w:w w:val="90"/>
                <w:kern w:val="0"/>
                <w:sz w:val="24"/>
                <w:szCs w:val="24"/>
              </w:rPr>
            </w:pP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区市场监管局、区税务局、区发展改革委</w:t>
            </w:r>
          </w:p>
        </w:tc>
      </w:tr>
      <w:tr>
        <w:tblPrEx>
          <w:tblCellMar>
            <w:top w:w="0" w:type="dxa"/>
            <w:left w:w="0" w:type="dxa"/>
            <w:bottom w:w="0" w:type="dxa"/>
            <w:right w:w="0" w:type="dxa"/>
          </w:tblCellMar>
        </w:tblPrEx>
        <w:trPr>
          <w:trHeight w:val="953"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42．优化破产法律框架质量指数</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（1）落实市级部署安排，组建相对固定的破产合议庭并合理配备破产审判力量。</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eastAsia="方正仿宋_GBK"/>
                <w:spacing w:val="-20"/>
                <w:w w:val="90"/>
                <w:kern w:val="0"/>
                <w:sz w:val="24"/>
                <w:szCs w:val="24"/>
              </w:rPr>
            </w:pPr>
            <w:r>
              <w:rPr>
                <w:rFonts w:eastAsia="方正仿宋_GBK"/>
                <w:spacing w:val="-20"/>
                <w:w w:val="90"/>
                <w:kern w:val="0"/>
                <w:sz w:val="24"/>
                <w:szCs w:val="24"/>
              </w:rPr>
              <w:t>区法院</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r>
      <w:tr>
        <w:tblPrEx>
          <w:tblCellMar>
            <w:top w:w="0" w:type="dxa"/>
            <w:left w:w="0" w:type="dxa"/>
            <w:bottom w:w="0" w:type="dxa"/>
            <w:right w:w="0" w:type="dxa"/>
          </w:tblCellMar>
        </w:tblPrEx>
        <w:trPr>
          <w:trHeight w:val="1496"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（2）完善管理人制度，动态调整管理人名册。引进有竞争力的外省管理人在重大或疑难复杂案件实行管理人竞争性选任。加强对管理人协会的交流和指导，强化自治管理。</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eastAsia="方正仿宋_GBK"/>
                <w:spacing w:val="-20"/>
                <w:w w:val="90"/>
                <w:kern w:val="0"/>
                <w:sz w:val="24"/>
                <w:szCs w:val="24"/>
              </w:rPr>
            </w:pPr>
            <w:r>
              <w:rPr>
                <w:rFonts w:eastAsia="方正仿宋_GBK"/>
                <w:spacing w:val="-20"/>
                <w:w w:val="90"/>
                <w:kern w:val="0"/>
                <w:sz w:val="24"/>
                <w:szCs w:val="24"/>
              </w:rPr>
              <w:t>区法院、区司法局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eastAsia="方正仿宋_GBK"/>
                <w:spacing w:val="-20"/>
                <w:w w:val="90"/>
                <w:kern w:val="0"/>
                <w:sz w:val="24"/>
                <w:szCs w:val="24"/>
              </w:rPr>
            </w:pPr>
          </w:p>
        </w:tc>
      </w:tr>
      <w:tr>
        <w:tblPrEx>
          <w:tblCellMar>
            <w:top w:w="0" w:type="dxa"/>
            <w:left w:w="0" w:type="dxa"/>
            <w:bottom w:w="0" w:type="dxa"/>
            <w:right w:w="0" w:type="dxa"/>
          </w:tblCellMar>
        </w:tblPrEx>
        <w:trPr>
          <w:trHeight w:val="709"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2" w:leftChars="-1"/>
              <w:jc w:val="center"/>
              <w:rPr>
                <w:rFonts w:hint="eastAsia" w:ascii="方正仿宋_GBK" w:eastAsia="方正仿宋_GBK"/>
                <w:b/>
                <w:kern w:val="0"/>
                <w:sz w:val="24"/>
                <w:szCs w:val="24"/>
              </w:rPr>
            </w:pPr>
            <w:r>
              <w:rPr>
                <w:rFonts w:hint="eastAsia" w:ascii="方正仿宋_GBK" w:eastAsia="方正仿宋_GBK"/>
                <w:b/>
                <w:kern w:val="0"/>
                <w:sz w:val="24"/>
                <w:szCs w:val="24"/>
              </w:rPr>
              <w:t>目标任务</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573"/>
              <w:jc w:val="left"/>
              <w:rPr>
                <w:rFonts w:hint="eastAsia" w:ascii="方正仿宋_GBK" w:eastAsia="方正仿宋_GBK"/>
                <w:b/>
                <w:kern w:val="0"/>
                <w:sz w:val="24"/>
                <w:szCs w:val="24"/>
              </w:rPr>
            </w:pPr>
            <w:r>
              <w:rPr>
                <w:rFonts w:hint="eastAsia" w:ascii="方正仿宋_GBK" w:eastAsia="方正仿宋_GBK"/>
                <w:b/>
                <w:kern w:val="0"/>
                <w:sz w:val="24"/>
                <w:szCs w:val="24"/>
              </w:rPr>
              <w:t>工作措施</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19"/>
              <w:jc w:val="left"/>
              <w:rPr>
                <w:rFonts w:eastAsia="方正仿宋_GBK"/>
                <w:b/>
                <w:kern w:val="0"/>
                <w:sz w:val="24"/>
                <w:szCs w:val="24"/>
              </w:rPr>
            </w:pPr>
            <w:r>
              <w:rPr>
                <w:rFonts w:eastAsia="方正仿宋_GBK"/>
                <w:b/>
                <w:kern w:val="0"/>
                <w:sz w:val="24"/>
                <w:szCs w:val="24"/>
              </w:rPr>
              <w:t>牵头单位</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eastAsia="方正仿宋_GBK"/>
                <w:b/>
                <w:kern w:val="0"/>
                <w:sz w:val="24"/>
                <w:szCs w:val="24"/>
              </w:rPr>
            </w:pPr>
            <w:r>
              <w:rPr>
                <w:rFonts w:eastAsia="方正仿宋_GBK"/>
                <w:b/>
                <w:kern w:val="0"/>
                <w:sz w:val="24"/>
                <w:szCs w:val="24"/>
              </w:rPr>
              <w:t>配合单位</w:t>
            </w:r>
          </w:p>
        </w:tc>
      </w:tr>
      <w:tr>
        <w:tblPrEx>
          <w:tblCellMar>
            <w:top w:w="0" w:type="dxa"/>
            <w:left w:w="0" w:type="dxa"/>
            <w:bottom w:w="0" w:type="dxa"/>
            <w:right w:w="0" w:type="dxa"/>
          </w:tblCellMar>
        </w:tblPrEx>
        <w:trPr>
          <w:trHeight w:val="2407" w:hRule="exact"/>
        </w:trPr>
        <w:tc>
          <w:tcPr>
            <w:tcW w:w="44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十、办理破产</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42．优化破产法律框架质量指数</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完善庭外兼并重组与庭内破产程序衔接机制。在企业进入重整程序之前，可由债权人与债务人、出资人等利害关系人通过庭外商业谈判，拟定重组方案。重整程序启动后，可以重组方案为依据拟定重整计划草案提交人民法院依法审查批准。</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区法院</w:t>
            </w:r>
          </w:p>
        </w:tc>
        <w:tc>
          <w:tcPr>
            <w:tcW w:w="735"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区国资委、区经济信息委、区市场监管局</w:t>
            </w:r>
          </w:p>
        </w:tc>
      </w:tr>
      <w:tr>
        <w:tblPrEx>
          <w:tblCellMar>
            <w:top w:w="0" w:type="dxa"/>
            <w:left w:w="0" w:type="dxa"/>
            <w:bottom w:w="0" w:type="dxa"/>
            <w:right w:w="0" w:type="dxa"/>
          </w:tblCellMar>
        </w:tblPrEx>
        <w:trPr>
          <w:trHeight w:val="1562"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（4）贯彻落实即将出台的关于破产企业注销相关问题的会商纪要，完善破产企业注销工作机制。</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区法院</w:t>
            </w:r>
          </w:p>
        </w:tc>
        <w:tc>
          <w:tcPr>
            <w:tcW w:w="735"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区国资委、区经济信息委、区市场监管局</w:t>
            </w:r>
          </w:p>
        </w:tc>
      </w:tr>
      <w:tr>
        <w:tblPrEx>
          <w:tblCellMar>
            <w:top w:w="0" w:type="dxa"/>
            <w:left w:w="0" w:type="dxa"/>
            <w:bottom w:w="0" w:type="dxa"/>
            <w:right w:w="0" w:type="dxa"/>
          </w:tblCellMar>
        </w:tblPrEx>
        <w:trPr>
          <w:trHeight w:val="1002" w:hRule="exact"/>
        </w:trPr>
        <w:tc>
          <w:tcPr>
            <w:tcW w:w="44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十一、获得信贷</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43．优化合法权利度指数</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（1）方便当事人就近办理。</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（2）优化和推广动产抵押登记业务系统和动产融资统一登记系统，服务市场主体融资需求。</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区政务办、区市场监管局</w:t>
            </w:r>
          </w:p>
        </w:tc>
        <w:tc>
          <w:tcPr>
            <w:tcW w:w="735"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区法院、区财政局</w:t>
            </w:r>
          </w:p>
        </w:tc>
      </w:tr>
      <w:tr>
        <w:tblPrEx>
          <w:tblCellMar>
            <w:top w:w="0" w:type="dxa"/>
            <w:left w:w="0" w:type="dxa"/>
            <w:bottom w:w="0" w:type="dxa"/>
            <w:right w:w="0" w:type="dxa"/>
          </w:tblCellMar>
        </w:tblPrEx>
        <w:trPr>
          <w:trHeight w:val="1697"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44．优化信用信息深度指数</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（1）建设城市大数据资源中心，归集企业用水、用电、用气等信息，为公共信用、金融授信提供参考。</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（2）引导征信机构参与小微企业信用体系建设，完善企业信息采集、评价和使用。</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（3）利用市信用公共平台，向金融机构开放高价值信息，为小微企业和农村经济组织融资提供便利。</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区经济信息委、区财政局</w:t>
            </w:r>
          </w:p>
        </w:tc>
        <w:tc>
          <w:tcPr>
            <w:tcW w:w="735"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区发展改革委</w:t>
            </w:r>
          </w:p>
        </w:tc>
      </w:tr>
      <w:tr>
        <w:tblPrEx>
          <w:tblCellMar>
            <w:top w:w="0" w:type="dxa"/>
            <w:left w:w="0" w:type="dxa"/>
            <w:bottom w:w="0" w:type="dxa"/>
            <w:right w:w="0" w:type="dxa"/>
          </w:tblCellMar>
        </w:tblPrEx>
        <w:trPr>
          <w:trHeight w:val="1139"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45．提高企业融资便利度</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（1）督促指导小贷机构等建立健全与律师事务所会计师事务所、第三方评估等中介机构合作的准入制度和质量把控制度，确保公开、公平、公正地选聘专业服务机构。</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区财政局</w:t>
            </w:r>
          </w:p>
        </w:tc>
        <w:tc>
          <w:tcPr>
            <w:tcW w:w="735"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区经济信息委、区司法局</w:t>
            </w:r>
          </w:p>
        </w:tc>
      </w:tr>
      <w:tr>
        <w:tblPrEx>
          <w:tblCellMar>
            <w:top w:w="0" w:type="dxa"/>
            <w:left w:w="0" w:type="dxa"/>
            <w:bottom w:w="0" w:type="dxa"/>
            <w:right w:w="0" w:type="dxa"/>
          </w:tblCellMar>
        </w:tblPrEx>
        <w:trPr>
          <w:trHeight w:val="2544" w:hRule="exact"/>
        </w:trPr>
        <w:tc>
          <w:tcPr>
            <w:tcW w:w="447"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十</w:t>
            </w:r>
            <w:r>
              <w:rPr>
                <w:rFonts w:hint="eastAsia" w:eastAsia="方正仿宋_GBK"/>
                <w:spacing w:val="-20"/>
                <w:w w:val="90"/>
                <w:kern w:val="0"/>
                <w:sz w:val="24"/>
                <w:szCs w:val="24"/>
              </w:rPr>
              <w:t>二</w:t>
            </w:r>
            <w:r>
              <w:rPr>
                <w:rFonts w:eastAsia="方正仿宋_GBK"/>
                <w:spacing w:val="-20"/>
                <w:w w:val="90"/>
                <w:kern w:val="0"/>
                <w:sz w:val="24"/>
                <w:szCs w:val="24"/>
              </w:rPr>
              <w:t>、执行合同</w:t>
            </w:r>
          </w:p>
        </w:tc>
        <w:tc>
          <w:tcPr>
            <w:tcW w:w="563"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46．压减解决商业纠纷的耗时</w:t>
            </w:r>
          </w:p>
        </w:tc>
        <w:tc>
          <w:tcPr>
            <w:tcW w:w="2548"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（1）运用智能辅助办案平台，提升立案、送达、审理效率。</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（2）落实即将出台的关于严格遵守审限、加强审判时间节点和流程管理的规定。</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（3）加快整合律师、公证等法律服务资源。</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（4）加强法院与公安、民政等部门联网对接。</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（5）深入推进失信被执行人联合惩戒工作。</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（6）降低当事人收集证据的时间成本，支持律师凭律师调查令依法调查收集证据。</w:t>
            </w:r>
          </w:p>
        </w:tc>
        <w:tc>
          <w:tcPr>
            <w:tcW w:w="708" w:type="pct"/>
            <w:gridSpan w:val="2"/>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区法院</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区司法局、区公安分局、区民</w:t>
            </w:r>
          </w:p>
          <w:p>
            <w:pPr>
              <w:autoSpaceDE w:val="0"/>
              <w:autoSpaceDN w:val="0"/>
              <w:adjustRightInd w:val="0"/>
              <w:spacing w:line="240" w:lineRule="exact"/>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政局、区财政局</w:t>
            </w:r>
          </w:p>
        </w:tc>
      </w:tr>
      <w:tr>
        <w:tblPrEx>
          <w:tblCellMar>
            <w:top w:w="0" w:type="dxa"/>
            <w:left w:w="0" w:type="dxa"/>
            <w:bottom w:w="0" w:type="dxa"/>
            <w:right w:w="0" w:type="dxa"/>
          </w:tblCellMar>
        </w:tblPrEx>
        <w:trPr>
          <w:trHeight w:val="454"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2" w:leftChars="-1"/>
              <w:jc w:val="center"/>
              <w:rPr>
                <w:rFonts w:eastAsia="方正仿宋_GBK"/>
                <w:b/>
                <w:kern w:val="0"/>
                <w:sz w:val="24"/>
                <w:szCs w:val="24"/>
              </w:rPr>
            </w:pPr>
            <w:r>
              <w:rPr>
                <w:rFonts w:eastAsia="方正仿宋_GBK"/>
                <w:b/>
                <w:kern w:val="0"/>
                <w:sz w:val="24"/>
                <w:szCs w:val="24"/>
              </w:rPr>
              <w:t>目标任务</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573"/>
              <w:jc w:val="left"/>
              <w:rPr>
                <w:rFonts w:eastAsia="方正仿宋_GBK"/>
                <w:b/>
                <w:kern w:val="0"/>
                <w:sz w:val="24"/>
                <w:szCs w:val="24"/>
              </w:rPr>
            </w:pPr>
            <w:r>
              <w:rPr>
                <w:rFonts w:eastAsia="方正仿宋_GBK"/>
                <w:b/>
                <w:kern w:val="0"/>
                <w:sz w:val="24"/>
                <w:szCs w:val="24"/>
              </w:rPr>
              <w:t>工作措施</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19"/>
              <w:jc w:val="left"/>
              <w:rPr>
                <w:rFonts w:eastAsia="方正仿宋_GBK"/>
                <w:b/>
                <w:kern w:val="0"/>
                <w:sz w:val="24"/>
                <w:szCs w:val="24"/>
              </w:rPr>
            </w:pPr>
            <w:r>
              <w:rPr>
                <w:rFonts w:eastAsia="方正仿宋_GBK"/>
                <w:b/>
                <w:kern w:val="0"/>
                <w:sz w:val="24"/>
                <w:szCs w:val="24"/>
              </w:rPr>
              <w:t>牵头单位</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eastAsia="方正仿宋_GBK"/>
                <w:b/>
                <w:kern w:val="0"/>
                <w:sz w:val="24"/>
                <w:szCs w:val="24"/>
              </w:rPr>
            </w:pPr>
            <w:r>
              <w:rPr>
                <w:rFonts w:eastAsia="方正仿宋_GBK"/>
                <w:b/>
                <w:kern w:val="0"/>
                <w:sz w:val="24"/>
                <w:szCs w:val="24"/>
              </w:rPr>
              <w:t>配合单位</w:t>
            </w:r>
          </w:p>
        </w:tc>
      </w:tr>
      <w:tr>
        <w:tblPrEx>
          <w:tblCellMar>
            <w:top w:w="0" w:type="dxa"/>
            <w:left w:w="0" w:type="dxa"/>
            <w:bottom w:w="0" w:type="dxa"/>
            <w:right w:w="0" w:type="dxa"/>
          </w:tblCellMar>
        </w:tblPrEx>
        <w:trPr>
          <w:trHeight w:val="943" w:hRule="exact"/>
        </w:trPr>
        <w:tc>
          <w:tcPr>
            <w:tcW w:w="44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十二、执行合同</w:t>
            </w: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47．降低解决商业纠纷的费用</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发挥诉讼费的调节分流功能，严格把握诉讼费减、免、缓条件，依法降低商业纠纷的诉讼成本。</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区法院</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kern w:val="0"/>
                <w:sz w:val="24"/>
                <w:szCs w:val="24"/>
              </w:rPr>
            </w:pPr>
            <w:r>
              <w:rPr>
                <w:rFonts w:hint="eastAsia" w:ascii="方正仿宋_GBK" w:eastAsia="方正仿宋_GBK"/>
                <w:kern w:val="0"/>
                <w:sz w:val="24"/>
                <w:szCs w:val="24"/>
              </w:rPr>
              <w:t>区财政局</w:t>
            </w:r>
          </w:p>
        </w:tc>
      </w:tr>
      <w:tr>
        <w:tblPrEx>
          <w:tblCellMar>
            <w:top w:w="0" w:type="dxa"/>
            <w:left w:w="0" w:type="dxa"/>
            <w:bottom w:w="0" w:type="dxa"/>
            <w:right w:w="0" w:type="dxa"/>
          </w:tblCellMar>
        </w:tblPrEx>
        <w:trPr>
          <w:trHeight w:val="2396" w:hRule="atLeas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48．优化司法程序质量指数</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（1）加强商事审判专业化建设。进一步完善法院商事案件归口专门的审判庭、合议庭或商事审判团队审理的工作机制。</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优化审判管理和诉讼程序。完善法院审判流程管理，优化随机分案等案件管理程序。健全案件繁简分流机制。设置速裁庭或诉裁团队。提升小额诉讼程序适用率。试行跨域立案改革。积极引入社会第三方参与诉讼服务工作。不断完善审判流程公开、庭审活动公开、裁判文书公开、执行信息公开四大平台，深化司法公开。</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区法院</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kern w:val="0"/>
                <w:sz w:val="24"/>
                <w:szCs w:val="24"/>
              </w:rPr>
            </w:pPr>
          </w:p>
        </w:tc>
      </w:tr>
      <w:tr>
        <w:tblPrEx>
          <w:tblCellMar>
            <w:top w:w="0" w:type="dxa"/>
            <w:left w:w="0" w:type="dxa"/>
            <w:bottom w:w="0" w:type="dxa"/>
            <w:right w:w="0" w:type="dxa"/>
          </w:tblCellMar>
        </w:tblPrEx>
        <w:trPr>
          <w:trHeight w:val="1706"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spacing w:val="-20"/>
                <w:w w:val="90"/>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（3）健全替代性纠纷解决机制。加强外部调解主体引入，综合运用调解、仲裁、诉讼等多种方式，建设多元商事纠纷解决机制。全面落实律师调解试点工作，推进律师参与诉前调解、法院司法确认的工作机制。</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区法院</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区司法局、区财政局</w:t>
            </w:r>
          </w:p>
        </w:tc>
      </w:tr>
      <w:tr>
        <w:tblPrEx>
          <w:tblCellMar>
            <w:top w:w="0" w:type="dxa"/>
            <w:left w:w="0" w:type="dxa"/>
            <w:bottom w:w="0" w:type="dxa"/>
            <w:right w:w="0" w:type="dxa"/>
          </w:tblCellMar>
        </w:tblPrEx>
        <w:trPr>
          <w:trHeight w:val="1710" w:hRule="exact"/>
        </w:trPr>
        <w:tc>
          <w:tcPr>
            <w:tcW w:w="447" w:type="pct"/>
            <w:vMerge w:val="restart"/>
            <w:tcBorders>
              <w:top w:val="single" w:color="auto" w:sz="4" w:space="0"/>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十</w:t>
            </w:r>
            <w:r>
              <w:rPr>
                <w:rFonts w:hint="eastAsia" w:eastAsia="方正仿宋_GBK"/>
                <w:spacing w:val="-20"/>
                <w:w w:val="90"/>
                <w:kern w:val="0"/>
                <w:sz w:val="24"/>
                <w:szCs w:val="24"/>
              </w:rPr>
              <w:t>三</w:t>
            </w:r>
            <w:r>
              <w:rPr>
                <w:rFonts w:eastAsia="方正仿宋_GBK"/>
                <w:spacing w:val="-20"/>
                <w:w w:val="90"/>
                <w:kern w:val="0"/>
                <w:sz w:val="24"/>
                <w:szCs w:val="24"/>
              </w:rPr>
              <w:t>、劳动力市场监管</w:t>
            </w:r>
          </w:p>
        </w:tc>
        <w:tc>
          <w:tcPr>
            <w:tcW w:w="563" w:type="pct"/>
            <w:tcBorders>
              <w:top w:val="single" w:color="auto"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49．提升聘用审查效率</w:t>
            </w:r>
          </w:p>
        </w:tc>
        <w:tc>
          <w:tcPr>
            <w:tcW w:w="2548"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 2019 年底前将企业集体合同备案审查办理时限从 15个工作日压减至 10 个工作日。</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（2）2019 年底前将劳务派遣行政许可办理时限从 20 个工作日压减至 15 个工作日。</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（3）2019 年底前将特殊工作审批时间办理时限从 20 个工作日压减至 10 个工作日内。</w:t>
            </w:r>
          </w:p>
        </w:tc>
        <w:tc>
          <w:tcPr>
            <w:tcW w:w="708" w:type="pct"/>
            <w:gridSpan w:val="2"/>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区人力社保局</w:t>
            </w:r>
          </w:p>
        </w:tc>
        <w:tc>
          <w:tcPr>
            <w:tcW w:w="735" w:type="pct"/>
            <w:gridSpan w:val="2"/>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281" w:hRule="exact"/>
        </w:trPr>
        <w:tc>
          <w:tcPr>
            <w:tcW w:w="447" w:type="pct"/>
            <w:vMerge w:val="continue"/>
            <w:tcBorders>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50．严格执行工作时间规定</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督促企业落实职工法定标准工作时间制度。确因特殊情况和经济任务需延长工作时间的，按照国家规定安排职工补休或支付加班工资。不能实行标准工作时间制度的，须经人力社保局审批，实行特殊工时制度。</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区人力社保局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837" w:hRule="exact"/>
        </w:trPr>
        <w:tc>
          <w:tcPr>
            <w:tcW w:w="447" w:type="pct"/>
            <w:vMerge w:val="continue"/>
            <w:tcBorders>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51．妥善好裁员工作</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（1）企业裁减人员应当按照《中华人民共和国劳动合同法》规定的程序进行，包括征求工会和职工意见，提出、报告公布裁员方案。遵守优先留用人员、不得裁减人员及同等条件下优先招用被裁减人员的规定。</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（2）人力社保部门接到企业经济性裁员登记备案报告后，积极指导企业妥善做好裁减人员的相关工作，为企业提供各项劳动保障服务。</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区人力社保局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417"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2" w:leftChars="-1"/>
              <w:jc w:val="center"/>
              <w:rPr>
                <w:rFonts w:hint="eastAsia" w:ascii="方正仿宋_GBK" w:eastAsia="方正仿宋_GBK"/>
                <w:b/>
                <w:kern w:val="0"/>
                <w:sz w:val="24"/>
                <w:szCs w:val="24"/>
              </w:rPr>
            </w:pPr>
            <w:r>
              <w:rPr>
                <w:rFonts w:hint="eastAsia" w:ascii="方正仿宋_GBK" w:eastAsia="方正仿宋_GBK"/>
                <w:b/>
                <w:kern w:val="0"/>
                <w:sz w:val="24"/>
                <w:szCs w:val="24"/>
              </w:rPr>
              <w:t>目标任务</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573"/>
              <w:jc w:val="left"/>
              <w:rPr>
                <w:rFonts w:hint="eastAsia" w:ascii="方正仿宋_GBK" w:eastAsia="方正仿宋_GBK"/>
                <w:b/>
                <w:kern w:val="0"/>
                <w:sz w:val="24"/>
                <w:szCs w:val="24"/>
              </w:rPr>
            </w:pPr>
            <w:r>
              <w:rPr>
                <w:rFonts w:hint="eastAsia" w:ascii="方正仿宋_GBK" w:eastAsia="方正仿宋_GBK"/>
                <w:b/>
                <w:kern w:val="0"/>
                <w:sz w:val="24"/>
                <w:szCs w:val="24"/>
              </w:rPr>
              <w:t>工作措施</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19"/>
              <w:jc w:val="left"/>
              <w:rPr>
                <w:rFonts w:hint="eastAsia" w:ascii="方正仿宋_GBK" w:eastAsia="方正仿宋_GBK"/>
                <w:b/>
                <w:kern w:val="0"/>
                <w:sz w:val="24"/>
                <w:szCs w:val="24"/>
              </w:rPr>
            </w:pPr>
            <w:r>
              <w:rPr>
                <w:rFonts w:hint="eastAsia" w:ascii="方正仿宋_GBK" w:eastAsia="方正仿宋_GBK"/>
                <w:b/>
                <w:kern w:val="0"/>
                <w:sz w:val="24"/>
                <w:szCs w:val="24"/>
              </w:rPr>
              <w:t>牵头单位</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b/>
                <w:kern w:val="0"/>
                <w:sz w:val="24"/>
                <w:szCs w:val="24"/>
              </w:rPr>
            </w:pPr>
            <w:r>
              <w:rPr>
                <w:rFonts w:hint="eastAsia" w:ascii="方正仿宋_GBK" w:eastAsia="方正仿宋_GBK"/>
                <w:b/>
                <w:kern w:val="0"/>
                <w:sz w:val="24"/>
                <w:szCs w:val="24"/>
              </w:rPr>
              <w:t>配合单位</w:t>
            </w:r>
          </w:p>
        </w:tc>
      </w:tr>
      <w:tr>
        <w:tblPrEx>
          <w:tblCellMar>
            <w:top w:w="0" w:type="dxa"/>
            <w:left w:w="0" w:type="dxa"/>
            <w:bottom w:w="0" w:type="dxa"/>
            <w:right w:w="0" w:type="dxa"/>
          </w:tblCellMar>
        </w:tblPrEx>
        <w:trPr>
          <w:trHeight w:val="1681" w:hRule="atLeast"/>
        </w:trPr>
        <w:tc>
          <w:tcPr>
            <w:tcW w:w="44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十</w:t>
            </w:r>
            <w:r>
              <w:rPr>
                <w:rFonts w:hint="eastAsia" w:eastAsia="方正仿宋_GBK"/>
                <w:spacing w:val="-20"/>
                <w:w w:val="90"/>
                <w:kern w:val="0"/>
                <w:sz w:val="24"/>
                <w:szCs w:val="24"/>
              </w:rPr>
              <w:t>三</w:t>
            </w:r>
            <w:r>
              <w:rPr>
                <w:rFonts w:eastAsia="方正仿宋_GBK"/>
                <w:spacing w:val="-20"/>
                <w:w w:val="90"/>
                <w:kern w:val="0"/>
                <w:sz w:val="24"/>
                <w:szCs w:val="24"/>
              </w:rPr>
              <w:t>、劳动力市场监管</w:t>
            </w: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52．严格执行经济性裁员成本规定</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（1）保障被裁职工合法权益。企业经济性裁减人员，依法优先保障劳动者应得的工资报酬和社会保险费用，并按照《中华人民共和国劳动合同法》规定支付经济补偿。</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（2）强化裁员纠纷调解。对于经济性裁员，根据《中华人民共和国劳动合同法》《中华人民共和国劳动争议调解仲裁法》依法裁决。对于经济性裁员的劳动争议案件，优先适用调解原则。</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区人力社保局</w:t>
            </w:r>
          </w:p>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2412" w:hRule="atLeas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53．提升劳动力市场监管水平</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（1）及时处置化解劳资纠纷。因用人单位裁员引发群体性劳资纠纷的，辖区劳动保障监察机构按规定第一时间派员赴现场帮扶化解；不能现场处置的，引导劳动者正确合法维权。</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（2）开展和谐劳动关系企业创建活动。对 AAA 级和谐劳动关系企业开展多部门联合激励，每年新评定 AAA 级和谐劳动关系企业，扩充享受联合激励企业的规模。</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区人力社保局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2551" w:hRule="exact"/>
        </w:trPr>
        <w:tc>
          <w:tcPr>
            <w:tcW w:w="447" w:type="pct"/>
            <w:vMerge w:val="continue"/>
            <w:tcBorders>
              <w:top w:val="single" w:color="auto" w:sz="4" w:space="0"/>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restart"/>
            <w:tcBorders>
              <w:top w:val="single" w:color="auto" w:sz="4" w:space="0"/>
              <w:left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54．提升劳动力市场监管水平</w:t>
            </w:r>
          </w:p>
        </w:tc>
        <w:tc>
          <w:tcPr>
            <w:tcW w:w="2548" w:type="pct"/>
            <w:tcBorders>
              <w:top w:val="single" w:color="auto"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提升劳动力培训质量。鼓励支持企业开展岗位技能提升培训，促进企业转型升级和稳定就业岗位。加强劳动力市场用工指导和培训，对全区重点企业开展技师培训和企业新型学徒制培训。对有就业意愿的劳动力按照市场需求开展职业技能培训和创业培训。强化培训全程监管、培训实名制动态监管，加强开班申请、过程监管、补贴审核风险点防控，确保培训补贴资金安全运行。2019 年底前开展职业培训 9815人次。</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区人力社保局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852" w:hRule="exact"/>
        </w:trPr>
        <w:tc>
          <w:tcPr>
            <w:tcW w:w="447" w:type="pct"/>
            <w:vMerge w:val="continue"/>
            <w:tcBorders>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continue"/>
            <w:tcBorders>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spacing w:val="-20"/>
                <w:w w:val="90"/>
                <w:kern w:val="0"/>
                <w:sz w:val="24"/>
                <w:szCs w:val="24"/>
              </w:rPr>
            </w:pPr>
          </w:p>
        </w:tc>
        <w:tc>
          <w:tcPr>
            <w:tcW w:w="2548"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4）提升就业服务水平。就业经办服务打破区县之间的地域限制，实行“全渝通办”。出台城乡一体化的就业政策，推动城乡劳动者享受均等化的公共就业服务。落实社保补贴等扶持政策，促进市外来区高校毕业生就业创业。2022年底前，依托全市统一的智能公共就业服务信息化平台，实现就业政策网上申报，网上经办，申领补贴“不跑路”。</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区人力社保局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379"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2" w:leftChars="-1"/>
              <w:jc w:val="center"/>
              <w:rPr>
                <w:rFonts w:hint="eastAsia" w:ascii="方正仿宋_GBK" w:eastAsia="方正仿宋_GBK"/>
                <w:b/>
                <w:kern w:val="0"/>
                <w:sz w:val="24"/>
                <w:szCs w:val="24"/>
              </w:rPr>
            </w:pPr>
            <w:r>
              <w:rPr>
                <w:rFonts w:hint="eastAsia" w:ascii="方正仿宋_GBK" w:eastAsia="方正仿宋_GBK"/>
                <w:b/>
                <w:kern w:val="0"/>
                <w:sz w:val="24"/>
                <w:szCs w:val="24"/>
              </w:rPr>
              <w:t>目标任务</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573"/>
              <w:jc w:val="left"/>
              <w:rPr>
                <w:rFonts w:hint="eastAsia" w:ascii="方正仿宋_GBK" w:eastAsia="方正仿宋_GBK"/>
                <w:b/>
                <w:kern w:val="0"/>
                <w:sz w:val="24"/>
                <w:szCs w:val="24"/>
              </w:rPr>
            </w:pPr>
            <w:r>
              <w:rPr>
                <w:rFonts w:hint="eastAsia" w:ascii="方正仿宋_GBK" w:eastAsia="方正仿宋_GBK"/>
                <w:b/>
                <w:kern w:val="0"/>
                <w:sz w:val="24"/>
                <w:szCs w:val="24"/>
              </w:rPr>
              <w:t>工作措施</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19"/>
              <w:jc w:val="left"/>
              <w:rPr>
                <w:rFonts w:hint="eastAsia" w:ascii="方正仿宋_GBK" w:eastAsia="方正仿宋_GBK"/>
                <w:b/>
                <w:kern w:val="0"/>
                <w:sz w:val="24"/>
                <w:szCs w:val="24"/>
              </w:rPr>
            </w:pPr>
            <w:r>
              <w:rPr>
                <w:rFonts w:hint="eastAsia" w:ascii="方正仿宋_GBK" w:eastAsia="方正仿宋_GBK"/>
                <w:b/>
                <w:kern w:val="0"/>
                <w:sz w:val="24"/>
                <w:szCs w:val="24"/>
              </w:rPr>
              <w:t>牵头单位</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b/>
                <w:kern w:val="0"/>
                <w:sz w:val="24"/>
                <w:szCs w:val="24"/>
              </w:rPr>
            </w:pPr>
            <w:r>
              <w:rPr>
                <w:rFonts w:hint="eastAsia" w:ascii="方正仿宋_GBK" w:eastAsia="方正仿宋_GBK"/>
                <w:b/>
                <w:kern w:val="0"/>
                <w:sz w:val="24"/>
                <w:szCs w:val="24"/>
              </w:rPr>
              <w:t>配合单位</w:t>
            </w:r>
          </w:p>
        </w:tc>
      </w:tr>
      <w:tr>
        <w:tblPrEx>
          <w:tblCellMar>
            <w:top w:w="0" w:type="dxa"/>
            <w:left w:w="0" w:type="dxa"/>
            <w:bottom w:w="0" w:type="dxa"/>
            <w:right w:w="0" w:type="dxa"/>
          </w:tblCellMar>
        </w:tblPrEx>
        <w:trPr>
          <w:trHeight w:val="749" w:hRule="exact"/>
        </w:trPr>
        <w:tc>
          <w:tcPr>
            <w:tcW w:w="447" w:type="pct"/>
            <w:vMerge w:val="restart"/>
            <w:tcBorders>
              <w:top w:val="single" w:color="auto" w:sz="4" w:space="0"/>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十</w:t>
            </w:r>
            <w:r>
              <w:rPr>
                <w:rFonts w:hint="eastAsia" w:eastAsia="方正仿宋_GBK"/>
                <w:spacing w:val="-20"/>
                <w:w w:val="90"/>
                <w:kern w:val="0"/>
                <w:sz w:val="24"/>
                <w:szCs w:val="24"/>
              </w:rPr>
              <w:t>四</w:t>
            </w:r>
            <w:r>
              <w:rPr>
                <w:rFonts w:eastAsia="方正仿宋_GBK"/>
                <w:spacing w:val="-20"/>
                <w:w w:val="90"/>
                <w:kern w:val="0"/>
                <w:sz w:val="24"/>
                <w:szCs w:val="24"/>
              </w:rPr>
              <w:t>、政府采购</w:t>
            </w:r>
          </w:p>
          <w:p>
            <w:pPr>
              <w:autoSpaceDE w:val="0"/>
              <w:autoSpaceDN w:val="0"/>
              <w:adjustRightInd w:val="0"/>
              <w:spacing w:line="240" w:lineRule="exact"/>
              <w:ind w:left="16"/>
              <w:jc w:val="left"/>
              <w:rPr>
                <w:rFonts w:eastAsia="方正仿宋_GBK"/>
                <w:spacing w:val="-20"/>
                <w:w w:val="90"/>
                <w:kern w:val="0"/>
                <w:sz w:val="24"/>
                <w:szCs w:val="24"/>
              </w:rPr>
            </w:pPr>
          </w:p>
        </w:tc>
        <w:tc>
          <w:tcPr>
            <w:tcW w:w="563"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55．完善电子采购平台</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（1）2019 年底前全面推广网上采购模式。</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（2）推行政府采购电子招投标，2021 年底前实现公开招标项目以电子招投标方式为主组织实施。</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区财政局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区政务办</w:t>
            </w:r>
          </w:p>
        </w:tc>
      </w:tr>
      <w:tr>
        <w:tblPrEx>
          <w:tblCellMar>
            <w:top w:w="0" w:type="dxa"/>
            <w:left w:w="0" w:type="dxa"/>
            <w:bottom w:w="0" w:type="dxa"/>
            <w:right w:w="0" w:type="dxa"/>
          </w:tblCellMar>
        </w:tblPrEx>
        <w:trPr>
          <w:trHeight w:val="986" w:hRule="exact"/>
        </w:trPr>
        <w:tc>
          <w:tcPr>
            <w:tcW w:w="447" w:type="pct"/>
            <w:vMerge w:val="continue"/>
            <w:tcBorders>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56．优化采购流程</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（1）精简业务环节，优化企业参与采购活动的流程。</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（2）取消中小企业证明材料，优化企业享受政府采购扶持政策流程。</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区财政局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859" w:hRule="exact"/>
        </w:trPr>
        <w:tc>
          <w:tcPr>
            <w:tcW w:w="447" w:type="pct"/>
            <w:vMerge w:val="continue"/>
            <w:tcBorders>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57．规范采购结果确定和合同签订</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（1）加强政策宣传、组织业务员培训、开展监督检查，督促采购人依法及时确定采购结果，严格按照采购事项签订和履行合同。</w:t>
            </w:r>
          </w:p>
          <w:p>
            <w:pPr>
              <w:autoSpaceDE w:val="0"/>
              <w:autoSpaceDN w:val="0"/>
              <w:adjustRightInd w:val="0"/>
              <w:spacing w:line="240" w:lineRule="exact"/>
              <w:jc w:val="left"/>
              <w:rPr>
                <w:rFonts w:hint="eastAsia" w:ascii="方正仿宋_GBK" w:eastAsia="方正仿宋_GBK"/>
                <w:spacing w:val="-20"/>
                <w:w w:val="90"/>
                <w:kern w:val="0"/>
                <w:sz w:val="24"/>
                <w:szCs w:val="24"/>
              </w:rPr>
            </w:pP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区财政局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970" w:hRule="exact"/>
        </w:trPr>
        <w:tc>
          <w:tcPr>
            <w:tcW w:w="447" w:type="pct"/>
            <w:vMerge w:val="continue"/>
            <w:tcBorders>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58．强化合同管理</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2019 年底前联通政府采购内外网业务管理系统，实现政府采购合同公示、备案一体化管理，规范合同管理，提升工作效率和监管效果。</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区财政局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707" w:hRule="exact"/>
        </w:trPr>
        <w:tc>
          <w:tcPr>
            <w:tcW w:w="447" w:type="pct"/>
            <w:vMerge w:val="continue"/>
            <w:tcBorders>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59．加强支付和交付监管</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（1）督促采购人在项目完成后及时进行履约验收，并出具验收书，不得无故拖延、附加额外条件。</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（2）督促采购人按照项目进度及政府采购合同约定支付采购资金，不得无故拖欠资金。</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（3）建立定期督查机制，严肃处理政府采购资金支付不及时等问题。</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区财政局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697" w:hRule="exact"/>
        </w:trPr>
        <w:tc>
          <w:tcPr>
            <w:tcW w:w="447" w:type="pct"/>
            <w:vMerge w:val="restart"/>
            <w:tcBorders>
              <w:top w:val="single" w:color="000000" w:sz="4" w:space="0"/>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十</w:t>
            </w:r>
            <w:r>
              <w:rPr>
                <w:rFonts w:hint="eastAsia" w:eastAsia="方正仿宋_GBK"/>
                <w:spacing w:val="-20"/>
                <w:w w:val="90"/>
                <w:kern w:val="0"/>
                <w:sz w:val="24"/>
                <w:szCs w:val="24"/>
              </w:rPr>
              <w:t>五</w:t>
            </w:r>
            <w:r>
              <w:rPr>
                <w:rFonts w:eastAsia="方正仿宋_GBK"/>
                <w:spacing w:val="-20"/>
                <w:w w:val="90"/>
                <w:kern w:val="0"/>
                <w:sz w:val="24"/>
                <w:szCs w:val="24"/>
              </w:rPr>
              <w:t>、招标投标</w:t>
            </w:r>
          </w:p>
        </w:tc>
        <w:tc>
          <w:tcPr>
            <w:tcW w:w="563" w:type="pct"/>
            <w:vMerge w:val="restart"/>
            <w:tcBorders>
              <w:top w:val="single" w:color="000000" w:sz="4" w:space="0"/>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60．大力推行“互联网+招标采购”</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（1）推动电子招投标系统建设。</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区公共资源交易中心</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区政务办</w:t>
            </w:r>
          </w:p>
        </w:tc>
      </w:tr>
      <w:tr>
        <w:tblPrEx>
          <w:tblCellMar>
            <w:top w:w="0" w:type="dxa"/>
            <w:left w:w="0" w:type="dxa"/>
            <w:bottom w:w="0" w:type="dxa"/>
            <w:right w:w="0" w:type="dxa"/>
          </w:tblCellMar>
        </w:tblPrEx>
        <w:trPr>
          <w:trHeight w:val="862" w:hRule="exact"/>
        </w:trPr>
        <w:tc>
          <w:tcPr>
            <w:tcW w:w="447" w:type="pct"/>
            <w:vMerge w:val="continue"/>
            <w:tcBorders>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continue"/>
            <w:tcBorders>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（2）推广全流程电子招投标。提高电子交易比例，2020年底前全区招标投标项目基本实现交易、监督、信息发布全流程电子化。</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区政务办</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区公共资源交易中心</w:t>
            </w:r>
          </w:p>
        </w:tc>
      </w:tr>
      <w:tr>
        <w:tblPrEx>
          <w:tblCellMar>
            <w:top w:w="0" w:type="dxa"/>
            <w:left w:w="0" w:type="dxa"/>
            <w:bottom w:w="0" w:type="dxa"/>
            <w:right w:w="0" w:type="dxa"/>
          </w:tblCellMar>
        </w:tblPrEx>
        <w:trPr>
          <w:trHeight w:val="1131" w:hRule="exact"/>
        </w:trPr>
        <w:tc>
          <w:tcPr>
            <w:tcW w:w="447" w:type="pct"/>
            <w:vMerge w:val="continue"/>
            <w:tcBorders>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61．严格投标和履约担保管理</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（1）投标保证金由市公共资源交易中心集中代收代管。对具备保证金结算条件的银行在准入、运行中公平对待。</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（2）招标人提出退还投标保证金的，在 2 个工作日内办结</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区公共资源交易中心</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567"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2" w:leftChars="-1"/>
              <w:jc w:val="center"/>
              <w:rPr>
                <w:rFonts w:hint="eastAsia" w:ascii="方正仿宋_GBK" w:eastAsia="方正仿宋_GBK"/>
                <w:b/>
                <w:kern w:val="0"/>
                <w:sz w:val="24"/>
                <w:szCs w:val="24"/>
              </w:rPr>
            </w:pPr>
            <w:r>
              <w:rPr>
                <w:rFonts w:hint="eastAsia" w:ascii="方正仿宋_GBK" w:eastAsia="方正仿宋_GBK"/>
                <w:b/>
                <w:kern w:val="0"/>
                <w:sz w:val="24"/>
                <w:szCs w:val="24"/>
              </w:rPr>
              <w:t>目标任务</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573"/>
              <w:jc w:val="left"/>
              <w:rPr>
                <w:rFonts w:hint="eastAsia" w:ascii="方正仿宋_GBK" w:eastAsia="方正仿宋_GBK"/>
                <w:b/>
                <w:kern w:val="0"/>
                <w:sz w:val="24"/>
                <w:szCs w:val="24"/>
              </w:rPr>
            </w:pPr>
            <w:r>
              <w:rPr>
                <w:rFonts w:hint="eastAsia" w:ascii="方正仿宋_GBK" w:eastAsia="方正仿宋_GBK"/>
                <w:b/>
                <w:kern w:val="0"/>
                <w:sz w:val="24"/>
                <w:szCs w:val="24"/>
              </w:rPr>
              <w:t>工作措施</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19"/>
              <w:jc w:val="left"/>
              <w:rPr>
                <w:rFonts w:hint="eastAsia" w:ascii="方正仿宋_GBK" w:eastAsia="方正仿宋_GBK"/>
                <w:b/>
                <w:kern w:val="0"/>
                <w:sz w:val="24"/>
                <w:szCs w:val="24"/>
              </w:rPr>
            </w:pPr>
            <w:r>
              <w:rPr>
                <w:rFonts w:hint="eastAsia" w:ascii="方正仿宋_GBK" w:eastAsia="方正仿宋_GBK"/>
                <w:b/>
                <w:kern w:val="0"/>
                <w:sz w:val="24"/>
                <w:szCs w:val="24"/>
              </w:rPr>
              <w:t>牵头单位</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b/>
                <w:kern w:val="0"/>
                <w:sz w:val="24"/>
                <w:szCs w:val="24"/>
              </w:rPr>
            </w:pPr>
            <w:r>
              <w:rPr>
                <w:rFonts w:hint="eastAsia" w:ascii="方正仿宋_GBK" w:eastAsia="方正仿宋_GBK"/>
                <w:b/>
                <w:kern w:val="0"/>
                <w:sz w:val="24"/>
                <w:szCs w:val="24"/>
              </w:rPr>
              <w:t>配合单位</w:t>
            </w:r>
          </w:p>
        </w:tc>
      </w:tr>
      <w:tr>
        <w:tblPrEx>
          <w:tblCellMar>
            <w:top w:w="0" w:type="dxa"/>
            <w:left w:w="0" w:type="dxa"/>
            <w:bottom w:w="0" w:type="dxa"/>
            <w:right w:w="0" w:type="dxa"/>
          </w:tblCellMar>
        </w:tblPrEx>
        <w:trPr>
          <w:trHeight w:val="1976" w:hRule="exact"/>
        </w:trPr>
        <w:tc>
          <w:tcPr>
            <w:tcW w:w="447"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十五、招标投标</w:t>
            </w:r>
          </w:p>
        </w:tc>
        <w:tc>
          <w:tcPr>
            <w:tcW w:w="56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62．建立公平有效的投诉机制</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进一步完善招标投标投诉、受理、调查、处理流程。依法查处违法违规行为，规范行政处罚自由裁量权，促进招标投标市场健康有序发展。</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区政务办</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区司法局</w:t>
            </w:r>
          </w:p>
        </w:tc>
      </w:tr>
      <w:tr>
        <w:tblPrEx>
          <w:tblCellMar>
            <w:top w:w="0" w:type="dxa"/>
            <w:left w:w="0" w:type="dxa"/>
            <w:bottom w:w="0" w:type="dxa"/>
            <w:right w:w="0" w:type="dxa"/>
          </w:tblCellMar>
        </w:tblPrEx>
        <w:trPr>
          <w:trHeight w:val="1427" w:hRule="exact"/>
        </w:trPr>
        <w:tc>
          <w:tcPr>
            <w:tcW w:w="44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十六、政务服务</w:t>
            </w:r>
          </w:p>
        </w:tc>
        <w:tc>
          <w:tcPr>
            <w:tcW w:w="563" w:type="pct"/>
            <w:vMerge w:val="restart"/>
            <w:tcBorders>
              <w:left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63．提升网上政务服务能力</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实现网上办理事项清单全覆盖。全面梳理行政权力和公共服务事项，规范办事流程、材料等要求，执行全市统一的“四级四同”清单及标准化规范化办事指南并动态调整。推动依申请行使的行政许可、行政确认等 6 类行政权力网上办理，实现应上尽上。</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区政务办、区司法局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702"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vMerge w:val="continue"/>
            <w:tcBorders>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（2）提高网上全流程办理比例。推动服务事项全流程网上办理，实现区级 70%以上依申请类政务服务事项网上申办。建立网上预审机制，及时推送预审结果，一次性告知需补正材料。推动开办企业、工程建设项目审批、不动产登记等重点事项跨部门协同审批，大幅提升办理效率。</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区政务办</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区市场监管局、区住房城乡建委、区规划自然资源局、区不动产登记中心</w:t>
            </w:r>
          </w:p>
        </w:tc>
      </w:tr>
      <w:tr>
        <w:tblPrEx>
          <w:tblCellMar>
            <w:top w:w="0" w:type="dxa"/>
            <w:left w:w="0" w:type="dxa"/>
            <w:bottom w:w="0" w:type="dxa"/>
            <w:right w:w="0" w:type="dxa"/>
          </w:tblCellMar>
        </w:tblPrEx>
        <w:trPr>
          <w:trHeight w:val="1002"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restart"/>
            <w:tcBorders>
              <w:top w:val="single" w:color="000000" w:sz="4" w:space="0"/>
              <w:left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64．提高政务服务事项便利度</w:t>
            </w:r>
          </w:p>
          <w:p>
            <w:pPr>
              <w:autoSpaceDE w:val="0"/>
              <w:autoSpaceDN w:val="0"/>
              <w:adjustRightInd w:val="0"/>
              <w:spacing w:line="240" w:lineRule="exact"/>
              <w:jc w:val="left"/>
              <w:rPr>
                <w:rFonts w:hint="eastAsia" w:ascii="方正仿宋_GBK" w:eastAsia="方正仿宋_GBK"/>
                <w:spacing w:val="-20"/>
                <w:w w:val="90"/>
                <w:kern w:val="0"/>
                <w:sz w:val="24"/>
                <w:szCs w:val="24"/>
              </w:rPr>
            </w:pP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（1）深化一窗受理、集成服务。加快形成以跨部门综合窗口服务为主、部门专窗服务为辅的综合服务模式，提高进驻综合窗口事项比例。区县政务服务事项进驻综合实体大厅比例达 80%以上。</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区政务办</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272"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continue"/>
            <w:tcBorders>
              <w:left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（2）推进政务服务线上线下深度融合。推进政务服务事项就近能办、网上直办、异地可办。推进政务服务窗口端、PC端、移动端、自助端“四端同步”服务，实现各层级各部门数据动态同步。</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区政务办、区政府信息中心</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843"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kern w:val="0"/>
                <w:sz w:val="24"/>
                <w:szCs w:val="24"/>
              </w:rPr>
            </w:pPr>
          </w:p>
        </w:tc>
        <w:tc>
          <w:tcPr>
            <w:tcW w:w="563" w:type="pct"/>
            <w:vMerge w:val="continue"/>
            <w:tcBorders>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强化服务能力支撑。完善政务服务平台身份认证、公共支付、物流配送、实现政府部门签发的各类证件、执（牌）照、批文、鉴定报告、证明材料等统一编目管理和规范采集入库，推进“一企一档、一人一档，在线核验、在线打印”，逐步实现政府类证照、批文、证明等材料全方位在线互认共享。</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区政府信息中心</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w:t>
            </w:r>
          </w:p>
        </w:tc>
      </w:tr>
      <w:tr>
        <w:tblPrEx>
          <w:tblCellMar>
            <w:top w:w="0" w:type="dxa"/>
            <w:left w:w="0" w:type="dxa"/>
            <w:bottom w:w="0" w:type="dxa"/>
            <w:right w:w="0" w:type="dxa"/>
          </w:tblCellMar>
        </w:tblPrEx>
        <w:trPr>
          <w:trHeight w:val="567"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2" w:leftChars="-1"/>
              <w:jc w:val="center"/>
              <w:rPr>
                <w:rFonts w:eastAsia="方正仿宋_GBK"/>
                <w:b/>
                <w:kern w:val="0"/>
                <w:sz w:val="24"/>
                <w:szCs w:val="24"/>
              </w:rPr>
            </w:pPr>
            <w:r>
              <w:rPr>
                <w:rFonts w:eastAsia="方正仿宋_GBK"/>
                <w:b/>
                <w:kern w:val="0"/>
                <w:sz w:val="24"/>
                <w:szCs w:val="24"/>
              </w:rPr>
              <w:t>目标任务</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573"/>
              <w:jc w:val="left"/>
              <w:rPr>
                <w:rFonts w:eastAsia="方正仿宋_GBK"/>
                <w:b/>
                <w:kern w:val="0"/>
                <w:sz w:val="24"/>
                <w:szCs w:val="24"/>
              </w:rPr>
            </w:pPr>
            <w:r>
              <w:rPr>
                <w:rFonts w:eastAsia="方正仿宋_GBK"/>
                <w:b/>
                <w:kern w:val="0"/>
                <w:sz w:val="24"/>
                <w:szCs w:val="24"/>
              </w:rPr>
              <w:t>工作措施</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19"/>
              <w:jc w:val="left"/>
              <w:rPr>
                <w:rFonts w:eastAsia="方正仿宋_GBK"/>
                <w:b/>
                <w:kern w:val="0"/>
                <w:sz w:val="24"/>
                <w:szCs w:val="24"/>
              </w:rPr>
            </w:pPr>
            <w:r>
              <w:rPr>
                <w:rFonts w:eastAsia="方正仿宋_GBK"/>
                <w:b/>
                <w:kern w:val="0"/>
                <w:sz w:val="24"/>
                <w:szCs w:val="24"/>
              </w:rPr>
              <w:t>牵头单位</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eastAsia="方正仿宋_GBK"/>
                <w:b/>
                <w:kern w:val="0"/>
                <w:sz w:val="24"/>
                <w:szCs w:val="24"/>
              </w:rPr>
            </w:pPr>
            <w:r>
              <w:rPr>
                <w:rFonts w:eastAsia="方正仿宋_GBK"/>
                <w:b/>
                <w:kern w:val="0"/>
                <w:sz w:val="24"/>
                <w:szCs w:val="24"/>
              </w:rPr>
              <w:t>配合单位</w:t>
            </w:r>
          </w:p>
        </w:tc>
      </w:tr>
      <w:tr>
        <w:tblPrEx>
          <w:tblCellMar>
            <w:top w:w="0" w:type="dxa"/>
            <w:left w:w="0" w:type="dxa"/>
            <w:bottom w:w="0" w:type="dxa"/>
            <w:right w:w="0" w:type="dxa"/>
          </w:tblCellMar>
        </w:tblPrEx>
        <w:trPr>
          <w:trHeight w:val="2127" w:hRule="exact"/>
        </w:trPr>
        <w:tc>
          <w:tcPr>
            <w:tcW w:w="44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十六、政务服务</w:t>
            </w:r>
          </w:p>
          <w:p>
            <w:pPr>
              <w:autoSpaceDE w:val="0"/>
              <w:autoSpaceDN w:val="0"/>
              <w:adjustRightInd w:val="0"/>
              <w:spacing w:line="240" w:lineRule="exact"/>
              <w:jc w:val="left"/>
              <w:rPr>
                <w:rFonts w:hint="eastAsia" w:ascii="方正仿宋_GBK" w:eastAsia="方正仿宋_GBK"/>
                <w:spacing w:val="-20"/>
                <w:w w:val="90"/>
                <w:kern w:val="0"/>
                <w:sz w:val="24"/>
                <w:szCs w:val="24"/>
              </w:rPr>
            </w:pPr>
          </w:p>
        </w:tc>
        <w:tc>
          <w:tcPr>
            <w:tcW w:w="563"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65．提高政务服务满意度</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（1）打造利企便民“政策直通车”。依托“渝快办”建立“政策直通车”，分类提供政策文件和权威解读，实现利企便民政策全景展示、精准推送、“一站式”发布，增强企业和群众获得感。</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区政务办</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2128"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（2）建立政务服务“好差评”制度。完善政务服务评价标准，拓宽评价渠道，建立差评复核机制，强化结果运用，倒逼政务服务部门转变作风、优化服务、提升效能。</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区政务办、区政府督查办</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002" w:hRule="exact"/>
        </w:trPr>
        <w:tc>
          <w:tcPr>
            <w:tcW w:w="447" w:type="pct"/>
            <w:vMerge w:val="continue"/>
            <w:tcBorders>
              <w:top w:val="single" w:color="auto" w:sz="4" w:space="0"/>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restart"/>
            <w:tcBorders>
              <w:top w:val="single" w:color="auto" w:sz="4" w:space="0"/>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66．推进与国家政务服务平台数据共享</w:t>
            </w:r>
          </w:p>
        </w:tc>
        <w:tc>
          <w:tcPr>
            <w:tcW w:w="2548" w:type="pct"/>
            <w:tcBorders>
              <w:top w:val="single" w:color="auto"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（1）全面对接国家政务服务平台。落实全市政务数据资源共享和标准化建设要求，实现政务数据内容统一规范、系统深度融合、事项集中发布、服务集中提供、运维统一监控、安全协调联动</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区政府信息中心</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w:t>
            </w:r>
          </w:p>
        </w:tc>
      </w:tr>
      <w:tr>
        <w:tblPrEx>
          <w:tblCellMar>
            <w:top w:w="0" w:type="dxa"/>
            <w:left w:w="0" w:type="dxa"/>
            <w:bottom w:w="0" w:type="dxa"/>
            <w:right w:w="0" w:type="dxa"/>
          </w:tblCellMar>
        </w:tblPrEx>
        <w:trPr>
          <w:trHeight w:val="846" w:hRule="exact"/>
        </w:trPr>
        <w:tc>
          <w:tcPr>
            <w:tcW w:w="447" w:type="pct"/>
            <w:vMerge w:val="continue"/>
            <w:tcBorders>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continue"/>
            <w:tcBorders>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（2）健全数据共享机制。统一数据标准、接口，推动部门间数据资源有序共享。基本实现能通过数据共享获取的、能通过网络核验的、前序流程已收取的材料不再提交。</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区经济信息委、区政府信息中心</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999" w:hRule="exact"/>
        </w:trPr>
        <w:tc>
          <w:tcPr>
            <w:tcW w:w="447" w:type="pct"/>
            <w:vMerge w:val="continue"/>
            <w:tcBorders>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continue"/>
            <w:tcBorders>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（3）强化数据安全保障。建设城市大数据资源中心，完善政务数据资源共享系统。加强建设城市大数据资源中心安全防护，落实数据安全责任，完善安全防护机制。</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区委网信办</w:t>
            </w:r>
          </w:p>
        </w:tc>
      </w:tr>
      <w:tr>
        <w:tblPrEx>
          <w:tblCellMar>
            <w:top w:w="0" w:type="dxa"/>
            <w:left w:w="0" w:type="dxa"/>
            <w:bottom w:w="0" w:type="dxa"/>
            <w:right w:w="0" w:type="dxa"/>
          </w:tblCellMar>
        </w:tblPrEx>
        <w:trPr>
          <w:trHeight w:val="1693" w:hRule="exact"/>
        </w:trPr>
        <w:tc>
          <w:tcPr>
            <w:tcW w:w="44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十</w:t>
            </w:r>
            <w:r>
              <w:rPr>
                <w:rFonts w:hint="eastAsia" w:eastAsia="方正仿宋_GBK"/>
                <w:spacing w:val="-20"/>
                <w:w w:val="90"/>
                <w:kern w:val="0"/>
                <w:sz w:val="24"/>
                <w:szCs w:val="24"/>
              </w:rPr>
              <w:t>七</w:t>
            </w:r>
            <w:r>
              <w:rPr>
                <w:rFonts w:eastAsia="方正仿宋_GBK"/>
                <w:spacing w:val="-20"/>
                <w:w w:val="90"/>
                <w:kern w:val="0"/>
                <w:sz w:val="24"/>
                <w:szCs w:val="24"/>
              </w:rPr>
              <w:t>、知识产权创造、保护和运用</w:t>
            </w:r>
          </w:p>
        </w:tc>
        <w:tc>
          <w:tcPr>
            <w:tcW w:w="563"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67．提高知识产权创造质量</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1）2019年底前实现万人发明专利拥有量达到25件以上；万户市场主体商标拥有量达到1500件以上。围绕全区重点产业和“芯器核网服”关键技术领域，积极组织企业申报重庆市2019年度高价值专利培育计划项目，力争今年完成2个高价值专利培训项目。积极配合市局建设高价值专利培育示范中心，培育高价值核心专利（组合）。</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区市场监管局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color w:val="000000"/>
                <w:spacing w:val="-20"/>
                <w:w w:val="90"/>
                <w:kern w:val="0"/>
                <w:sz w:val="24"/>
                <w:szCs w:val="24"/>
              </w:rPr>
            </w:pPr>
            <w:r>
              <w:rPr>
                <w:rFonts w:hint="eastAsia" w:ascii="方正仿宋_GBK" w:eastAsia="方正仿宋_GBK"/>
                <w:color w:val="000000"/>
                <w:spacing w:val="-20"/>
                <w:w w:val="90"/>
                <w:kern w:val="0"/>
                <w:sz w:val="24"/>
                <w:szCs w:val="24"/>
              </w:rPr>
              <w:t>区科技局</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区经济信息委</w:t>
            </w:r>
          </w:p>
        </w:tc>
      </w:tr>
      <w:tr>
        <w:tblPrEx>
          <w:tblCellMar>
            <w:top w:w="0" w:type="dxa"/>
            <w:left w:w="0" w:type="dxa"/>
            <w:bottom w:w="0" w:type="dxa"/>
            <w:right w:w="0" w:type="dxa"/>
          </w:tblCellMar>
        </w:tblPrEx>
        <w:trPr>
          <w:trHeight w:val="1420"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2）加快培育知识产权优势企业，积极组织企业申报国家知识产权示范企业和优势企业，督导示范企业和优势企业完成2019年度考核复核工作，对获得国家知识产权示范和优势企业称号的单位给予资助支持。培育知识产权优势企业8家以上。</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区市场监管局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区财政局</w:t>
            </w:r>
          </w:p>
        </w:tc>
      </w:tr>
      <w:tr>
        <w:tblPrEx>
          <w:tblCellMar>
            <w:top w:w="0" w:type="dxa"/>
            <w:left w:w="0" w:type="dxa"/>
            <w:bottom w:w="0" w:type="dxa"/>
            <w:right w:w="0" w:type="dxa"/>
          </w:tblCellMar>
        </w:tblPrEx>
        <w:trPr>
          <w:trHeight w:val="566"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2" w:leftChars="-1"/>
              <w:jc w:val="center"/>
              <w:rPr>
                <w:rFonts w:hint="eastAsia" w:ascii="方正仿宋_GBK" w:eastAsia="方正仿宋_GBK"/>
                <w:b/>
                <w:kern w:val="0"/>
                <w:sz w:val="24"/>
                <w:szCs w:val="24"/>
              </w:rPr>
            </w:pPr>
            <w:r>
              <w:rPr>
                <w:rFonts w:hint="eastAsia" w:ascii="方正仿宋_GBK" w:eastAsia="方正仿宋_GBK"/>
                <w:b/>
                <w:kern w:val="0"/>
                <w:sz w:val="24"/>
                <w:szCs w:val="24"/>
              </w:rPr>
              <w:t>目标任务</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573"/>
              <w:jc w:val="left"/>
              <w:rPr>
                <w:rFonts w:hint="eastAsia" w:ascii="方正仿宋_GBK" w:eastAsia="方正仿宋_GBK"/>
                <w:b/>
                <w:kern w:val="0"/>
                <w:sz w:val="24"/>
                <w:szCs w:val="24"/>
              </w:rPr>
            </w:pPr>
            <w:r>
              <w:rPr>
                <w:rFonts w:hint="eastAsia" w:ascii="方正仿宋_GBK" w:eastAsia="方正仿宋_GBK"/>
                <w:b/>
                <w:kern w:val="0"/>
                <w:sz w:val="24"/>
                <w:szCs w:val="24"/>
              </w:rPr>
              <w:t>工作措施</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19"/>
              <w:jc w:val="left"/>
              <w:rPr>
                <w:rFonts w:hint="eastAsia" w:ascii="方正仿宋_GBK" w:eastAsia="方正仿宋_GBK"/>
                <w:b/>
                <w:kern w:val="0"/>
                <w:sz w:val="24"/>
                <w:szCs w:val="24"/>
              </w:rPr>
            </w:pPr>
            <w:r>
              <w:rPr>
                <w:rFonts w:hint="eastAsia" w:ascii="方正仿宋_GBK" w:eastAsia="方正仿宋_GBK"/>
                <w:b/>
                <w:kern w:val="0"/>
                <w:sz w:val="24"/>
                <w:szCs w:val="24"/>
              </w:rPr>
              <w:t>牵头单位</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b/>
                <w:kern w:val="0"/>
                <w:sz w:val="24"/>
                <w:szCs w:val="24"/>
              </w:rPr>
            </w:pPr>
            <w:r>
              <w:rPr>
                <w:rFonts w:hint="eastAsia" w:ascii="方正仿宋_GBK" w:eastAsia="方正仿宋_GBK"/>
                <w:b/>
                <w:kern w:val="0"/>
                <w:sz w:val="24"/>
                <w:szCs w:val="24"/>
              </w:rPr>
              <w:t>配合单位</w:t>
            </w:r>
          </w:p>
        </w:tc>
      </w:tr>
      <w:tr>
        <w:tblPrEx>
          <w:tblCellMar>
            <w:top w:w="0" w:type="dxa"/>
            <w:left w:w="0" w:type="dxa"/>
            <w:bottom w:w="0" w:type="dxa"/>
            <w:right w:w="0" w:type="dxa"/>
          </w:tblCellMar>
        </w:tblPrEx>
        <w:trPr>
          <w:trHeight w:val="1406" w:hRule="exact"/>
        </w:trPr>
        <w:tc>
          <w:tcPr>
            <w:tcW w:w="44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十</w:t>
            </w:r>
            <w:r>
              <w:rPr>
                <w:rFonts w:hint="eastAsia" w:eastAsia="方正仿宋_GBK"/>
                <w:spacing w:val="-20"/>
                <w:w w:val="90"/>
                <w:kern w:val="0"/>
                <w:sz w:val="24"/>
                <w:szCs w:val="24"/>
              </w:rPr>
              <w:t>七</w:t>
            </w:r>
            <w:r>
              <w:rPr>
                <w:rFonts w:eastAsia="方正仿宋_GBK"/>
                <w:spacing w:val="-20"/>
                <w:w w:val="90"/>
                <w:kern w:val="0"/>
                <w:sz w:val="24"/>
                <w:szCs w:val="24"/>
              </w:rPr>
              <w:t>、知识产权创造、保护和运用</w:t>
            </w:r>
          </w:p>
        </w:tc>
        <w:tc>
          <w:tcPr>
            <w:tcW w:w="563" w:type="pct"/>
            <w:vMerge w:val="restart"/>
            <w:tcBorders>
              <w:top w:val="single" w:color="auto" w:sz="4" w:space="0"/>
              <w:left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67．提高知识产权创造质量</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（3）实施技术创新专利导航。开展重点产业和重点企业技术创新专利导航，推动市场主体运用知识产权大数据信息指导技术研发、技术并购、风险规避、海外布局、产品营销等全链条。2019 年底前围绕人工智能、新材料、农产品等领域，力争完成2个专利导航项目。</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区市场监管局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区经济信息委</w:t>
            </w:r>
          </w:p>
        </w:tc>
      </w:tr>
      <w:tr>
        <w:tblPrEx>
          <w:tblCellMar>
            <w:top w:w="0" w:type="dxa"/>
            <w:left w:w="0" w:type="dxa"/>
            <w:bottom w:w="0" w:type="dxa"/>
            <w:right w:w="0" w:type="dxa"/>
          </w:tblCellMar>
        </w:tblPrEx>
        <w:trPr>
          <w:trHeight w:val="1696"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continue"/>
            <w:tcBorders>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（4）加大重点产业知识产权品牌培育力度。广泛深入开展知识产权宣传教育，加大知识产权管理、服务人才专题培训。积极配合市局健全知识产权服务体系，争取第二批建成专利信息服务分中心。</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区市场监管局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区财政局</w:t>
            </w:r>
          </w:p>
        </w:tc>
      </w:tr>
      <w:tr>
        <w:tblPrEx>
          <w:tblCellMar>
            <w:top w:w="0" w:type="dxa"/>
            <w:left w:w="0" w:type="dxa"/>
            <w:bottom w:w="0" w:type="dxa"/>
            <w:right w:w="0" w:type="dxa"/>
          </w:tblCellMar>
        </w:tblPrEx>
        <w:trPr>
          <w:trHeight w:val="2556"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68．提高知识产权保护社会满意度</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1）积极配合市局开展《重庆市专利促进与保护条例》立法效果评估。（2）执行上级知识产权行政管理、司法保护和行政执法有关工作计划，严厉打击侵权假冒行为，提高办案效率，促进行政执法与刑事司法衔接。（3）严格执行市局知识产权领域“放管服”改革，提升知识产权公共服务水平。（4）实施社会知识产权普法宣传教育提升计划，2019 年底前普法人数达3000人次，提高全社会知识产权意识。</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区市场监管局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color w:val="000000"/>
                <w:spacing w:val="-20"/>
                <w:w w:val="90"/>
                <w:kern w:val="0"/>
                <w:sz w:val="24"/>
                <w:szCs w:val="24"/>
              </w:rPr>
            </w:pPr>
            <w:r>
              <w:rPr>
                <w:rFonts w:hint="eastAsia" w:ascii="方正仿宋_GBK" w:eastAsia="方正仿宋_GBK"/>
                <w:color w:val="000000"/>
                <w:spacing w:val="-20"/>
                <w:w w:val="90"/>
                <w:kern w:val="0"/>
                <w:sz w:val="24"/>
                <w:szCs w:val="24"/>
              </w:rPr>
              <w:t>区司法局、</w:t>
            </w:r>
          </w:p>
          <w:p>
            <w:pPr>
              <w:autoSpaceDE w:val="0"/>
              <w:autoSpaceDN w:val="0"/>
              <w:adjustRightInd w:val="0"/>
              <w:spacing w:line="240" w:lineRule="exact"/>
              <w:ind w:left="16"/>
              <w:jc w:val="left"/>
              <w:rPr>
                <w:rFonts w:hint="eastAsia" w:ascii="方正仿宋_GBK" w:eastAsia="方正仿宋_GBK"/>
                <w:color w:val="000000"/>
                <w:spacing w:val="-20"/>
                <w:w w:val="90"/>
                <w:kern w:val="0"/>
                <w:sz w:val="24"/>
                <w:szCs w:val="24"/>
              </w:rPr>
            </w:pPr>
            <w:r>
              <w:rPr>
                <w:rFonts w:hint="eastAsia" w:ascii="方正仿宋_GBK" w:eastAsia="方正仿宋_GBK"/>
                <w:color w:val="000000"/>
                <w:spacing w:val="-20"/>
                <w:w w:val="90"/>
                <w:kern w:val="0"/>
                <w:sz w:val="24"/>
                <w:szCs w:val="24"/>
              </w:rPr>
              <w:t>区公安分局、区法院、</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区检察院</w:t>
            </w:r>
          </w:p>
        </w:tc>
      </w:tr>
      <w:tr>
        <w:tblPrEx>
          <w:tblCellMar>
            <w:top w:w="0" w:type="dxa"/>
            <w:left w:w="0" w:type="dxa"/>
            <w:bottom w:w="0" w:type="dxa"/>
            <w:right w:w="0" w:type="dxa"/>
          </w:tblCellMar>
        </w:tblPrEx>
        <w:trPr>
          <w:trHeight w:val="2278"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tcBorders>
              <w:top w:val="single" w:color="000000" w:sz="4" w:space="0"/>
              <w:left w:val="single" w:color="auto"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69．扩大非诉纠纷解决机构覆盖面</w:t>
            </w:r>
          </w:p>
        </w:tc>
        <w:tc>
          <w:tcPr>
            <w:tcW w:w="2548"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1）加强知识产权业务培训，不断提高处理知识产权纠纷的能力，切实营造良好的营商环境。（2）加强与重庆市知识产权纠纷调解委员会、重庆（汽车摩托车）知识产权快速维权中心、市知识产权法庭、重庆自贸区仲裁中心等维权机构联系，指导辖区企业非诉纠纷处置。（3）积极宣传和指导推荐企业申报重庆市知识产权风险预测预警项目，分析相关产业是否存在知识产权侵权风险，提出建议策略，促进企业健康发展。2019年争取指导2家重点企业开展知识产权风险预测预警。</w:t>
            </w:r>
          </w:p>
        </w:tc>
        <w:tc>
          <w:tcPr>
            <w:tcW w:w="708" w:type="pct"/>
            <w:gridSpan w:val="2"/>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区市场监管局</w:t>
            </w:r>
          </w:p>
        </w:tc>
        <w:tc>
          <w:tcPr>
            <w:tcW w:w="735" w:type="pct"/>
            <w:gridSpan w:val="2"/>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区财政局、区司法局</w:t>
            </w:r>
          </w:p>
        </w:tc>
      </w:tr>
      <w:tr>
        <w:tblPrEx>
          <w:tblCellMar>
            <w:top w:w="0" w:type="dxa"/>
            <w:left w:w="0" w:type="dxa"/>
            <w:bottom w:w="0" w:type="dxa"/>
            <w:right w:w="0" w:type="dxa"/>
          </w:tblCellMar>
        </w:tblPrEx>
        <w:trPr>
          <w:trHeight w:val="1680" w:hRule="atLeas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70．提高知识产权运用效益</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1）利用全市知识产权运营服务平台，完善知识产权运营服务体系，扩大高价值知识产权运营转化和创新要素有效供给，加速创新资源流转和优化配置。（2）积极推广全市知识产权质押融资等知识产权金融服务的实施成果，推进知识产权金融服务创新，促进知识产权与金融资源融合。</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区市场监管局</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color w:val="000000"/>
                <w:spacing w:val="-20"/>
                <w:w w:val="90"/>
                <w:kern w:val="0"/>
                <w:sz w:val="24"/>
                <w:szCs w:val="24"/>
              </w:rPr>
            </w:pPr>
            <w:r>
              <w:rPr>
                <w:rFonts w:hint="eastAsia" w:ascii="方正仿宋_GBK" w:eastAsia="方正仿宋_GBK"/>
                <w:color w:val="000000"/>
                <w:spacing w:val="-20"/>
                <w:w w:val="90"/>
                <w:kern w:val="0"/>
                <w:sz w:val="24"/>
                <w:szCs w:val="24"/>
              </w:rPr>
              <w:t>区科技局</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区财政局、区经济信息委</w:t>
            </w:r>
          </w:p>
        </w:tc>
      </w:tr>
      <w:tr>
        <w:tblPrEx>
          <w:tblCellMar>
            <w:top w:w="0" w:type="dxa"/>
            <w:left w:w="0" w:type="dxa"/>
            <w:bottom w:w="0" w:type="dxa"/>
            <w:right w:w="0" w:type="dxa"/>
          </w:tblCellMar>
        </w:tblPrEx>
        <w:trPr>
          <w:trHeight w:val="566"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2" w:leftChars="-1"/>
              <w:jc w:val="center"/>
              <w:rPr>
                <w:rFonts w:hint="eastAsia" w:ascii="方正仿宋_GBK" w:eastAsia="方正仿宋_GBK"/>
                <w:b/>
                <w:kern w:val="0"/>
                <w:sz w:val="24"/>
                <w:szCs w:val="24"/>
              </w:rPr>
            </w:pPr>
            <w:r>
              <w:rPr>
                <w:rFonts w:hint="eastAsia" w:ascii="方正仿宋_GBK" w:eastAsia="方正仿宋_GBK"/>
                <w:b/>
                <w:kern w:val="0"/>
                <w:sz w:val="24"/>
                <w:szCs w:val="24"/>
              </w:rPr>
              <w:t>目标任务</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573"/>
              <w:jc w:val="left"/>
              <w:rPr>
                <w:rFonts w:hint="eastAsia" w:ascii="方正仿宋_GBK" w:eastAsia="方正仿宋_GBK"/>
                <w:b/>
                <w:kern w:val="0"/>
                <w:sz w:val="24"/>
                <w:szCs w:val="24"/>
              </w:rPr>
            </w:pPr>
            <w:r>
              <w:rPr>
                <w:rFonts w:hint="eastAsia" w:ascii="方正仿宋_GBK" w:eastAsia="方正仿宋_GBK"/>
                <w:b/>
                <w:kern w:val="0"/>
                <w:sz w:val="24"/>
                <w:szCs w:val="24"/>
              </w:rPr>
              <w:t>工作措施</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19"/>
              <w:jc w:val="left"/>
              <w:rPr>
                <w:rFonts w:hint="eastAsia" w:ascii="方正仿宋_GBK" w:eastAsia="方正仿宋_GBK"/>
                <w:b/>
                <w:kern w:val="0"/>
                <w:sz w:val="24"/>
                <w:szCs w:val="24"/>
              </w:rPr>
            </w:pPr>
            <w:r>
              <w:rPr>
                <w:rFonts w:hint="eastAsia" w:ascii="方正仿宋_GBK" w:eastAsia="方正仿宋_GBK"/>
                <w:b/>
                <w:kern w:val="0"/>
                <w:sz w:val="24"/>
                <w:szCs w:val="24"/>
              </w:rPr>
              <w:t>牵头单位</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b/>
                <w:kern w:val="0"/>
                <w:sz w:val="24"/>
                <w:szCs w:val="24"/>
              </w:rPr>
            </w:pPr>
            <w:r>
              <w:rPr>
                <w:rFonts w:hint="eastAsia" w:ascii="方正仿宋_GBK" w:eastAsia="方正仿宋_GBK"/>
                <w:b/>
                <w:kern w:val="0"/>
                <w:sz w:val="24"/>
                <w:szCs w:val="24"/>
              </w:rPr>
              <w:t>配合单位</w:t>
            </w:r>
          </w:p>
        </w:tc>
      </w:tr>
      <w:tr>
        <w:tblPrEx>
          <w:tblCellMar>
            <w:top w:w="0" w:type="dxa"/>
            <w:left w:w="0" w:type="dxa"/>
            <w:bottom w:w="0" w:type="dxa"/>
            <w:right w:w="0" w:type="dxa"/>
          </w:tblCellMar>
        </w:tblPrEx>
        <w:trPr>
          <w:trHeight w:val="1859" w:hRule="exact"/>
        </w:trPr>
        <w:tc>
          <w:tcPr>
            <w:tcW w:w="44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十</w:t>
            </w:r>
            <w:r>
              <w:rPr>
                <w:rFonts w:hint="eastAsia" w:eastAsia="方正仿宋_GBK"/>
                <w:color w:val="000000"/>
                <w:spacing w:val="-20"/>
                <w:w w:val="90"/>
                <w:kern w:val="0"/>
                <w:sz w:val="24"/>
                <w:szCs w:val="24"/>
              </w:rPr>
              <w:t>八</w:t>
            </w:r>
            <w:r>
              <w:rPr>
                <w:rFonts w:eastAsia="方正仿宋_GBK"/>
                <w:color w:val="000000"/>
                <w:spacing w:val="-20"/>
                <w:w w:val="90"/>
                <w:kern w:val="0"/>
                <w:sz w:val="24"/>
                <w:szCs w:val="24"/>
              </w:rPr>
              <w:t>、市场监管</w:t>
            </w:r>
          </w:p>
        </w:tc>
        <w:tc>
          <w:tcPr>
            <w:tcW w:w="563" w:type="pct"/>
            <w:vMerge w:val="restart"/>
            <w:tcBorders>
              <w:top w:val="single" w:color="auto" w:sz="4" w:space="0"/>
              <w:left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71．提升“双随机、一公开”监管覆盖率</w:t>
            </w:r>
          </w:p>
          <w:p>
            <w:pPr>
              <w:autoSpaceDE w:val="0"/>
              <w:autoSpaceDN w:val="0"/>
              <w:adjustRightInd w:val="0"/>
              <w:spacing w:line="240" w:lineRule="exact"/>
              <w:jc w:val="left"/>
              <w:rPr>
                <w:rFonts w:hint="eastAsia" w:ascii="方正仿宋_GBK" w:eastAsia="方正仿宋_GBK"/>
                <w:spacing w:val="-20"/>
                <w:w w:val="90"/>
                <w:kern w:val="0"/>
                <w:sz w:val="24"/>
                <w:szCs w:val="24"/>
              </w:rPr>
            </w:pPr>
          </w:p>
        </w:tc>
        <w:tc>
          <w:tcPr>
            <w:tcW w:w="2548"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（1）在市场监管领域全面推行部门联合“双随机、一公开”监管。建立部门联席会议制度，构建部门联合抽查工作机制，2019 年底前全区市场监管部门完成双随机抽查全流程整合，实现“双随机、一公开”监管全覆盖、常态化；2020 年底前实现全区市场监管领域相关部门“双随机、一公开”监管全覆盖。</w:t>
            </w:r>
          </w:p>
        </w:tc>
        <w:tc>
          <w:tcPr>
            <w:tcW w:w="708" w:type="pct"/>
            <w:gridSpan w:val="2"/>
            <w:vMerge w:val="restart"/>
            <w:tcBorders>
              <w:top w:val="single" w:color="auto" w:sz="4" w:space="0"/>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区市场监管局</w:t>
            </w:r>
          </w:p>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c>
          <w:tcPr>
            <w:tcW w:w="735" w:type="pct"/>
            <w:gridSpan w:val="2"/>
            <w:vMerge w:val="restart"/>
            <w:tcBorders>
              <w:top w:val="single" w:color="auto" w:sz="4" w:space="0"/>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区发展改革委、区司法局、区教委、区人力社保局、区生态环境局、区住建委、区交通局、区农业农村委、区商务委、区文化旅游委、区卫生健康委、区应急局、区税务局、区统计局</w:t>
            </w:r>
          </w:p>
        </w:tc>
      </w:tr>
      <w:tr>
        <w:tblPrEx>
          <w:tblCellMar>
            <w:top w:w="0" w:type="dxa"/>
            <w:left w:w="0" w:type="dxa"/>
            <w:bottom w:w="0" w:type="dxa"/>
            <w:right w:w="0" w:type="dxa"/>
          </w:tblCellMar>
        </w:tblPrEx>
        <w:trPr>
          <w:trHeight w:val="1122"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continue"/>
            <w:tcBorders>
              <w:left w:val="single" w:color="auto" w:sz="4" w:space="0"/>
              <w:right w:val="single" w:color="000000"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spacing w:val="-20"/>
                <w:w w:val="90"/>
                <w:kern w:val="0"/>
                <w:sz w:val="24"/>
                <w:szCs w:val="24"/>
              </w:rPr>
            </w:pP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（2）依托重庆市“双随机、一公开”抽查检查监管工作平台开展工作。完善检查对象名录库和执法检查人员名录库，2020 年底前实现“双随机、一公开”监管事项覆盖率 100%、结果公示率 100%。</w:t>
            </w:r>
          </w:p>
        </w:tc>
        <w:tc>
          <w:tcPr>
            <w:tcW w:w="708" w:type="pct"/>
            <w:gridSpan w:val="2"/>
            <w:vMerge w:val="continue"/>
            <w:tcBorders>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c>
          <w:tcPr>
            <w:tcW w:w="735" w:type="pct"/>
            <w:gridSpan w:val="2"/>
            <w:vMerge w:val="continue"/>
            <w:tcBorders>
              <w:left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136"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continue"/>
            <w:tcBorders>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color w:val="000000"/>
                <w:spacing w:val="-20"/>
                <w:w w:val="90"/>
                <w:kern w:val="0"/>
                <w:sz w:val="24"/>
                <w:szCs w:val="24"/>
              </w:rPr>
              <w:t>（3）探索市场主体风险预警分类监管新模式。2020 年底前制定完成市场主体分类标准，突出重点领域、重点行业和重点环节，科学预警市场主体经营活动风险，并实施差异化监管措施，确保风险预警及时有效。</w:t>
            </w:r>
          </w:p>
        </w:tc>
        <w:tc>
          <w:tcPr>
            <w:tcW w:w="708" w:type="pct"/>
            <w:gridSpan w:val="2"/>
            <w:vMerge w:val="continue"/>
            <w:tcBorders>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c>
          <w:tcPr>
            <w:tcW w:w="735" w:type="pct"/>
            <w:gridSpan w:val="2"/>
            <w:vMerge w:val="continue"/>
            <w:tcBorders>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996"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restart"/>
            <w:tcBorders>
              <w:top w:val="single" w:color="000000" w:sz="4" w:space="0"/>
              <w:left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72．提高监管执法信息公开率</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（1）完善政务数据资源目录。将“双公示”数据标准纳入目录，确保政府部门通过市政务数据资源共享平台全量提供涉企监管执法信息，2021 年底前</w:t>
            </w:r>
            <w:bookmarkStart w:id="0" w:name="_GoBack"/>
            <w:bookmarkEnd w:id="0"/>
            <w:r>
              <w:rPr>
                <w:rFonts w:hint="eastAsia" w:ascii="方正仿宋_GBK" w:eastAsia="方正仿宋_GBK"/>
                <w:spacing w:val="-20"/>
                <w:w w:val="90"/>
                <w:kern w:val="0"/>
                <w:sz w:val="24"/>
                <w:szCs w:val="24"/>
              </w:rPr>
              <w:t>实现信息数据标准、共享平台统一。</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区市场监管局</w:t>
            </w:r>
          </w:p>
        </w:tc>
      </w:tr>
      <w:tr>
        <w:tblPrEx>
          <w:tblCellMar>
            <w:top w:w="0" w:type="dxa"/>
            <w:left w:w="0" w:type="dxa"/>
            <w:bottom w:w="0" w:type="dxa"/>
            <w:right w:w="0" w:type="dxa"/>
          </w:tblCellMar>
        </w:tblPrEx>
        <w:trPr>
          <w:trHeight w:val="1269"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continue"/>
            <w:tcBorders>
              <w:left w:val="single" w:color="auto" w:sz="4" w:space="0"/>
              <w:right w:val="single" w:color="000000"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spacing w:val="-20"/>
                <w:w w:val="90"/>
                <w:kern w:val="0"/>
                <w:sz w:val="24"/>
                <w:szCs w:val="24"/>
              </w:rPr>
            </w:pP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（2）加强法人基础数据库建设。依托市政务数据资源共享平台，2020 年底前实现各部门提供的涉企监管执法信息全量归集入库。</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区市场监管局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w:t>
            </w:r>
          </w:p>
        </w:tc>
      </w:tr>
      <w:tr>
        <w:tblPrEx>
          <w:tblCellMar>
            <w:top w:w="0" w:type="dxa"/>
            <w:left w:w="0" w:type="dxa"/>
            <w:bottom w:w="0" w:type="dxa"/>
            <w:right w:w="0" w:type="dxa"/>
          </w:tblCellMar>
        </w:tblPrEx>
        <w:trPr>
          <w:trHeight w:val="1696"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continue"/>
            <w:tcBorders>
              <w:left w:val="single" w:color="auto"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spacing w:val="-20"/>
                <w:w w:val="90"/>
                <w:kern w:val="0"/>
                <w:sz w:val="24"/>
                <w:szCs w:val="24"/>
              </w:rPr>
            </w:pP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（3）强化涉企监管执法信息公示。通过“国家企业信用信息公示（重庆）”和“信用重庆”加强对涉企监管执法信息的集中公示，2019 年底前实现已归集的涉企监管执法信息公示率 100%。</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区市场监管局、区发展改革委</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569"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73．提高政务诚信度</w:t>
            </w:r>
          </w:p>
        </w:tc>
        <w:tc>
          <w:tcPr>
            <w:tcW w:w="2548"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（1）建立完善政务失信记录及公务员诚信档案。将各级政府和公务员在履职过程中因违法违规、失信违约被司法判决、行政处罚、纪律处分、问责处理等信息纳入政务失信记录和公务员诚信档案，2019 年底前统一归集至市公共信用平台。加大涉政务信息公开力度，推动行政许可、行政处罚等公共信用信息应归尽归、应示尽示。</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区发展改革委</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区委组织部、区纪委监委、区司法局区法院、区检察院</w:t>
            </w:r>
          </w:p>
        </w:tc>
      </w:tr>
      <w:tr>
        <w:tblPrEx>
          <w:tblCellMar>
            <w:top w:w="0" w:type="dxa"/>
            <w:left w:w="0" w:type="dxa"/>
            <w:bottom w:w="0" w:type="dxa"/>
            <w:right w:w="0" w:type="dxa"/>
          </w:tblCellMar>
        </w:tblPrEx>
        <w:trPr>
          <w:trHeight w:val="566"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2" w:leftChars="-1"/>
              <w:jc w:val="center"/>
              <w:rPr>
                <w:rFonts w:hint="eastAsia" w:ascii="方正仿宋_GBK" w:eastAsia="方正仿宋_GBK"/>
                <w:b/>
                <w:kern w:val="0"/>
                <w:sz w:val="24"/>
                <w:szCs w:val="24"/>
              </w:rPr>
            </w:pPr>
            <w:r>
              <w:rPr>
                <w:rFonts w:hint="eastAsia" w:ascii="方正仿宋_GBK" w:eastAsia="方正仿宋_GBK"/>
                <w:b/>
                <w:kern w:val="0"/>
                <w:sz w:val="24"/>
                <w:szCs w:val="24"/>
              </w:rPr>
              <w:t>目标任务</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573"/>
              <w:jc w:val="left"/>
              <w:rPr>
                <w:rFonts w:hint="eastAsia" w:ascii="方正仿宋_GBK" w:eastAsia="方正仿宋_GBK"/>
                <w:b/>
                <w:kern w:val="0"/>
                <w:sz w:val="24"/>
                <w:szCs w:val="24"/>
              </w:rPr>
            </w:pPr>
            <w:r>
              <w:rPr>
                <w:rFonts w:hint="eastAsia" w:ascii="方正仿宋_GBK" w:eastAsia="方正仿宋_GBK"/>
                <w:b/>
                <w:kern w:val="0"/>
                <w:sz w:val="24"/>
                <w:szCs w:val="24"/>
              </w:rPr>
              <w:t>工作措施</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19"/>
              <w:jc w:val="left"/>
              <w:rPr>
                <w:rFonts w:hint="eastAsia" w:ascii="方正仿宋_GBK" w:eastAsia="方正仿宋_GBK"/>
                <w:b/>
                <w:kern w:val="0"/>
                <w:sz w:val="24"/>
                <w:szCs w:val="24"/>
              </w:rPr>
            </w:pPr>
            <w:r>
              <w:rPr>
                <w:rFonts w:hint="eastAsia" w:ascii="方正仿宋_GBK" w:eastAsia="方正仿宋_GBK"/>
                <w:b/>
                <w:kern w:val="0"/>
                <w:sz w:val="24"/>
                <w:szCs w:val="24"/>
              </w:rPr>
              <w:t>牵头单位</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b/>
                <w:kern w:val="0"/>
                <w:sz w:val="24"/>
                <w:szCs w:val="24"/>
              </w:rPr>
            </w:pPr>
            <w:r>
              <w:rPr>
                <w:rFonts w:hint="eastAsia" w:ascii="方正仿宋_GBK" w:eastAsia="方正仿宋_GBK"/>
                <w:b/>
                <w:kern w:val="0"/>
                <w:sz w:val="24"/>
                <w:szCs w:val="24"/>
              </w:rPr>
              <w:t>配合单位</w:t>
            </w:r>
          </w:p>
        </w:tc>
      </w:tr>
      <w:tr>
        <w:tblPrEx>
          <w:tblCellMar>
            <w:top w:w="0" w:type="dxa"/>
            <w:left w:w="0" w:type="dxa"/>
            <w:bottom w:w="0" w:type="dxa"/>
            <w:right w:w="0" w:type="dxa"/>
          </w:tblCellMar>
        </w:tblPrEx>
        <w:trPr>
          <w:trHeight w:val="1547" w:hRule="exact"/>
        </w:trPr>
        <w:tc>
          <w:tcPr>
            <w:tcW w:w="447" w:type="pct"/>
            <w:tcBorders>
              <w:top w:val="single" w:color="auto" w:sz="4" w:space="0"/>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hint="eastAsia" w:eastAsia="方正仿宋_GBK"/>
                <w:spacing w:val="-20"/>
                <w:w w:val="90"/>
                <w:kern w:val="0"/>
                <w:sz w:val="24"/>
                <w:szCs w:val="24"/>
              </w:rPr>
              <w:t>十八、市场监管</w:t>
            </w:r>
          </w:p>
        </w:tc>
        <w:tc>
          <w:tcPr>
            <w:tcW w:w="563" w:type="pct"/>
            <w:tcBorders>
              <w:top w:val="single" w:color="auto"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73．提高政务诚信度</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推动重点领域政务诚信建设。开展政府部门、大型国有企业拖欠民营企业、中小企业账款清理工作。加强政府采购、政府和社会资本合作、招标投标等重点领域政务诚信建设，全面建立信用承诺制，杜绝“新官不理旧账”。建立完善重点领域政务诚信档案，开展辖区信用监测和第三方信用评估，推动创建信用示范城市。</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区政府督查办、区发展改革委</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区国资委、区财政局、区经济信息委、区商务委、区政务办</w:t>
            </w:r>
          </w:p>
        </w:tc>
      </w:tr>
      <w:tr>
        <w:tblPrEx>
          <w:tblCellMar>
            <w:top w:w="0" w:type="dxa"/>
            <w:left w:w="0" w:type="dxa"/>
            <w:bottom w:w="0" w:type="dxa"/>
            <w:right w:w="0" w:type="dxa"/>
          </w:tblCellMar>
        </w:tblPrEx>
        <w:trPr>
          <w:trHeight w:val="1843" w:hRule="exact"/>
        </w:trPr>
        <w:tc>
          <w:tcPr>
            <w:tcW w:w="447" w:type="pct"/>
            <w:tcBorders>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restart"/>
            <w:tcBorders>
              <w:left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74．提高商务诚信度</w:t>
            </w: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（1）全面实施守信联合激励和失信联合惩戒。建立完善信用“红黑名单”制度，2019 年底前全面实现在行政管理和公共服务事项中查询使用信用“红黑名单”。对守法诚信典型提供绿色通道、容缺受理等激励措施，对严重违法失信主体实施行政性、市场性、社会性约束和信用联合惩戒，营造信用联合奖惩大格局。</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区发展改革委</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700" w:hRule="exact"/>
        </w:trPr>
        <w:tc>
          <w:tcPr>
            <w:tcW w:w="447" w:type="pct"/>
            <w:tcBorders>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continue"/>
            <w:tcBorders>
              <w:left w:val="single" w:color="auto"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（2）加快构建以信用为核心的新型监管机制。2019 年底前全面建立市场主体信用承诺制和证明事项告知承诺制，承诺事项纳入市场主体信用档案，对提供虚假承诺的当事人实施信用约束和联合惩戒。集中开展重点领域失信问题专项治理，鼓励各行业领域开展市场主体信用评价，实施分级分类监管。</w:t>
            </w:r>
          </w:p>
        </w:tc>
        <w:tc>
          <w:tcPr>
            <w:tcW w:w="708" w:type="pct"/>
            <w:gridSpan w:val="2"/>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区发展改革委</w:t>
            </w:r>
          </w:p>
        </w:tc>
        <w:tc>
          <w:tcPr>
            <w:tcW w:w="735" w:type="pct"/>
            <w:gridSpan w:val="2"/>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区委宣传部、区市场监管局</w:t>
            </w:r>
          </w:p>
        </w:tc>
      </w:tr>
      <w:tr>
        <w:tblPrEx>
          <w:tblCellMar>
            <w:top w:w="0" w:type="dxa"/>
            <w:left w:w="0" w:type="dxa"/>
            <w:bottom w:w="0" w:type="dxa"/>
            <w:right w:w="0" w:type="dxa"/>
          </w:tblCellMar>
        </w:tblPrEx>
        <w:trPr>
          <w:trHeight w:val="703" w:hRule="exact"/>
        </w:trPr>
        <w:tc>
          <w:tcPr>
            <w:tcW w:w="44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十九、包容普惠创新</w:t>
            </w:r>
          </w:p>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75．提高创新创业活跃度</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（1）培育创新创业孵化平台。建设一批科技企业孵化器、众创空间，建立稳定持续的扶持机制和绩效评估机制。</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区科技局</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区经济信息委、区人力社保局</w:t>
            </w:r>
          </w:p>
        </w:tc>
      </w:tr>
      <w:tr>
        <w:tblPrEx>
          <w:tblCellMar>
            <w:top w:w="0" w:type="dxa"/>
            <w:left w:w="0" w:type="dxa"/>
            <w:bottom w:w="0" w:type="dxa"/>
            <w:right w:w="0" w:type="dxa"/>
          </w:tblCellMar>
        </w:tblPrEx>
        <w:trPr>
          <w:trHeight w:val="1280" w:hRule="exact"/>
        </w:trPr>
        <w:tc>
          <w:tcPr>
            <w:tcW w:w="447" w:type="pct"/>
            <w:vMerge w:val="continue"/>
            <w:tcBorders>
              <w:top w:val="single" w:color="auto" w:sz="4" w:space="0"/>
              <w:left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eastAsia="方正仿宋_GBK"/>
                <w:spacing w:val="-20"/>
                <w:w w:val="90"/>
                <w:kern w:val="0"/>
                <w:sz w:val="24"/>
                <w:szCs w:val="24"/>
              </w:rPr>
            </w:pPr>
          </w:p>
        </w:tc>
        <w:tc>
          <w:tcPr>
            <w:tcW w:w="563" w:type="pct"/>
            <w:vMerge w:val="continue"/>
            <w:tcBorders>
              <w:top w:val="single" w:color="auto" w:sz="4" w:space="0"/>
              <w:left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打造环大学创新生态圈。促进大学科研成果就近转化，围绕载体打造、成果激励、金融支撑等方面研究制定政策措施，建设创新创业创造空间体系。2019年底前环重庆大学、重庆师范大学等2个首批创新生态圈建设取得积极成效。</w:t>
            </w:r>
          </w:p>
        </w:tc>
        <w:tc>
          <w:tcPr>
            <w:tcW w:w="708" w:type="pct"/>
            <w:gridSpan w:val="2"/>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区科技局</w:t>
            </w:r>
          </w:p>
        </w:tc>
        <w:tc>
          <w:tcPr>
            <w:tcW w:w="735" w:type="pct"/>
            <w:gridSpan w:val="2"/>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128" w:hRule="exact"/>
        </w:trPr>
        <w:tc>
          <w:tcPr>
            <w:tcW w:w="447" w:type="pct"/>
            <w:vMerge w:val="continue"/>
            <w:tcBorders>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continue"/>
            <w:tcBorders>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spacing w:val="-20"/>
                <w:w w:val="90"/>
                <w:kern w:val="0"/>
                <w:sz w:val="24"/>
                <w:szCs w:val="24"/>
              </w:rPr>
            </w:pP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（3）营造创新创业文化氛围。积极参与中国创新创业大赛“互联网+”大学生创新创业大赛、双创活动周等各类创新创业赛事活动和创新创业品牌活动。</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区科技局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区发展改革委、区教委、区人力社保局</w:t>
            </w:r>
          </w:p>
        </w:tc>
      </w:tr>
      <w:tr>
        <w:tblPrEx>
          <w:tblCellMar>
            <w:top w:w="0" w:type="dxa"/>
            <w:left w:w="0" w:type="dxa"/>
            <w:bottom w:w="0" w:type="dxa"/>
            <w:right w:w="0" w:type="dxa"/>
          </w:tblCellMar>
        </w:tblPrEx>
        <w:trPr>
          <w:trHeight w:val="566"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2" w:leftChars="-1"/>
              <w:jc w:val="center"/>
              <w:rPr>
                <w:rFonts w:hint="eastAsia" w:ascii="方正仿宋_GBK" w:eastAsia="方正仿宋_GBK"/>
                <w:b/>
                <w:kern w:val="0"/>
                <w:sz w:val="24"/>
                <w:szCs w:val="24"/>
              </w:rPr>
            </w:pPr>
            <w:r>
              <w:rPr>
                <w:rFonts w:hint="eastAsia" w:ascii="方正仿宋_GBK" w:eastAsia="方正仿宋_GBK"/>
                <w:b/>
                <w:kern w:val="0"/>
                <w:sz w:val="24"/>
                <w:szCs w:val="24"/>
              </w:rPr>
              <w:t>目标任务</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573"/>
              <w:jc w:val="left"/>
              <w:rPr>
                <w:rFonts w:hint="eastAsia" w:ascii="方正仿宋_GBK" w:eastAsia="方正仿宋_GBK"/>
                <w:b/>
                <w:kern w:val="0"/>
                <w:sz w:val="24"/>
                <w:szCs w:val="24"/>
              </w:rPr>
            </w:pPr>
            <w:r>
              <w:rPr>
                <w:rFonts w:hint="eastAsia" w:ascii="方正仿宋_GBK" w:eastAsia="方正仿宋_GBK"/>
                <w:b/>
                <w:kern w:val="0"/>
                <w:sz w:val="24"/>
                <w:szCs w:val="24"/>
              </w:rPr>
              <w:t>工作措施</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19"/>
              <w:jc w:val="left"/>
              <w:rPr>
                <w:rFonts w:hint="eastAsia" w:ascii="方正仿宋_GBK" w:eastAsia="方正仿宋_GBK"/>
                <w:b/>
                <w:kern w:val="0"/>
                <w:sz w:val="24"/>
                <w:szCs w:val="24"/>
              </w:rPr>
            </w:pPr>
            <w:r>
              <w:rPr>
                <w:rFonts w:hint="eastAsia" w:ascii="方正仿宋_GBK" w:eastAsia="方正仿宋_GBK"/>
                <w:b/>
                <w:kern w:val="0"/>
                <w:sz w:val="24"/>
                <w:szCs w:val="24"/>
              </w:rPr>
              <w:t>牵头单位</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b/>
                <w:kern w:val="0"/>
                <w:sz w:val="24"/>
                <w:szCs w:val="24"/>
              </w:rPr>
            </w:pPr>
            <w:r>
              <w:rPr>
                <w:rFonts w:hint="eastAsia" w:ascii="方正仿宋_GBK" w:eastAsia="方正仿宋_GBK"/>
                <w:b/>
                <w:kern w:val="0"/>
                <w:sz w:val="24"/>
                <w:szCs w:val="24"/>
              </w:rPr>
              <w:t>配合单位</w:t>
            </w:r>
          </w:p>
        </w:tc>
      </w:tr>
      <w:tr>
        <w:tblPrEx>
          <w:tblCellMar>
            <w:top w:w="0" w:type="dxa"/>
            <w:left w:w="0" w:type="dxa"/>
            <w:bottom w:w="0" w:type="dxa"/>
            <w:right w:w="0" w:type="dxa"/>
          </w:tblCellMar>
        </w:tblPrEx>
        <w:trPr>
          <w:trHeight w:val="1418" w:hRule="exact"/>
        </w:trPr>
        <w:tc>
          <w:tcPr>
            <w:tcW w:w="44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十九、包容普惠创新</w:t>
            </w:r>
          </w:p>
          <w:p>
            <w:pPr>
              <w:autoSpaceDE w:val="0"/>
              <w:autoSpaceDN w:val="0"/>
              <w:adjustRightInd w:val="0"/>
              <w:spacing w:line="240" w:lineRule="exact"/>
              <w:ind w:left="16"/>
              <w:jc w:val="left"/>
              <w:rPr>
                <w:rFonts w:eastAsia="方正仿宋_GBK"/>
                <w:spacing w:val="-20"/>
                <w:w w:val="90"/>
                <w:kern w:val="0"/>
                <w:sz w:val="24"/>
                <w:szCs w:val="24"/>
              </w:rPr>
            </w:pP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76．提高人才流动便利度</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对经营性人力资源服务机构从事职业中介活动的，审批时间由 20 日缩减至 10 个工作日；从事人力资源供求信息的收集和发布、就业和创业指导、人力资源管理咨询等人力资源服务业务的，实行备案制。</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区人力社保局</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285"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77．提高市场开放度</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（1）提升招商引商吸引力。严格落实国家关于外商投资领加快兑现对外资企业承诺的鼓励政策；强化各责任部门招引外资意识，调动招引外资积极性。</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区商务委</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区招商中心、区经济信息委、区规划自然资源局、区市场监管局</w:t>
            </w:r>
          </w:p>
        </w:tc>
      </w:tr>
      <w:tr>
        <w:tblPrEx>
          <w:tblCellMar>
            <w:top w:w="0" w:type="dxa"/>
            <w:left w:w="0" w:type="dxa"/>
            <w:bottom w:w="0" w:type="dxa"/>
            <w:right w:w="0" w:type="dxa"/>
          </w:tblCellMar>
        </w:tblPrEx>
        <w:trPr>
          <w:trHeight w:val="1842"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eastAsia="方正仿宋_GBK"/>
                <w:spacing w:val="-20"/>
                <w:w w:val="90"/>
                <w:kern w:val="0"/>
                <w:sz w:val="24"/>
                <w:szCs w:val="24"/>
              </w:rPr>
            </w:pPr>
          </w:p>
        </w:tc>
        <w:tc>
          <w:tcPr>
            <w:tcW w:w="563"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做大做强对外贸易。重点扶持部分优秀的外贸企业，培育一批有竞争力的新型开放主体，做大做优一般贸易；稳定电子信息产业加工贸易订单，做稳做实加工贸易；增强面向中西部地区开展进出口商品集散分拨的服务能力，建设具有“国际采购、国内分销，国内采购、全球分销”功能的进出口商品集散分拨网络。</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区商务委</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区发展改革委、区财政局、区税务局、区经济信息委、区物流办</w:t>
            </w:r>
          </w:p>
        </w:tc>
      </w:tr>
      <w:tr>
        <w:tblPrEx>
          <w:tblCellMar>
            <w:top w:w="0" w:type="dxa"/>
            <w:left w:w="0" w:type="dxa"/>
            <w:bottom w:w="0" w:type="dxa"/>
            <w:right w:w="0" w:type="dxa"/>
          </w:tblCellMar>
        </w:tblPrEx>
        <w:trPr>
          <w:trHeight w:val="1272" w:hRule="exact"/>
        </w:trPr>
        <w:tc>
          <w:tcPr>
            <w:tcW w:w="447" w:type="pct"/>
            <w:vMerge w:val="continue"/>
            <w:tcBorders>
              <w:top w:val="single" w:color="auto" w:sz="4" w:space="0"/>
              <w:left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eastAsia="方正仿宋_GBK"/>
                <w:spacing w:val="-20"/>
                <w:w w:val="90"/>
                <w:kern w:val="0"/>
                <w:sz w:val="24"/>
                <w:szCs w:val="24"/>
              </w:rPr>
            </w:pPr>
          </w:p>
        </w:tc>
        <w:tc>
          <w:tcPr>
            <w:tcW w:w="563" w:type="pct"/>
            <w:vMerge w:val="continue"/>
            <w:tcBorders>
              <w:top w:val="single" w:color="auto" w:sz="4" w:space="0"/>
              <w:left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稳步推进对外投资合作。推动实施一批“一带一路”建设的重大项目，大力引导我区有比较优势的企业加快境外布局发展，鼓励对外承包工程企业积极参与“一带一路”建设，推动餐饮、电商、零售等企业走出去。</w:t>
            </w:r>
          </w:p>
        </w:tc>
        <w:tc>
          <w:tcPr>
            <w:tcW w:w="708" w:type="pct"/>
            <w:gridSpan w:val="2"/>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区商务委</w:t>
            </w:r>
          </w:p>
        </w:tc>
        <w:tc>
          <w:tcPr>
            <w:tcW w:w="735" w:type="pct"/>
            <w:gridSpan w:val="2"/>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区发展改革委、区经济信息委、区住房城乡建委</w:t>
            </w:r>
          </w:p>
        </w:tc>
      </w:tr>
      <w:tr>
        <w:tblPrEx>
          <w:tblCellMar>
            <w:top w:w="0" w:type="dxa"/>
            <w:left w:w="0" w:type="dxa"/>
            <w:bottom w:w="0" w:type="dxa"/>
            <w:right w:w="0" w:type="dxa"/>
          </w:tblCellMar>
        </w:tblPrEx>
        <w:trPr>
          <w:trHeight w:val="1408" w:hRule="exact"/>
        </w:trPr>
        <w:tc>
          <w:tcPr>
            <w:tcW w:w="447" w:type="pct"/>
            <w:vMerge w:val="continue"/>
            <w:tcBorders>
              <w:left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eastAsia="方正仿宋_GBK"/>
                <w:spacing w:val="-20"/>
                <w:w w:val="90"/>
                <w:kern w:val="0"/>
                <w:sz w:val="24"/>
                <w:szCs w:val="24"/>
              </w:rPr>
            </w:pPr>
          </w:p>
        </w:tc>
        <w:tc>
          <w:tcPr>
            <w:tcW w:w="563" w:type="pct"/>
            <w:vMerge w:val="continue"/>
            <w:tcBorders>
              <w:left w:val="single" w:color="auto"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254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4）完善市场主体公平竞争机制。全面实施市场准入负面清单制度，清理废除妨碍统一市场和公平竞争的各种规定和做法。全面落实民间资本参与本市重大工程建设和国有企业混合所有制改革。创新公共服务领域市场开放机制。</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区市场监管局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区发展改革委、区商务委、区国资委</w:t>
            </w:r>
          </w:p>
        </w:tc>
      </w:tr>
      <w:tr>
        <w:tblPrEx>
          <w:tblCellMar>
            <w:top w:w="0" w:type="dxa"/>
            <w:left w:w="0" w:type="dxa"/>
            <w:bottom w:w="0" w:type="dxa"/>
            <w:right w:w="0" w:type="dxa"/>
          </w:tblCellMar>
        </w:tblPrEx>
        <w:trPr>
          <w:trHeight w:val="2416" w:hRule="exact"/>
        </w:trPr>
        <w:tc>
          <w:tcPr>
            <w:tcW w:w="447" w:type="pct"/>
            <w:vMerge w:val="continue"/>
            <w:tcBorders>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eastAsia="方正仿宋_GBK"/>
                <w:spacing w:val="-20"/>
                <w:w w:val="90"/>
                <w:kern w:val="0"/>
                <w:sz w:val="24"/>
                <w:szCs w:val="24"/>
              </w:rPr>
            </w:pPr>
          </w:p>
        </w:tc>
        <w:tc>
          <w:tcPr>
            <w:tcW w:w="563"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78．提高基本公共服务群众满意度</w:t>
            </w:r>
          </w:p>
        </w:tc>
        <w:tc>
          <w:tcPr>
            <w:tcW w:w="2548" w:type="pct"/>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推动教育基本公共服务优质供给。实施第三期学前教育行动计划，开展城镇小区配套幼儿园专项治理。深化教育教学改革，全面提高义务教育质量，推进城乡义务教育一体化发展。实施高中阶段教育普及攻坚计划，推进普通高中育人方式改革，促进普通高中特色多样发展。完善现代职业教育体系，深化产教融合校企合作发展。推进高校“双一流”建设。提升教师队伍专业化发展水平。加快引进境外优质教育资源，满足外籍人员子女就学需求。</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区教委</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区财政局、区经济信息委、区人力社保局、区规划自然资源局</w:t>
            </w:r>
          </w:p>
        </w:tc>
      </w:tr>
      <w:tr>
        <w:tblPrEx>
          <w:tblCellMar>
            <w:top w:w="0" w:type="dxa"/>
            <w:left w:w="0" w:type="dxa"/>
            <w:bottom w:w="0" w:type="dxa"/>
            <w:right w:w="0" w:type="dxa"/>
          </w:tblCellMar>
        </w:tblPrEx>
        <w:trPr>
          <w:trHeight w:val="567"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2" w:leftChars="-1"/>
              <w:jc w:val="center"/>
              <w:rPr>
                <w:rFonts w:eastAsia="方正仿宋_GBK"/>
                <w:b/>
                <w:kern w:val="0"/>
                <w:sz w:val="24"/>
                <w:szCs w:val="24"/>
              </w:rPr>
            </w:pPr>
            <w:r>
              <w:rPr>
                <w:rFonts w:eastAsia="方正仿宋_GBK"/>
                <w:b/>
                <w:kern w:val="0"/>
                <w:sz w:val="24"/>
                <w:szCs w:val="24"/>
              </w:rPr>
              <w:t>目标任务</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573"/>
              <w:jc w:val="left"/>
              <w:rPr>
                <w:rFonts w:eastAsia="方正仿宋_GBK"/>
                <w:b/>
                <w:kern w:val="0"/>
                <w:sz w:val="24"/>
                <w:szCs w:val="24"/>
              </w:rPr>
            </w:pPr>
            <w:r>
              <w:rPr>
                <w:rFonts w:eastAsia="方正仿宋_GBK"/>
                <w:b/>
                <w:kern w:val="0"/>
                <w:sz w:val="24"/>
                <w:szCs w:val="24"/>
              </w:rPr>
              <w:t>工作措施</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19"/>
              <w:jc w:val="left"/>
              <w:rPr>
                <w:rFonts w:eastAsia="方正仿宋_GBK"/>
                <w:b/>
                <w:kern w:val="0"/>
                <w:sz w:val="24"/>
                <w:szCs w:val="24"/>
              </w:rPr>
            </w:pPr>
            <w:r>
              <w:rPr>
                <w:rFonts w:eastAsia="方正仿宋_GBK"/>
                <w:b/>
                <w:kern w:val="0"/>
                <w:sz w:val="24"/>
                <w:szCs w:val="24"/>
              </w:rPr>
              <w:t>牵头单位</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eastAsia="方正仿宋_GBK"/>
                <w:b/>
                <w:kern w:val="0"/>
                <w:sz w:val="24"/>
                <w:szCs w:val="24"/>
              </w:rPr>
            </w:pPr>
            <w:r>
              <w:rPr>
                <w:rFonts w:eastAsia="方正仿宋_GBK"/>
                <w:b/>
                <w:kern w:val="0"/>
                <w:sz w:val="24"/>
                <w:szCs w:val="24"/>
              </w:rPr>
              <w:t>配合单位</w:t>
            </w:r>
          </w:p>
        </w:tc>
      </w:tr>
      <w:tr>
        <w:tblPrEx>
          <w:tblCellMar>
            <w:top w:w="0" w:type="dxa"/>
            <w:left w:w="0" w:type="dxa"/>
            <w:bottom w:w="0" w:type="dxa"/>
            <w:right w:w="0" w:type="dxa"/>
          </w:tblCellMar>
        </w:tblPrEx>
        <w:trPr>
          <w:trHeight w:val="1693" w:hRule="exact"/>
        </w:trPr>
        <w:tc>
          <w:tcPr>
            <w:tcW w:w="44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十九、包容普惠创新</w:t>
            </w:r>
          </w:p>
          <w:p>
            <w:pPr>
              <w:autoSpaceDE w:val="0"/>
              <w:autoSpaceDN w:val="0"/>
              <w:adjustRightInd w:val="0"/>
              <w:spacing w:line="240" w:lineRule="exact"/>
              <w:jc w:val="left"/>
              <w:rPr>
                <w:rFonts w:hint="eastAsia" w:ascii="方正仿宋_GBK" w:eastAsia="方正仿宋_GBK"/>
                <w:spacing w:val="-20"/>
                <w:w w:val="90"/>
                <w:kern w:val="0"/>
                <w:sz w:val="24"/>
                <w:szCs w:val="24"/>
              </w:rPr>
            </w:pPr>
          </w:p>
        </w:tc>
        <w:tc>
          <w:tcPr>
            <w:tcW w:w="563"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78．提高基本公共服务群众满意度</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提升卫生健康基本公共服务水准。推进分级诊疗制度建设。加强医联体建设，抓紧抓实“医通、人通、财通”三通改革试点。实施家庭医生签约服务，建立“保基本、买服务”的激励性财政补偿机制。支持各级医疗机构开展国际医疗保险直付结算服务。</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区卫生健康委</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区财政局、区民政局、区医保局</w:t>
            </w:r>
          </w:p>
        </w:tc>
      </w:tr>
      <w:tr>
        <w:tblPrEx>
          <w:tblCellMar>
            <w:top w:w="0" w:type="dxa"/>
            <w:left w:w="0" w:type="dxa"/>
            <w:bottom w:w="0" w:type="dxa"/>
            <w:right w:w="0" w:type="dxa"/>
          </w:tblCellMar>
        </w:tblPrEx>
        <w:trPr>
          <w:trHeight w:val="1994" w:hRule="exact"/>
        </w:trPr>
        <w:tc>
          <w:tcPr>
            <w:tcW w:w="447" w:type="pct"/>
            <w:vMerge w:val="continue"/>
            <w:tcBorders>
              <w:top w:val="single" w:color="auto" w:sz="4" w:space="0"/>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continue"/>
            <w:tcBorders>
              <w:top w:val="single" w:color="auto" w:sz="4" w:space="0"/>
              <w:left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eastAsia="方正仿宋_GBK"/>
                <w:spacing w:val="-20"/>
                <w:w w:val="90"/>
                <w:kern w:val="0"/>
                <w:sz w:val="24"/>
                <w:szCs w:val="24"/>
              </w:rPr>
            </w:pPr>
          </w:p>
        </w:tc>
        <w:tc>
          <w:tcPr>
            <w:tcW w:w="2548" w:type="pct"/>
            <w:tcBorders>
              <w:top w:val="single" w:color="auto"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推进文化体育公共服务体系建设。改造升级一批综合文化服务中心，确保实现全覆盖。加快建设沙坪坝区文旅云，推进公共数字文化、旅游服务提档升级。继续实施24小时城市书房建设延伸计划。扩大政府购买公共服务范围，鼓励社会力量参与公共文化服务。加强群众文艺创作活动，推出一批高质量的群众喜闻乐见的优秀作品。打造全民健身品牌赛事活动，加快群众身边的全民健身设施建设。</w:t>
            </w:r>
          </w:p>
        </w:tc>
        <w:tc>
          <w:tcPr>
            <w:tcW w:w="708" w:type="pct"/>
            <w:gridSpan w:val="2"/>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区文化旅游委、区体育局</w:t>
            </w:r>
          </w:p>
        </w:tc>
        <w:tc>
          <w:tcPr>
            <w:tcW w:w="735" w:type="pct"/>
            <w:gridSpan w:val="2"/>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427" w:hRule="exact"/>
        </w:trPr>
        <w:tc>
          <w:tcPr>
            <w:tcW w:w="447" w:type="pct"/>
            <w:vMerge w:val="continue"/>
            <w:tcBorders>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continue"/>
            <w:tcBorders>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eastAsia="方正仿宋_GBK"/>
                <w:spacing w:val="-20"/>
                <w:w w:val="90"/>
                <w:kern w:val="0"/>
                <w:sz w:val="24"/>
                <w:szCs w:val="24"/>
              </w:rPr>
            </w:pPr>
          </w:p>
        </w:tc>
        <w:tc>
          <w:tcPr>
            <w:tcW w:w="2548" w:type="pct"/>
            <w:tcBorders>
              <w:top w:val="single" w:color="000000" w:sz="4" w:space="0"/>
              <w:left w:val="single" w:color="auto"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4）统筹养老基本公共服务协调发展。引导社会投资主体进入养老服务领域。开展“城企联动”普惠型养老机构建设，培育专业性养老服务企业和组织。加快推动公办养老机构改革。推动医疗卫生与养老融合发展，满足老年人医疗、康复、养老需求。</w:t>
            </w:r>
          </w:p>
        </w:tc>
        <w:tc>
          <w:tcPr>
            <w:tcW w:w="708" w:type="pct"/>
            <w:gridSpan w:val="2"/>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区民政局</w:t>
            </w:r>
          </w:p>
        </w:tc>
        <w:tc>
          <w:tcPr>
            <w:tcW w:w="735" w:type="pct"/>
            <w:gridSpan w:val="2"/>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区发展改革委、区财政局、区人力社保局、区卫生健康委</w:t>
            </w:r>
          </w:p>
        </w:tc>
      </w:tr>
      <w:tr>
        <w:tblPrEx>
          <w:tblCellMar>
            <w:top w:w="0" w:type="dxa"/>
            <w:left w:w="0" w:type="dxa"/>
            <w:bottom w:w="0" w:type="dxa"/>
            <w:right w:w="0" w:type="dxa"/>
          </w:tblCellMar>
        </w:tblPrEx>
        <w:trPr>
          <w:trHeight w:val="1986" w:hRule="exact"/>
        </w:trPr>
        <w:tc>
          <w:tcPr>
            <w:tcW w:w="447" w:type="pct"/>
            <w:vMerge w:val="continue"/>
            <w:tcBorders>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hint="eastAsia" w:eastAsia="方正仿宋_GBK"/>
                <w:spacing w:val="-20"/>
                <w:w w:val="90"/>
                <w:kern w:val="0"/>
                <w:sz w:val="24"/>
                <w:szCs w:val="24"/>
              </w:rPr>
              <w:t>79</w:t>
            </w:r>
            <w:r>
              <w:rPr>
                <w:rFonts w:eastAsia="方正仿宋_GBK"/>
                <w:spacing w:val="-20"/>
                <w:w w:val="90"/>
                <w:kern w:val="0"/>
                <w:sz w:val="24"/>
                <w:szCs w:val="24"/>
              </w:rPr>
              <w:t>．优化蓝天碧水净土森林覆盖指数</w:t>
            </w:r>
          </w:p>
          <w:p>
            <w:pPr>
              <w:autoSpaceDE w:val="0"/>
              <w:autoSpaceDN w:val="0"/>
              <w:adjustRightInd w:val="0"/>
              <w:spacing w:line="240" w:lineRule="exact"/>
              <w:jc w:val="left"/>
              <w:rPr>
                <w:rFonts w:eastAsia="方正仿宋_GBK"/>
                <w:spacing w:val="-20"/>
                <w:w w:val="90"/>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（1）改善环境空气质量。进一步强化大气污染防治“四控两增”措施，实现空气质量优良天数稳定在 300 天以上，细颗粒物年均浓度达到国家目标考核要求。</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区生态环境局</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区经济信息委、区公安分局、区住房城乡建委、区城市管理局、区交通局、区商务委、区市场监管局</w:t>
            </w:r>
          </w:p>
        </w:tc>
      </w:tr>
      <w:tr>
        <w:tblPrEx>
          <w:tblCellMar>
            <w:top w:w="0" w:type="dxa"/>
            <w:left w:w="0" w:type="dxa"/>
            <w:bottom w:w="0" w:type="dxa"/>
            <w:right w:w="0" w:type="dxa"/>
          </w:tblCellMar>
        </w:tblPrEx>
        <w:trPr>
          <w:trHeight w:val="1985" w:hRule="exact"/>
        </w:trPr>
        <w:tc>
          <w:tcPr>
            <w:tcW w:w="447" w:type="pct"/>
            <w:vMerge w:val="continue"/>
            <w:tcBorders>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563"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2548" w:type="pct"/>
            <w:tcBorders>
              <w:top w:val="single" w:color="auto"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（2）改善水体质量。全面整治辖区不达标河流，推进城市污水管网和城市污水处理厂改造、建设和升级，实施嘉陵江入河口排查整治行动和整治污水偷排偷放行为专项行动。</w:t>
            </w:r>
          </w:p>
        </w:tc>
        <w:tc>
          <w:tcPr>
            <w:tcW w:w="708" w:type="pct"/>
            <w:gridSpan w:val="2"/>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区生态环境局、区住房城乡建委</w:t>
            </w:r>
          </w:p>
        </w:tc>
        <w:tc>
          <w:tcPr>
            <w:tcW w:w="735" w:type="pct"/>
            <w:gridSpan w:val="2"/>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区发展改革委、区经济信息委、区城市管理局、区交通局、区农业农村委、相关镇街</w:t>
            </w:r>
          </w:p>
        </w:tc>
      </w:tr>
      <w:tr>
        <w:tblPrEx>
          <w:tblCellMar>
            <w:top w:w="0" w:type="dxa"/>
            <w:left w:w="0" w:type="dxa"/>
            <w:bottom w:w="0" w:type="dxa"/>
            <w:right w:w="0" w:type="dxa"/>
          </w:tblCellMar>
        </w:tblPrEx>
        <w:trPr>
          <w:trHeight w:val="566"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2" w:leftChars="-1"/>
              <w:jc w:val="center"/>
              <w:rPr>
                <w:rFonts w:eastAsia="方正仿宋_GBK"/>
                <w:b/>
                <w:kern w:val="0"/>
                <w:sz w:val="24"/>
                <w:szCs w:val="24"/>
              </w:rPr>
            </w:pPr>
            <w:r>
              <w:rPr>
                <w:rFonts w:eastAsia="方正仿宋_GBK"/>
                <w:b/>
                <w:kern w:val="0"/>
                <w:sz w:val="24"/>
                <w:szCs w:val="24"/>
              </w:rPr>
              <w:t>目标任务</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573"/>
              <w:jc w:val="left"/>
              <w:rPr>
                <w:rFonts w:hint="eastAsia" w:ascii="方正仿宋_GBK" w:eastAsia="方正仿宋_GBK"/>
                <w:b/>
                <w:kern w:val="0"/>
                <w:sz w:val="24"/>
                <w:szCs w:val="24"/>
              </w:rPr>
            </w:pPr>
            <w:r>
              <w:rPr>
                <w:rFonts w:hint="eastAsia" w:ascii="方正仿宋_GBK" w:eastAsia="方正仿宋_GBK"/>
                <w:b/>
                <w:kern w:val="0"/>
                <w:sz w:val="24"/>
                <w:szCs w:val="24"/>
              </w:rPr>
              <w:t>工作措施</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19"/>
              <w:jc w:val="left"/>
              <w:rPr>
                <w:rFonts w:hint="eastAsia" w:ascii="方正仿宋_GBK" w:eastAsia="方正仿宋_GBK"/>
                <w:b/>
                <w:kern w:val="0"/>
                <w:sz w:val="24"/>
                <w:szCs w:val="24"/>
              </w:rPr>
            </w:pPr>
            <w:r>
              <w:rPr>
                <w:rFonts w:hint="eastAsia" w:ascii="方正仿宋_GBK" w:eastAsia="方正仿宋_GBK"/>
                <w:b/>
                <w:kern w:val="0"/>
                <w:sz w:val="24"/>
                <w:szCs w:val="24"/>
              </w:rPr>
              <w:t>牵头单位</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b/>
                <w:kern w:val="0"/>
                <w:sz w:val="24"/>
                <w:szCs w:val="24"/>
              </w:rPr>
            </w:pPr>
            <w:r>
              <w:rPr>
                <w:rFonts w:hint="eastAsia" w:ascii="方正仿宋_GBK" w:eastAsia="方正仿宋_GBK"/>
                <w:b/>
                <w:kern w:val="0"/>
                <w:sz w:val="24"/>
                <w:szCs w:val="24"/>
              </w:rPr>
              <w:t>配合单位</w:t>
            </w:r>
          </w:p>
        </w:tc>
      </w:tr>
      <w:tr>
        <w:tblPrEx>
          <w:tblCellMar>
            <w:top w:w="0" w:type="dxa"/>
            <w:left w:w="0" w:type="dxa"/>
            <w:bottom w:w="0" w:type="dxa"/>
            <w:right w:w="0" w:type="dxa"/>
          </w:tblCellMar>
        </w:tblPrEx>
        <w:trPr>
          <w:trHeight w:val="2546" w:hRule="exact"/>
        </w:trPr>
        <w:tc>
          <w:tcPr>
            <w:tcW w:w="447"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十九、包容普惠创新</w:t>
            </w:r>
          </w:p>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79．优化蓝天碧水净土森林覆盖指数</w:t>
            </w:r>
          </w:p>
          <w:p>
            <w:pPr>
              <w:autoSpaceDE w:val="0"/>
              <w:autoSpaceDN w:val="0"/>
              <w:adjustRightInd w:val="0"/>
              <w:spacing w:line="240" w:lineRule="exact"/>
              <w:jc w:val="left"/>
              <w:rPr>
                <w:rFonts w:hint="eastAsia" w:ascii="方正仿宋_GBK" w:eastAsia="方正仿宋_GBK"/>
                <w:spacing w:val="-20"/>
                <w:w w:val="90"/>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（3）加强污染土地治理修复。引导工业企业聚集发展，加强工矿企业等对土壤环境的污染防治。开展疑似污染地块调查评估、风险管控及治理修复工作。</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区生态环境局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区经济信息委、区规划自然资源局、区农业农村委、工投公司、城投公司、沙房总公司、西部新城管委会、国际物流枢纽园区管委会、区征地办、区土储中心</w:t>
            </w:r>
          </w:p>
        </w:tc>
      </w:tr>
      <w:tr>
        <w:tblPrEx>
          <w:tblCellMar>
            <w:top w:w="0" w:type="dxa"/>
            <w:left w:w="0" w:type="dxa"/>
            <w:bottom w:w="0" w:type="dxa"/>
            <w:right w:w="0" w:type="dxa"/>
          </w:tblCellMar>
        </w:tblPrEx>
        <w:trPr>
          <w:trHeight w:val="1264" w:hRule="exact"/>
        </w:trPr>
        <w:tc>
          <w:tcPr>
            <w:tcW w:w="447"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spacing w:val="-20"/>
                <w:w w:val="90"/>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（4）提高森林覆盖率。发展“四旁”绿化经济林。大力建设城市公园、防护绿地、区域绿地，因地制宜开展立体绿化和消落带绿化。2022 年底前辖区建成区绿化覆盖率达到 45%。</w:t>
            </w:r>
          </w:p>
        </w:tc>
        <w:tc>
          <w:tcPr>
            <w:tcW w:w="708" w:type="pct"/>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区规划自然资源局、区城市管理局</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282" w:hRule="exact"/>
        </w:trPr>
        <w:tc>
          <w:tcPr>
            <w:tcW w:w="447" w:type="pct"/>
            <w:vMerge w:val="continue"/>
            <w:tcBorders>
              <w:top w:val="single" w:color="auto" w:sz="4" w:space="0"/>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vMerge w:val="restart"/>
            <w:tcBorders>
              <w:top w:val="single" w:color="auto" w:sz="4" w:space="0"/>
              <w:left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80．优化综合立体交通指数</w:t>
            </w:r>
          </w:p>
        </w:tc>
        <w:tc>
          <w:tcPr>
            <w:tcW w:w="2548" w:type="pct"/>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（1）提升城市干线道路密度指数。着力加快主城区“六横七纵一环多联络”骨架线网建设，加快实施 411公里次支道路建设（沙区部分），打通未贯通道路，提高路网连通性，促进微循环。2022 年底前辖区建成区道路网密度达到 8km/km</w:t>
            </w:r>
            <w:r>
              <w:rPr>
                <w:rFonts w:hint="eastAsia" w:ascii="方正仿宋_GBK" w:eastAsia="方正仿宋_GBK"/>
                <w:spacing w:val="-20"/>
                <w:w w:val="90"/>
                <w:kern w:val="0"/>
                <w:sz w:val="24"/>
                <w:szCs w:val="24"/>
                <w:vertAlign w:val="superscript"/>
              </w:rPr>
              <w:t>2</w:t>
            </w:r>
            <w:r>
              <w:rPr>
                <w:rFonts w:hint="eastAsia" w:ascii="方正仿宋_GBK" w:eastAsia="方正仿宋_GBK"/>
                <w:spacing w:val="-20"/>
                <w:w w:val="90"/>
                <w:kern w:val="0"/>
                <w:sz w:val="24"/>
                <w:szCs w:val="24"/>
              </w:rPr>
              <w:t>以上。</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区住房城乡建委</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区规划自然资源局</w:t>
            </w:r>
          </w:p>
        </w:tc>
      </w:tr>
      <w:tr>
        <w:tblPrEx>
          <w:tblCellMar>
            <w:top w:w="0" w:type="dxa"/>
            <w:left w:w="0" w:type="dxa"/>
            <w:bottom w:w="0" w:type="dxa"/>
            <w:right w:w="0" w:type="dxa"/>
          </w:tblCellMar>
        </w:tblPrEx>
        <w:trPr>
          <w:trHeight w:val="1332" w:hRule="exact"/>
        </w:trPr>
        <w:tc>
          <w:tcPr>
            <w:tcW w:w="447" w:type="pct"/>
            <w:vMerge w:val="continue"/>
            <w:tcBorders>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c>
          <w:tcPr>
            <w:tcW w:w="563" w:type="pct"/>
            <w:vMerge w:val="continue"/>
            <w:tcBorders>
              <w:left w:val="single" w:color="auto"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spacing w:val="-20"/>
                <w:w w:val="90"/>
                <w:kern w:val="0"/>
                <w:sz w:val="24"/>
                <w:szCs w:val="24"/>
              </w:rPr>
            </w:pPr>
          </w:p>
        </w:tc>
        <w:tc>
          <w:tcPr>
            <w:tcW w:w="2548" w:type="pct"/>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（2）强化对外交通便捷度。着力推进城市提升交通建设“三年行动计划”，增加辖区对外交通便捷度和通畅度。</w:t>
            </w:r>
          </w:p>
        </w:tc>
        <w:tc>
          <w:tcPr>
            <w:tcW w:w="708" w:type="pct"/>
            <w:gridSpan w:val="2"/>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7"/>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区住房城乡建委、区交通局</w:t>
            </w:r>
          </w:p>
        </w:tc>
        <w:tc>
          <w:tcPr>
            <w:tcW w:w="735" w:type="pct"/>
            <w:gridSpan w:val="2"/>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区发展改革委、区规划自然资源局</w:t>
            </w:r>
          </w:p>
        </w:tc>
      </w:tr>
      <w:tr>
        <w:tblPrEx>
          <w:tblCellMar>
            <w:top w:w="0" w:type="dxa"/>
            <w:left w:w="0" w:type="dxa"/>
            <w:bottom w:w="0" w:type="dxa"/>
            <w:right w:w="0" w:type="dxa"/>
          </w:tblCellMar>
        </w:tblPrEx>
        <w:trPr>
          <w:trHeight w:val="508" w:hRule="exact"/>
        </w:trPr>
        <w:tc>
          <w:tcPr>
            <w:tcW w:w="5000" w:type="pct"/>
            <w:gridSpan w:val="7"/>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kern w:val="0"/>
                <w:sz w:val="24"/>
                <w:szCs w:val="24"/>
              </w:rPr>
            </w:pPr>
            <w:r>
              <w:rPr>
                <w:rFonts w:hint="eastAsia" w:ascii="方正黑体_GBK" w:eastAsia="方正黑体_GBK"/>
                <w:kern w:val="0"/>
                <w:sz w:val="24"/>
                <w:szCs w:val="24"/>
              </w:rPr>
              <w:t>二、聚焦痛点难点开展专项行动</w:t>
            </w:r>
          </w:p>
        </w:tc>
      </w:tr>
      <w:tr>
        <w:tblPrEx>
          <w:tblCellMar>
            <w:top w:w="0" w:type="dxa"/>
            <w:left w:w="0" w:type="dxa"/>
            <w:bottom w:w="0" w:type="dxa"/>
            <w:right w:w="0" w:type="dxa"/>
          </w:tblCellMar>
        </w:tblPrEx>
        <w:trPr>
          <w:trHeight w:val="1457" w:hRule="atLeas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w w:val="90"/>
                <w:kern w:val="0"/>
                <w:sz w:val="24"/>
                <w:szCs w:val="24"/>
              </w:rPr>
            </w:pPr>
            <w:r>
              <w:rPr>
                <w:rFonts w:hint="eastAsia" w:ascii="方正仿宋_GBK" w:eastAsia="方正仿宋_GBK"/>
                <w:w w:val="90"/>
                <w:kern w:val="0"/>
                <w:sz w:val="24"/>
                <w:szCs w:val="24"/>
              </w:rPr>
              <w:t>1.窗口服务“再提质”专项行动</w:t>
            </w:r>
          </w:p>
        </w:tc>
        <w:tc>
          <w:tcPr>
            <w:tcW w:w="259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w w:val="90"/>
                <w:kern w:val="0"/>
                <w:sz w:val="24"/>
                <w:szCs w:val="24"/>
              </w:rPr>
            </w:pPr>
            <w:r>
              <w:rPr>
                <w:rFonts w:hint="eastAsia" w:ascii="方正仿宋_GBK" w:eastAsia="方正仿宋_GBK"/>
                <w:w w:val="90"/>
                <w:kern w:val="0"/>
                <w:sz w:val="24"/>
                <w:szCs w:val="24"/>
              </w:rPr>
              <w:t>行政许可事项“五进驻”政务大厅，落实“一次告知，一次办结”原则，审批事项、人员、印章、文书（证照）、发票全部进驻政务大厅，各审批单位一把手负责，确保2019年9月全部执行到位，加快推进工程建设项目审批服务大厅落地投用。</w:t>
            </w:r>
          </w:p>
        </w:tc>
        <w:tc>
          <w:tcPr>
            <w:tcW w:w="70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w w:val="90"/>
                <w:kern w:val="0"/>
                <w:sz w:val="24"/>
                <w:szCs w:val="24"/>
              </w:rPr>
            </w:pPr>
            <w:r>
              <w:rPr>
                <w:rFonts w:hint="eastAsia" w:ascii="方正仿宋_GBK" w:eastAsia="方正仿宋_GBK"/>
                <w:w w:val="90"/>
                <w:kern w:val="0"/>
                <w:sz w:val="24"/>
                <w:szCs w:val="24"/>
              </w:rPr>
              <w:t>区政务办</w:t>
            </w:r>
          </w:p>
        </w:tc>
        <w:tc>
          <w:tcPr>
            <w:tcW w:w="696"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w w:val="90"/>
                <w:kern w:val="0"/>
                <w:sz w:val="24"/>
                <w:szCs w:val="24"/>
              </w:rPr>
            </w:pPr>
            <w:r>
              <w:rPr>
                <w:rFonts w:hint="eastAsia" w:ascii="方正仿宋_GBK" w:eastAsia="方正仿宋_GBK"/>
                <w:w w:val="90"/>
                <w:kern w:val="0"/>
                <w:sz w:val="24"/>
                <w:szCs w:val="24"/>
              </w:rPr>
              <w:t>各有关审批部门配合</w:t>
            </w:r>
          </w:p>
        </w:tc>
      </w:tr>
      <w:tr>
        <w:tblPrEx>
          <w:tblCellMar>
            <w:top w:w="0" w:type="dxa"/>
            <w:left w:w="0" w:type="dxa"/>
            <w:bottom w:w="0" w:type="dxa"/>
            <w:right w:w="0" w:type="dxa"/>
          </w:tblCellMar>
        </w:tblPrEx>
        <w:trPr>
          <w:trHeight w:val="981" w:hRule="atLeast"/>
        </w:trPr>
        <w:tc>
          <w:tcPr>
            <w:tcW w:w="1010" w:type="pct"/>
            <w:gridSpan w:val="2"/>
            <w:vMerge w:val="restart"/>
            <w:tcBorders>
              <w:top w:val="single" w:color="auto" w:sz="4" w:space="0"/>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w w:val="90"/>
                <w:kern w:val="0"/>
                <w:sz w:val="24"/>
                <w:szCs w:val="24"/>
              </w:rPr>
            </w:pPr>
            <w:r>
              <w:rPr>
                <w:rFonts w:hint="eastAsia" w:ascii="方正仿宋_GBK" w:eastAsia="方正仿宋_GBK"/>
                <w:w w:val="90"/>
                <w:kern w:val="0"/>
                <w:sz w:val="24"/>
                <w:szCs w:val="24"/>
              </w:rPr>
              <w:t>2.行政审批“再提速”专项行动</w:t>
            </w:r>
          </w:p>
          <w:p>
            <w:pPr>
              <w:autoSpaceDE w:val="0"/>
              <w:autoSpaceDN w:val="0"/>
              <w:adjustRightInd w:val="0"/>
              <w:spacing w:line="240" w:lineRule="exact"/>
              <w:ind w:left="16"/>
              <w:jc w:val="left"/>
              <w:rPr>
                <w:rFonts w:hint="eastAsia" w:ascii="方正仿宋_GBK" w:eastAsia="方正仿宋_GBK"/>
                <w:w w:val="90"/>
                <w:kern w:val="0"/>
                <w:sz w:val="24"/>
                <w:szCs w:val="24"/>
              </w:rPr>
            </w:pPr>
          </w:p>
        </w:tc>
        <w:tc>
          <w:tcPr>
            <w:tcW w:w="259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w w:val="90"/>
                <w:kern w:val="0"/>
                <w:sz w:val="24"/>
                <w:szCs w:val="24"/>
              </w:rPr>
            </w:pPr>
            <w:r>
              <w:rPr>
                <w:rFonts w:hint="eastAsia" w:ascii="方正仿宋_GBK" w:eastAsia="方正仿宋_GBK"/>
                <w:w w:val="90"/>
                <w:kern w:val="0"/>
                <w:sz w:val="24"/>
                <w:szCs w:val="24"/>
              </w:rPr>
              <w:t>（1）对业务流程进行革命性再造，推行审批服务联合会审制度，最大限度减少审批环节，解决部门要件互为前置矛盾。</w:t>
            </w:r>
          </w:p>
        </w:tc>
        <w:tc>
          <w:tcPr>
            <w:tcW w:w="700" w:type="pct"/>
            <w:gridSpan w:val="2"/>
            <w:vMerge w:val="restart"/>
            <w:tcBorders>
              <w:top w:val="single" w:color="auto" w:sz="4" w:space="0"/>
              <w:left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w w:val="90"/>
                <w:kern w:val="0"/>
                <w:sz w:val="24"/>
                <w:szCs w:val="24"/>
              </w:rPr>
            </w:pPr>
            <w:r>
              <w:rPr>
                <w:rFonts w:hint="eastAsia" w:ascii="方正仿宋_GBK" w:eastAsia="方正仿宋_GBK"/>
                <w:w w:val="90"/>
                <w:kern w:val="0"/>
                <w:sz w:val="24"/>
                <w:szCs w:val="24"/>
              </w:rPr>
              <w:t>区政务办</w:t>
            </w:r>
          </w:p>
        </w:tc>
        <w:tc>
          <w:tcPr>
            <w:tcW w:w="696" w:type="pct"/>
            <w:vMerge w:val="restart"/>
            <w:tcBorders>
              <w:top w:val="single" w:color="auto" w:sz="4" w:space="0"/>
              <w:left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w w:val="90"/>
                <w:kern w:val="0"/>
                <w:sz w:val="24"/>
                <w:szCs w:val="24"/>
              </w:rPr>
            </w:pPr>
            <w:r>
              <w:rPr>
                <w:rFonts w:hint="eastAsia" w:ascii="方正仿宋_GBK" w:eastAsia="方正仿宋_GBK"/>
                <w:w w:val="90"/>
                <w:kern w:val="0"/>
                <w:sz w:val="24"/>
                <w:szCs w:val="24"/>
              </w:rPr>
              <w:t>各有关审批部门配合</w:t>
            </w:r>
          </w:p>
        </w:tc>
      </w:tr>
      <w:tr>
        <w:tblPrEx>
          <w:tblCellMar>
            <w:top w:w="0" w:type="dxa"/>
            <w:left w:w="0" w:type="dxa"/>
            <w:bottom w:w="0" w:type="dxa"/>
            <w:right w:w="0" w:type="dxa"/>
          </w:tblCellMar>
        </w:tblPrEx>
        <w:trPr>
          <w:trHeight w:val="844" w:hRule="exact"/>
        </w:trPr>
        <w:tc>
          <w:tcPr>
            <w:tcW w:w="1010" w:type="pct"/>
            <w:gridSpan w:val="2"/>
            <w:vMerge w:val="continue"/>
            <w:tcBorders>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w w:val="99"/>
                <w:kern w:val="0"/>
                <w:sz w:val="24"/>
                <w:szCs w:val="24"/>
              </w:rPr>
            </w:pPr>
          </w:p>
        </w:tc>
        <w:tc>
          <w:tcPr>
            <w:tcW w:w="259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w w:val="99"/>
                <w:kern w:val="0"/>
                <w:sz w:val="24"/>
                <w:szCs w:val="24"/>
              </w:rPr>
            </w:pPr>
            <w:r>
              <w:rPr>
                <w:rFonts w:hint="eastAsia" w:ascii="方正仿宋_GBK" w:eastAsia="方正仿宋_GBK"/>
                <w:w w:val="99"/>
                <w:kern w:val="0"/>
                <w:sz w:val="24"/>
                <w:szCs w:val="24"/>
              </w:rPr>
              <w:t>（2）通过信用承诺容缺受理、部门协查等方式，进一步精简市场主体办事要件。</w:t>
            </w:r>
          </w:p>
        </w:tc>
        <w:tc>
          <w:tcPr>
            <w:tcW w:w="700" w:type="pct"/>
            <w:gridSpan w:val="2"/>
            <w:vMerge w:val="continue"/>
            <w:tcBorders>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w w:val="99"/>
                <w:kern w:val="0"/>
                <w:sz w:val="24"/>
                <w:szCs w:val="24"/>
              </w:rPr>
            </w:pPr>
          </w:p>
        </w:tc>
        <w:tc>
          <w:tcPr>
            <w:tcW w:w="696" w:type="pct"/>
            <w:vMerge w:val="continue"/>
            <w:tcBorders>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w w:val="99"/>
                <w:kern w:val="0"/>
                <w:sz w:val="24"/>
                <w:szCs w:val="24"/>
              </w:rPr>
            </w:pPr>
          </w:p>
        </w:tc>
      </w:tr>
      <w:tr>
        <w:tblPrEx>
          <w:tblCellMar>
            <w:top w:w="0" w:type="dxa"/>
            <w:left w:w="0" w:type="dxa"/>
            <w:bottom w:w="0" w:type="dxa"/>
            <w:right w:w="0" w:type="dxa"/>
          </w:tblCellMar>
        </w:tblPrEx>
        <w:trPr>
          <w:trHeight w:val="566"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2" w:leftChars="-1"/>
              <w:jc w:val="center"/>
              <w:rPr>
                <w:rFonts w:hint="eastAsia" w:ascii="方正仿宋_GBK" w:eastAsia="方正仿宋_GBK"/>
                <w:b/>
                <w:kern w:val="0"/>
                <w:sz w:val="24"/>
                <w:szCs w:val="24"/>
              </w:rPr>
            </w:pPr>
            <w:r>
              <w:rPr>
                <w:rFonts w:hint="eastAsia" w:ascii="方正仿宋_GBK" w:eastAsia="方正仿宋_GBK"/>
                <w:b/>
                <w:kern w:val="0"/>
                <w:sz w:val="24"/>
                <w:szCs w:val="24"/>
              </w:rPr>
              <w:t>目标任务</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573"/>
              <w:jc w:val="left"/>
              <w:rPr>
                <w:rFonts w:hint="eastAsia" w:ascii="方正仿宋_GBK" w:eastAsia="方正仿宋_GBK"/>
                <w:b/>
                <w:kern w:val="0"/>
                <w:sz w:val="24"/>
                <w:szCs w:val="24"/>
              </w:rPr>
            </w:pPr>
            <w:r>
              <w:rPr>
                <w:rFonts w:hint="eastAsia" w:ascii="方正仿宋_GBK" w:eastAsia="方正仿宋_GBK"/>
                <w:b/>
                <w:kern w:val="0"/>
                <w:sz w:val="24"/>
                <w:szCs w:val="24"/>
              </w:rPr>
              <w:t>工作措施</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19"/>
              <w:jc w:val="left"/>
              <w:rPr>
                <w:rFonts w:hint="eastAsia" w:ascii="方正仿宋_GBK" w:eastAsia="方正仿宋_GBK"/>
                <w:b/>
                <w:kern w:val="0"/>
                <w:sz w:val="24"/>
                <w:szCs w:val="24"/>
              </w:rPr>
            </w:pPr>
            <w:r>
              <w:rPr>
                <w:rFonts w:hint="eastAsia" w:ascii="方正仿宋_GBK" w:eastAsia="方正仿宋_GBK"/>
                <w:b/>
                <w:kern w:val="0"/>
                <w:sz w:val="24"/>
                <w:szCs w:val="24"/>
              </w:rPr>
              <w:t>牵头单位</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b/>
                <w:kern w:val="0"/>
                <w:sz w:val="24"/>
                <w:szCs w:val="24"/>
              </w:rPr>
            </w:pPr>
            <w:r>
              <w:rPr>
                <w:rFonts w:hint="eastAsia" w:ascii="方正仿宋_GBK" w:eastAsia="方正仿宋_GBK"/>
                <w:b/>
                <w:kern w:val="0"/>
                <w:sz w:val="24"/>
                <w:szCs w:val="24"/>
              </w:rPr>
              <w:t>配合单位</w:t>
            </w:r>
          </w:p>
        </w:tc>
      </w:tr>
      <w:tr>
        <w:tblPrEx>
          <w:tblCellMar>
            <w:top w:w="0" w:type="dxa"/>
            <w:left w:w="0" w:type="dxa"/>
            <w:bottom w:w="0" w:type="dxa"/>
            <w:right w:w="0" w:type="dxa"/>
          </w:tblCellMar>
        </w:tblPrEx>
        <w:trPr>
          <w:trHeight w:val="1206" w:hRule="exact"/>
        </w:trPr>
        <w:tc>
          <w:tcPr>
            <w:tcW w:w="1010" w:type="pct"/>
            <w:gridSpan w:val="2"/>
            <w:vMerge w:val="restart"/>
            <w:tcBorders>
              <w:top w:val="single" w:color="auto" w:sz="4" w:space="0"/>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2.行政审批“再提速”专项行动</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（3）不断扩大网上办事大厅受理事项范围，能够网上办理的事项年内全部实现网上办理，不断扩大只跑一次、一次不跑事项范围。</w:t>
            </w:r>
          </w:p>
        </w:tc>
        <w:tc>
          <w:tcPr>
            <w:tcW w:w="708" w:type="pct"/>
            <w:gridSpan w:val="2"/>
            <w:vMerge w:val="restart"/>
            <w:tcBorders>
              <w:top w:val="single" w:color="auto" w:sz="4" w:space="0"/>
              <w:left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区政务办</w:t>
            </w:r>
          </w:p>
        </w:tc>
        <w:tc>
          <w:tcPr>
            <w:tcW w:w="735" w:type="pct"/>
            <w:gridSpan w:val="2"/>
            <w:vMerge w:val="restart"/>
            <w:tcBorders>
              <w:top w:val="single" w:color="auto" w:sz="4" w:space="0"/>
              <w:left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hint="eastAsia" w:ascii="方正仿宋_GBK" w:eastAsia="方正仿宋_GBK"/>
                <w:w w:val="99"/>
                <w:kern w:val="0"/>
                <w:sz w:val="24"/>
                <w:szCs w:val="24"/>
              </w:rPr>
            </w:pPr>
            <w:r>
              <w:rPr>
                <w:rFonts w:hint="eastAsia" w:ascii="方正仿宋_GBK" w:eastAsia="方正仿宋_GBK"/>
                <w:w w:val="99"/>
                <w:kern w:val="0"/>
                <w:sz w:val="24"/>
                <w:szCs w:val="24"/>
              </w:rPr>
              <w:t>各有关审批部门配合</w:t>
            </w:r>
          </w:p>
        </w:tc>
      </w:tr>
      <w:tr>
        <w:tblPrEx>
          <w:tblCellMar>
            <w:top w:w="0" w:type="dxa"/>
            <w:left w:w="0" w:type="dxa"/>
            <w:bottom w:w="0" w:type="dxa"/>
            <w:right w:w="0" w:type="dxa"/>
          </w:tblCellMar>
        </w:tblPrEx>
        <w:trPr>
          <w:trHeight w:val="953" w:hRule="exact"/>
        </w:trPr>
        <w:tc>
          <w:tcPr>
            <w:tcW w:w="1010" w:type="pct"/>
            <w:gridSpan w:val="2"/>
            <w:vMerge w:val="continue"/>
            <w:tcBorders>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（4）审批时限在2019年上半年压缩30%的基础上，能减则减尽量减，确保达到最低时限，力争所有行政审批事项办事效率达到最优水平。</w:t>
            </w:r>
          </w:p>
        </w:tc>
        <w:tc>
          <w:tcPr>
            <w:tcW w:w="708" w:type="pct"/>
            <w:gridSpan w:val="2"/>
            <w:vMerge w:val="continue"/>
            <w:tcBorders>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eastAsia="方正仿宋_GBK"/>
                <w:spacing w:val="-20"/>
                <w:w w:val="90"/>
                <w:kern w:val="0"/>
                <w:sz w:val="24"/>
                <w:szCs w:val="24"/>
              </w:rPr>
            </w:pPr>
          </w:p>
        </w:tc>
        <w:tc>
          <w:tcPr>
            <w:tcW w:w="735" w:type="pct"/>
            <w:gridSpan w:val="2"/>
            <w:vMerge w:val="continue"/>
            <w:tcBorders>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eastAsia="方正仿宋_GBK"/>
                <w:w w:val="99"/>
                <w:kern w:val="0"/>
                <w:sz w:val="24"/>
                <w:szCs w:val="24"/>
              </w:rPr>
            </w:pPr>
          </w:p>
        </w:tc>
      </w:tr>
      <w:tr>
        <w:tblPrEx>
          <w:tblCellMar>
            <w:top w:w="0" w:type="dxa"/>
            <w:left w:w="0" w:type="dxa"/>
            <w:bottom w:w="0" w:type="dxa"/>
            <w:right w:w="0" w:type="dxa"/>
          </w:tblCellMar>
        </w:tblPrEx>
        <w:trPr>
          <w:trHeight w:val="1689" w:hRule="exact"/>
        </w:trPr>
        <w:tc>
          <w:tcPr>
            <w:tcW w:w="1010" w:type="pct"/>
            <w:gridSpan w:val="2"/>
            <w:vMerge w:val="restart"/>
            <w:tcBorders>
              <w:top w:val="single" w:color="auto" w:sz="4" w:space="0"/>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rPr>
                <w:rFonts w:eastAsia="方正仿宋_GBK"/>
                <w:spacing w:val="-20"/>
                <w:w w:val="90"/>
                <w:kern w:val="0"/>
                <w:sz w:val="24"/>
                <w:szCs w:val="24"/>
              </w:rPr>
            </w:pPr>
            <w:r>
              <w:rPr>
                <w:rFonts w:eastAsia="方正仿宋_GBK"/>
                <w:spacing w:val="-20"/>
                <w:w w:val="90"/>
                <w:kern w:val="0"/>
                <w:sz w:val="24"/>
                <w:szCs w:val="24"/>
              </w:rPr>
              <w:t>3.政策扶持“易兑现”专项行动</w:t>
            </w:r>
          </w:p>
          <w:p>
            <w:pPr>
              <w:autoSpaceDE w:val="0"/>
              <w:autoSpaceDN w:val="0"/>
              <w:adjustRightInd w:val="0"/>
              <w:spacing w:line="240" w:lineRule="exact"/>
              <w:ind w:left="16"/>
              <w:jc w:val="left"/>
              <w:rPr>
                <w:rFonts w:eastAsia="方正仿宋_GBK"/>
                <w:spacing w:val="-20"/>
                <w:w w:val="90"/>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eastAsia="方正仿宋_GBK"/>
                <w:spacing w:val="-20"/>
                <w:w w:val="90"/>
                <w:kern w:val="0"/>
                <w:sz w:val="24"/>
                <w:szCs w:val="24"/>
              </w:rPr>
            </w:pPr>
            <w:r>
              <w:rPr>
                <w:rFonts w:hint="eastAsia" w:eastAsia="方正仿宋_GBK"/>
                <w:spacing w:val="-20"/>
                <w:w w:val="90"/>
                <w:kern w:val="0"/>
                <w:sz w:val="24"/>
                <w:szCs w:val="24"/>
              </w:rPr>
              <w:t>（1）</w:t>
            </w:r>
            <w:r>
              <w:rPr>
                <w:rFonts w:eastAsia="方正仿宋_GBK"/>
                <w:spacing w:val="-20"/>
                <w:w w:val="90"/>
                <w:kern w:val="0"/>
                <w:sz w:val="24"/>
                <w:szCs w:val="24"/>
              </w:rPr>
              <w:t>根据企业规模、所属行业等特点，整合建立先进制造、技术服务、商贸物流、现代金融、其它服务业等若干个政策分享群，吸纳企业高管或行政负责人入群，相关行业主管部门作为“群主”，及时发布所在部门的产业扶持政策，并协助办理政策释疑、申报、兑现等工作。</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区商务委、区经济信息委、区财政局、区科技局、城投公司、工投公司、国际物流枢纽园公司</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w w:val="99"/>
                <w:kern w:val="0"/>
                <w:sz w:val="24"/>
                <w:szCs w:val="24"/>
              </w:rPr>
            </w:pPr>
          </w:p>
        </w:tc>
      </w:tr>
      <w:tr>
        <w:tblPrEx>
          <w:tblCellMar>
            <w:top w:w="0" w:type="dxa"/>
            <w:left w:w="0" w:type="dxa"/>
            <w:bottom w:w="0" w:type="dxa"/>
            <w:right w:w="0" w:type="dxa"/>
          </w:tblCellMar>
        </w:tblPrEx>
        <w:trPr>
          <w:trHeight w:val="990" w:hRule="exact"/>
        </w:trPr>
        <w:tc>
          <w:tcPr>
            <w:tcW w:w="1010" w:type="pct"/>
            <w:gridSpan w:val="2"/>
            <w:vMerge w:val="continue"/>
            <w:tcBorders>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hint="eastAsia" w:eastAsia="方正仿宋_GBK"/>
                <w:spacing w:val="-20"/>
                <w:w w:val="90"/>
                <w:kern w:val="0"/>
                <w:sz w:val="24"/>
                <w:szCs w:val="24"/>
              </w:rPr>
              <w:t>（2）</w:t>
            </w:r>
            <w:r>
              <w:rPr>
                <w:rFonts w:eastAsia="方正仿宋_GBK"/>
                <w:spacing w:val="-20"/>
                <w:w w:val="90"/>
                <w:kern w:val="0"/>
                <w:sz w:val="24"/>
                <w:szCs w:val="24"/>
              </w:rPr>
              <w:t>招商政策兑现切实增强契约精神，实行即时受理、及时办理。</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区政府督查办</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w w:val="90"/>
                <w:kern w:val="0"/>
                <w:sz w:val="24"/>
                <w:szCs w:val="24"/>
              </w:rPr>
            </w:pPr>
            <w:r>
              <w:rPr>
                <w:rFonts w:eastAsia="方正仿宋_GBK"/>
                <w:w w:val="90"/>
                <w:kern w:val="0"/>
                <w:sz w:val="24"/>
                <w:szCs w:val="24"/>
              </w:rPr>
              <w:t>区招商中心、各平台公司、区财政局</w:t>
            </w:r>
          </w:p>
        </w:tc>
      </w:tr>
      <w:tr>
        <w:tblPrEx>
          <w:tblCellMar>
            <w:top w:w="0" w:type="dxa"/>
            <w:left w:w="0" w:type="dxa"/>
            <w:bottom w:w="0" w:type="dxa"/>
            <w:right w:w="0" w:type="dxa"/>
          </w:tblCellMar>
        </w:tblPrEx>
        <w:trPr>
          <w:trHeight w:val="1132" w:hRule="exact"/>
        </w:trPr>
        <w:tc>
          <w:tcPr>
            <w:tcW w:w="1010" w:type="pct"/>
            <w:gridSpan w:val="2"/>
            <w:vMerge w:val="continue"/>
            <w:tcBorders>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hint="eastAsia" w:eastAsia="方正仿宋_GBK"/>
                <w:spacing w:val="-20"/>
                <w:w w:val="90"/>
                <w:kern w:val="0"/>
                <w:sz w:val="24"/>
                <w:szCs w:val="24"/>
              </w:rPr>
              <w:t>（3）</w:t>
            </w:r>
            <w:r>
              <w:rPr>
                <w:rFonts w:eastAsia="方正仿宋_GBK"/>
                <w:spacing w:val="-20"/>
                <w:w w:val="90"/>
                <w:kern w:val="0"/>
                <w:sz w:val="24"/>
                <w:szCs w:val="24"/>
              </w:rPr>
              <w:t>扶持政策申报和招商政策兑现的全过程纳入监督范畴，对实名举报不作为、加门槛、讲价钱、要好处等行为，一经查实，一律严惩。</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区纪委监委</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w w:val="99"/>
                <w:kern w:val="0"/>
                <w:sz w:val="24"/>
                <w:szCs w:val="24"/>
              </w:rPr>
            </w:pPr>
          </w:p>
        </w:tc>
      </w:tr>
      <w:tr>
        <w:tblPrEx>
          <w:tblCellMar>
            <w:top w:w="0" w:type="dxa"/>
            <w:left w:w="0" w:type="dxa"/>
            <w:bottom w:w="0" w:type="dxa"/>
            <w:right w:w="0" w:type="dxa"/>
          </w:tblCellMar>
        </w:tblPrEx>
        <w:trPr>
          <w:trHeight w:val="2136"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4.行政执法“查典型”专项行动</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全面深化“双随机</w:t>
            </w:r>
            <w:r>
              <w:rPr>
                <w:rFonts w:hint="eastAsia" w:eastAsia="方正仿宋_GBK"/>
                <w:spacing w:val="-20"/>
                <w:w w:val="90"/>
                <w:kern w:val="0"/>
                <w:sz w:val="24"/>
                <w:szCs w:val="24"/>
                <w:lang w:eastAsia="zh-CN"/>
              </w:rPr>
              <w:t>、</w:t>
            </w:r>
            <w:r>
              <w:rPr>
                <w:rFonts w:eastAsia="方正仿宋_GBK"/>
                <w:spacing w:val="-20"/>
                <w:w w:val="90"/>
                <w:kern w:val="0"/>
                <w:sz w:val="24"/>
                <w:szCs w:val="24"/>
              </w:rPr>
              <w:t>一公开”监管，严格执行行政处罚自由裁量权基准，严格执行行政检查计划，通过营商环境投诉举报和委托三方机构开展民调等办法，加强对执法行为的监督检查，对过度检查、随意执法等问题开展常态化监督、抽查和整治，查处一批典型案例予以严处。</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区司法局</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w w:val="99"/>
                <w:kern w:val="0"/>
                <w:sz w:val="24"/>
                <w:szCs w:val="24"/>
              </w:rPr>
            </w:pPr>
            <w:r>
              <w:rPr>
                <w:rFonts w:eastAsia="方正仿宋_GBK"/>
                <w:w w:val="99"/>
                <w:kern w:val="0"/>
                <w:sz w:val="24"/>
                <w:szCs w:val="24"/>
              </w:rPr>
              <w:t>区政府督查办、区纪委监委、区发展改革委、区市场监管局</w:t>
            </w:r>
          </w:p>
        </w:tc>
      </w:tr>
      <w:tr>
        <w:tblPrEx>
          <w:tblCellMar>
            <w:top w:w="0" w:type="dxa"/>
            <w:left w:w="0" w:type="dxa"/>
            <w:bottom w:w="0" w:type="dxa"/>
            <w:right w:w="0" w:type="dxa"/>
          </w:tblCellMar>
        </w:tblPrEx>
        <w:trPr>
          <w:trHeight w:val="2419"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5.信用建设“比诚信”专项行动</w:t>
            </w:r>
          </w:p>
          <w:p>
            <w:pPr>
              <w:autoSpaceDE w:val="0"/>
              <w:autoSpaceDN w:val="0"/>
              <w:adjustRightInd w:val="0"/>
              <w:spacing w:line="240" w:lineRule="exact"/>
              <w:ind w:left="16"/>
              <w:jc w:val="left"/>
              <w:rPr>
                <w:rFonts w:eastAsia="方正仿宋_GBK"/>
                <w:spacing w:val="-20"/>
                <w:w w:val="90"/>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完善政府守信践诺机制，对未履行的承诺事项形成台账逐一解决。完善国家、市、区三级互联互通的信用信息共享平台，每季度对各部门信用信息归集情况进行通报。推动法院、市场监管、</w:t>
            </w:r>
            <w:r>
              <w:rPr>
                <w:rFonts w:hint="eastAsia" w:eastAsia="方正仿宋_GBK"/>
                <w:spacing w:val="-20"/>
                <w:w w:val="90"/>
                <w:kern w:val="0"/>
                <w:sz w:val="24"/>
                <w:szCs w:val="24"/>
              </w:rPr>
              <w:t>应急</w:t>
            </w:r>
            <w:r>
              <w:rPr>
                <w:rFonts w:eastAsia="方正仿宋_GBK"/>
                <w:spacing w:val="-20"/>
                <w:w w:val="90"/>
                <w:kern w:val="0"/>
                <w:sz w:val="24"/>
                <w:szCs w:val="24"/>
              </w:rPr>
              <w:t>、</w:t>
            </w:r>
            <w:r>
              <w:rPr>
                <w:rFonts w:hint="eastAsia" w:eastAsia="方正仿宋_GBK"/>
                <w:spacing w:val="-20"/>
                <w:w w:val="90"/>
                <w:kern w:val="0"/>
                <w:sz w:val="24"/>
                <w:szCs w:val="24"/>
              </w:rPr>
              <w:t>税务</w:t>
            </w:r>
            <w:r>
              <w:rPr>
                <w:rFonts w:eastAsia="方正仿宋_GBK"/>
                <w:spacing w:val="-20"/>
                <w:w w:val="90"/>
                <w:kern w:val="0"/>
                <w:sz w:val="24"/>
                <w:szCs w:val="24"/>
              </w:rPr>
              <w:t>、人社、环保、住建、旅游、民政等领域建立完善社会信用红黑名单管理制度，对守信（失信）主体采取联合奖惩措施，对工作不力的单位在相关考核中予以扣分。</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spacing w:val="-20"/>
                <w:w w:val="90"/>
                <w:kern w:val="0"/>
                <w:sz w:val="24"/>
                <w:szCs w:val="24"/>
              </w:rPr>
            </w:pPr>
            <w:r>
              <w:rPr>
                <w:rFonts w:eastAsia="方正仿宋_GBK"/>
                <w:spacing w:val="-20"/>
                <w:w w:val="90"/>
                <w:kern w:val="0"/>
                <w:sz w:val="24"/>
                <w:szCs w:val="24"/>
              </w:rPr>
              <w:t>区发展改革委</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eastAsia="方正仿宋_GBK"/>
                <w:w w:val="99"/>
                <w:kern w:val="0"/>
                <w:sz w:val="24"/>
                <w:szCs w:val="24"/>
              </w:rPr>
            </w:pPr>
            <w:r>
              <w:rPr>
                <w:rFonts w:eastAsia="方正仿宋_GBK"/>
                <w:w w:val="99"/>
                <w:kern w:val="0"/>
                <w:sz w:val="24"/>
                <w:szCs w:val="24"/>
              </w:rPr>
              <w:t>社会信用体系建设联席会议成员单位</w:t>
            </w:r>
          </w:p>
        </w:tc>
      </w:tr>
      <w:tr>
        <w:tblPrEx>
          <w:tblCellMar>
            <w:top w:w="0" w:type="dxa"/>
            <w:left w:w="0" w:type="dxa"/>
            <w:bottom w:w="0" w:type="dxa"/>
            <w:right w:w="0" w:type="dxa"/>
          </w:tblCellMar>
        </w:tblPrEx>
        <w:trPr>
          <w:trHeight w:val="566"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2" w:leftChars="-1"/>
              <w:jc w:val="center"/>
              <w:rPr>
                <w:rFonts w:eastAsia="方正仿宋_GBK"/>
                <w:b/>
                <w:kern w:val="0"/>
                <w:sz w:val="24"/>
                <w:szCs w:val="24"/>
              </w:rPr>
            </w:pPr>
            <w:r>
              <w:rPr>
                <w:rFonts w:eastAsia="方正仿宋_GBK"/>
                <w:b/>
                <w:kern w:val="0"/>
                <w:sz w:val="24"/>
                <w:szCs w:val="24"/>
              </w:rPr>
              <w:t>目标任务</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573"/>
              <w:jc w:val="left"/>
              <w:rPr>
                <w:rFonts w:eastAsia="方正仿宋_GBK"/>
                <w:b/>
                <w:kern w:val="0"/>
                <w:sz w:val="24"/>
                <w:szCs w:val="24"/>
              </w:rPr>
            </w:pPr>
            <w:r>
              <w:rPr>
                <w:rFonts w:eastAsia="方正仿宋_GBK"/>
                <w:b/>
                <w:kern w:val="0"/>
                <w:sz w:val="24"/>
                <w:szCs w:val="24"/>
              </w:rPr>
              <w:t>工作措施</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19"/>
              <w:jc w:val="left"/>
              <w:rPr>
                <w:rFonts w:eastAsia="方正仿宋_GBK"/>
                <w:b/>
                <w:kern w:val="0"/>
                <w:sz w:val="24"/>
                <w:szCs w:val="24"/>
              </w:rPr>
            </w:pPr>
            <w:r>
              <w:rPr>
                <w:rFonts w:eastAsia="方正仿宋_GBK"/>
                <w:b/>
                <w:kern w:val="0"/>
                <w:sz w:val="24"/>
                <w:szCs w:val="24"/>
              </w:rPr>
              <w:t>牵头单位</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jc w:val="left"/>
              <w:rPr>
                <w:rFonts w:eastAsia="方正仿宋_GBK"/>
                <w:b/>
                <w:kern w:val="0"/>
                <w:sz w:val="24"/>
                <w:szCs w:val="24"/>
              </w:rPr>
            </w:pPr>
            <w:r>
              <w:rPr>
                <w:rFonts w:eastAsia="方正仿宋_GBK"/>
                <w:b/>
                <w:kern w:val="0"/>
                <w:sz w:val="24"/>
                <w:szCs w:val="24"/>
              </w:rPr>
              <w:t>配合单位</w:t>
            </w:r>
          </w:p>
        </w:tc>
      </w:tr>
      <w:tr>
        <w:tblPrEx>
          <w:tblCellMar>
            <w:top w:w="0" w:type="dxa"/>
            <w:left w:w="0" w:type="dxa"/>
            <w:bottom w:w="0" w:type="dxa"/>
            <w:right w:w="0" w:type="dxa"/>
          </w:tblCellMar>
        </w:tblPrEx>
        <w:trPr>
          <w:trHeight w:val="836" w:hRule="atLeast"/>
        </w:trPr>
        <w:tc>
          <w:tcPr>
            <w:tcW w:w="1010" w:type="pct"/>
            <w:gridSpan w:val="2"/>
            <w:vMerge w:val="restart"/>
            <w:tcBorders>
              <w:top w:val="single" w:color="auto" w:sz="4" w:space="0"/>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w w:val="99"/>
                <w:kern w:val="0"/>
                <w:sz w:val="24"/>
                <w:szCs w:val="24"/>
              </w:rPr>
            </w:pPr>
            <w:r>
              <w:rPr>
                <w:rFonts w:hint="eastAsia" w:ascii="方正仿宋_GBK" w:eastAsia="方正仿宋_GBK"/>
                <w:w w:val="99"/>
                <w:kern w:val="0"/>
                <w:sz w:val="24"/>
                <w:szCs w:val="24"/>
              </w:rPr>
              <w:t>6.企业经营“降成本”专项行动</w:t>
            </w:r>
          </w:p>
          <w:p>
            <w:pPr>
              <w:autoSpaceDE w:val="0"/>
              <w:autoSpaceDN w:val="0"/>
              <w:adjustRightInd w:val="0"/>
              <w:spacing w:line="240" w:lineRule="exact"/>
              <w:ind w:left="16"/>
              <w:jc w:val="left"/>
              <w:rPr>
                <w:rFonts w:hint="eastAsia" w:ascii="方正仿宋_GBK" w:eastAsia="方正仿宋_GBK"/>
                <w:w w:val="99"/>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（1）加快落实制造业等行业增值税降至13%，交通运输、建筑业等行业增值税降至9%。</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区税务局</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266" w:hRule="exact"/>
        </w:trPr>
        <w:tc>
          <w:tcPr>
            <w:tcW w:w="1010" w:type="pct"/>
            <w:gridSpan w:val="2"/>
            <w:vMerge w:val="continue"/>
            <w:tcBorders>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w w:val="99"/>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（2）中小企业宽带资费再降低15%，企业职工养老保险单位缴费比例降至16%，困难行业企业社保单位缴费基数下限调整到1800元/月。</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区人力社保局、区电信分公司</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120" w:hRule="exact"/>
        </w:trPr>
        <w:tc>
          <w:tcPr>
            <w:tcW w:w="1010" w:type="pct"/>
            <w:gridSpan w:val="2"/>
            <w:vMerge w:val="continue"/>
            <w:tcBorders>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w w:val="99"/>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（3）一般工商业平均电价再降10%，城镇燃气企业转供的具有调峰能力的工业企业日均用气量超过1万立方米的部分，督促燃气企业继续执行0.1元—0.3元/立方米的配气价格优惠。</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区经济信息委</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853" w:hRule="exact"/>
        </w:trPr>
        <w:tc>
          <w:tcPr>
            <w:tcW w:w="1010" w:type="pct"/>
            <w:gridSpan w:val="2"/>
            <w:vMerge w:val="restart"/>
            <w:tcBorders>
              <w:top w:val="single" w:color="auto" w:sz="4" w:space="0"/>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w w:val="99"/>
                <w:kern w:val="0"/>
                <w:sz w:val="24"/>
                <w:szCs w:val="24"/>
              </w:rPr>
            </w:pPr>
            <w:r>
              <w:rPr>
                <w:rFonts w:hint="eastAsia" w:ascii="方正仿宋_GBK" w:eastAsia="方正仿宋_GBK"/>
                <w:w w:val="99"/>
                <w:kern w:val="0"/>
                <w:sz w:val="24"/>
                <w:szCs w:val="24"/>
              </w:rPr>
              <w:t>7.强化监督“消差评”专项行动</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（1）将区政务办投诉电话和区长公开电话公布作为营商环境投诉监督电话。</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区政府办、区政务办</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108" w:hRule="exact"/>
        </w:trPr>
        <w:tc>
          <w:tcPr>
            <w:tcW w:w="1010" w:type="pct"/>
            <w:gridSpan w:val="2"/>
            <w:vMerge w:val="continue"/>
            <w:tcBorders>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w w:val="99"/>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（2）印制营商环境监督海报和小卡片，并在全区政务服务各窗口、工商联和行业协会粘贴和摆放。</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区委宣传部</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821" w:hRule="exact"/>
        </w:trPr>
        <w:tc>
          <w:tcPr>
            <w:tcW w:w="1010" w:type="pct"/>
            <w:gridSpan w:val="2"/>
            <w:vMerge w:val="continue"/>
            <w:tcBorders>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w w:val="99"/>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（3）对慵懒散、办事态度恶劣、吃拿卡要和其它不正之风形成无死角常态监督。</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区纪委监委</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279" w:hRule="exact"/>
        </w:trPr>
        <w:tc>
          <w:tcPr>
            <w:tcW w:w="1010" w:type="pct"/>
            <w:gridSpan w:val="2"/>
            <w:vMerge w:val="continue"/>
            <w:tcBorders>
              <w:left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w w:val="99"/>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（4）将政务服务效能纳入常态化监察，反映问题一经查实，取消单位评先评优资格，对当事人按党纪党规严肃处理，情节严重的约谈问责所在单位一把手。</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区纪委监委</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315" w:hRule="exact"/>
        </w:trPr>
        <w:tc>
          <w:tcPr>
            <w:tcW w:w="1010" w:type="pct"/>
            <w:gridSpan w:val="2"/>
            <w:vMerge w:val="continue"/>
            <w:tcBorders>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w w:val="99"/>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（5）持续做好“百名科所长评议”工作，消除“中梗阻”，激发广大干部工作活力，营造认真做事、主动谋事、合作共事、高效成事的工作氛围。</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区纪委监委</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611"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w w:val="99"/>
                <w:kern w:val="0"/>
                <w:sz w:val="24"/>
                <w:szCs w:val="24"/>
              </w:rPr>
            </w:pPr>
            <w:r>
              <w:rPr>
                <w:rFonts w:hint="eastAsia" w:ascii="方正仿宋_GBK" w:eastAsia="方正仿宋_GBK"/>
                <w:w w:val="99"/>
                <w:kern w:val="0"/>
                <w:sz w:val="24"/>
                <w:szCs w:val="24"/>
              </w:rPr>
              <w:t>8营商环境“亮形象”专项行动</w:t>
            </w: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制定营商环境优化提升工作宣传方案，及时准确传递政策意图，加大对个别反面典型案例查处整顿的正面宣传和对好的经验做法的总结推广，引导市场主体和社会大众主动参与共同打造一流营商环境，最大程度争取大众的认同感。</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区委宣传部</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p>
        </w:tc>
      </w:tr>
      <w:tr>
        <w:tblPrEx>
          <w:tblCellMar>
            <w:top w:w="0" w:type="dxa"/>
            <w:left w:w="0" w:type="dxa"/>
            <w:bottom w:w="0" w:type="dxa"/>
            <w:right w:w="0" w:type="dxa"/>
          </w:tblCellMar>
        </w:tblPrEx>
        <w:trPr>
          <w:trHeight w:val="1713" w:hRule="exact"/>
        </w:trPr>
        <w:tc>
          <w:tcPr>
            <w:tcW w:w="1010"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w w:val="99"/>
                <w:kern w:val="0"/>
                <w:sz w:val="24"/>
                <w:szCs w:val="24"/>
              </w:rPr>
            </w:pPr>
            <w:r>
              <w:rPr>
                <w:rFonts w:hint="eastAsia" w:ascii="方正仿宋_GBK" w:eastAsia="方正仿宋_GBK"/>
                <w:w w:val="99"/>
                <w:kern w:val="0"/>
                <w:sz w:val="24"/>
                <w:szCs w:val="24"/>
              </w:rPr>
              <w:t>9.常态督办“抓落实”专项行动</w:t>
            </w:r>
          </w:p>
          <w:p>
            <w:pPr>
              <w:autoSpaceDE w:val="0"/>
              <w:autoSpaceDN w:val="0"/>
              <w:adjustRightInd w:val="0"/>
              <w:spacing w:line="240" w:lineRule="exact"/>
              <w:ind w:left="16"/>
              <w:jc w:val="left"/>
              <w:rPr>
                <w:rFonts w:hint="eastAsia" w:ascii="方正仿宋_GBK" w:eastAsia="方正仿宋_GBK"/>
                <w:w w:val="99"/>
                <w:kern w:val="0"/>
                <w:sz w:val="24"/>
                <w:szCs w:val="24"/>
              </w:rPr>
            </w:pPr>
          </w:p>
        </w:tc>
        <w:tc>
          <w:tcPr>
            <w:tcW w:w="25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组建营商环境优化提升监督小组，常态化开展实地暗访、电话调查等，持续收集营商环境问题线索和跟踪督办工作任务落实情况，形成问题线索和任务督办落实台账并定期通报，涉及违法违纪的，一律移交纪检监察部门处理。</w:t>
            </w:r>
          </w:p>
        </w:tc>
        <w:tc>
          <w:tcPr>
            <w:tcW w:w="708"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区政府督查办</w:t>
            </w:r>
          </w:p>
        </w:tc>
        <w:tc>
          <w:tcPr>
            <w:tcW w:w="735" w:type="pct"/>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E w:val="0"/>
              <w:autoSpaceDN w:val="0"/>
              <w:adjustRightInd w:val="0"/>
              <w:spacing w:line="240" w:lineRule="exact"/>
              <w:ind w:left="16"/>
              <w:jc w:val="left"/>
              <w:rPr>
                <w:rFonts w:hint="eastAsia" w:ascii="方正仿宋_GBK" w:eastAsia="方正仿宋_GBK"/>
                <w:spacing w:val="-20"/>
                <w:w w:val="90"/>
                <w:kern w:val="0"/>
                <w:sz w:val="24"/>
                <w:szCs w:val="24"/>
              </w:rPr>
            </w:pPr>
            <w:r>
              <w:rPr>
                <w:rFonts w:hint="eastAsia" w:ascii="方正仿宋_GBK" w:eastAsia="方正仿宋_GBK"/>
                <w:spacing w:val="-20"/>
                <w:w w:val="90"/>
                <w:kern w:val="0"/>
                <w:sz w:val="24"/>
                <w:szCs w:val="24"/>
              </w:rPr>
              <w:t>区纪委监委、区政务办</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77B581"/>
    <w:rsid w:val="71021229"/>
    <w:rsid w:val="F7FEC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2021-04-30T10:59:00Z</dcterms:created>
  <dc:creator>HP</dc:creator>
  <cp:lastModifiedBy>guest</cp:lastModifiedBy>
  <dcterms:modified xsi:type="dcterms:W3CDTF">2023-08-04T10:16:14Z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C42E969297D14E7DB6713F695E9C3257</vt:lpwstr>
  </property>
</Properties>
</file>