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方正黑体_GBK"/>
          <w:color w:val="000000"/>
          <w:sz w:val="28"/>
          <w:szCs w:val="28"/>
        </w:rPr>
      </w:pPr>
      <w:r>
        <w:rPr>
          <w:rFonts w:hint="eastAsia" w:eastAsia="方正黑体_GBK"/>
          <w:color w:val="000000"/>
          <w:kern w:val="0"/>
        </w:rPr>
        <w:t>附件</w:t>
      </w:r>
      <w:r>
        <w:rPr>
          <w:rFonts w:eastAsia="方正黑体_GBK"/>
          <w:color w:val="000000"/>
          <w:kern w:val="0"/>
        </w:rPr>
        <w:t>1</w:t>
      </w:r>
      <w:bookmarkStart w:id="0" w:name="_GoBack"/>
      <w:bookmarkEnd w:id="0"/>
    </w:p>
    <w:p>
      <w:pPr>
        <w:jc w:val="center"/>
        <w:rPr>
          <w:rFonts w:hint="eastAsia" w:eastAsia="方正小标宋_GBK"/>
          <w:color w:val="000000"/>
          <w:kern w:val="0"/>
          <w:sz w:val="44"/>
          <w:szCs w:val="28"/>
        </w:rPr>
      </w:pPr>
      <w:r>
        <w:rPr>
          <w:rFonts w:eastAsia="方正小标宋_GBK"/>
          <w:color w:val="000000"/>
          <w:spacing w:val="1"/>
          <w:w w:val="90"/>
          <w:kern w:val="0"/>
          <w:sz w:val="44"/>
          <w:szCs w:val="28"/>
          <w:fitText w:val="5390" w:id="918240519"/>
        </w:rPr>
        <w:t xml:space="preserve"> </w:t>
      </w:r>
      <w:r>
        <w:rPr>
          <w:rFonts w:hint="eastAsia" w:eastAsia="方正小标宋_GBK"/>
          <w:color w:val="000000"/>
          <w:spacing w:val="1"/>
          <w:w w:val="90"/>
          <w:kern w:val="0"/>
          <w:sz w:val="44"/>
          <w:szCs w:val="28"/>
          <w:fitText w:val="5390" w:id="918240519"/>
        </w:rPr>
        <w:t>沙坪坝区环境管控单元统计</w:t>
      </w:r>
      <w:r>
        <w:rPr>
          <w:rFonts w:hint="eastAsia" w:eastAsia="方正小标宋_GBK"/>
          <w:color w:val="000000"/>
          <w:spacing w:val="9"/>
          <w:w w:val="90"/>
          <w:kern w:val="0"/>
          <w:sz w:val="44"/>
          <w:szCs w:val="28"/>
          <w:fitText w:val="5390" w:id="918240519"/>
        </w:rPr>
        <w:t>表</w:t>
      </w:r>
    </w:p>
    <w:tbl>
      <w:tblPr>
        <w:tblStyle w:val="2"/>
        <w:tblW w:w="96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3681"/>
        <w:gridCol w:w="1701"/>
        <w:gridCol w:w="226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1679296648"/>
              </w:rPr>
              <w:t>环境管控</w:t>
            </w:r>
          </w:p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1351710061"/>
              </w:rPr>
              <w:t>单元编码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right="86" w:rightChars="27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584540210"/>
              </w:rPr>
              <w:t>环境管控</w:t>
            </w:r>
          </w:p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170477632"/>
              </w:rPr>
              <w:t>单元名称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978354031"/>
              </w:rPr>
              <w:t>环境管控</w:t>
            </w:r>
          </w:p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76420740"/>
              </w:rPr>
              <w:t>单元分类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960" w:id="1560639215"/>
              </w:rPr>
              <w:t>环境管控</w:t>
            </w:r>
          </w:p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kern w:val="0"/>
                <w:sz w:val="24"/>
                <w:szCs w:val="24"/>
                <w:fitText w:val="1920" w:id="1482840839"/>
              </w:rPr>
              <w:t>单元要素分区组成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ZH50010610001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沙坪坝嘉陵江井口水源保护区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生态保护红线、水环境优先保护区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ZH50010610002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嘉陵江沙坪坝水厂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水源保护区（含中渡口、高家花园水厂）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 w:cs="宋体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生态保护红线、水环境优先保护区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ZH50010610003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缙云山国家级自然保护区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ZH50010610004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歌乐山国家森林公园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ZH50010610005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太寺垭森林公园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ZH50010610006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歌乐山风景名胜区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ZH50010610007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沙坪坝区四山管制禁建区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7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ZH50010610008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沙坪坝区水土保持功能区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8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生态保护红线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ZH50010610009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沙坪坝区一般生态空间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水土保持功能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优先保护单元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9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一般生态空间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ZH50010620001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沙坪坝区重点管控单元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1-</w:t>
            </w: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嘉陵江大溪沟沙坪坝段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重点管控单元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水环境工业</w:t>
            </w:r>
            <w:r>
              <w:rPr>
                <w:rFonts w:hint="eastAsia" w:ascii="仿宋" w:hAnsi="仿宋" w:eastAsia="方正仿宋_GBK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城镇生活污染重点管控区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4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ZH50010620002</w:t>
            </w:r>
          </w:p>
        </w:tc>
        <w:tc>
          <w:tcPr>
            <w:tcW w:w="3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沙坪坝区重点管控单元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2-</w:t>
            </w: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梁滩河西溪桥段*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Courier New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Courier New"/>
                <w:color w:val="000000"/>
                <w:sz w:val="21"/>
                <w:szCs w:val="21"/>
              </w:rPr>
              <w:t>重点管控单元</w:t>
            </w:r>
            <w:r>
              <w:rPr>
                <w:rFonts w:ascii="仿宋" w:hAnsi="仿宋" w:eastAsia="仿宋" w:cs="Courier New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水环境工业</w:t>
            </w:r>
            <w:r>
              <w:rPr>
                <w:rFonts w:hint="eastAsia" w:ascii="仿宋" w:hAnsi="仿宋" w:eastAsia="方正仿宋_GBK"/>
                <w:color w:val="000000"/>
                <w:sz w:val="21"/>
                <w:szCs w:val="21"/>
              </w:rPr>
              <w:t>-</w:t>
            </w:r>
            <w:r>
              <w:rPr>
                <w:rFonts w:hint="eastAsia" w:ascii="仿宋" w:hAnsi="仿宋" w:eastAsia="方正仿宋_GBK" w:cs="宋体"/>
                <w:color w:val="000000"/>
                <w:sz w:val="21"/>
                <w:szCs w:val="21"/>
              </w:rPr>
              <w:t>城镇生活污染重点管控区</w:t>
            </w:r>
          </w:p>
        </w:tc>
      </w:tr>
    </w:tbl>
    <w:p>
      <w:pPr>
        <w:snapToGrid w:val="0"/>
        <w:spacing w:line="240" w:lineRule="atLeast"/>
        <w:ind w:firstLine="420" w:firstLineChars="200"/>
        <w:jc w:val="left"/>
        <w:rPr>
          <w:rFonts w:eastAsia="方正仿宋_GBK"/>
          <w:color w:val="000000"/>
          <w:sz w:val="21"/>
          <w:szCs w:val="21"/>
        </w:rPr>
        <w:sectPr>
          <w:pgSz w:w="11906" w:h="16838"/>
          <w:pgMar w:top="2098" w:right="1474" w:bottom="1985" w:left="1588" w:header="851" w:footer="1474" w:gutter="0"/>
          <w:cols w:space="720" w:num="1"/>
        </w:sectPr>
      </w:pPr>
      <w:r>
        <w:rPr>
          <w:rFonts w:eastAsia="方正仿宋_GBK"/>
          <w:color w:val="000000"/>
          <w:sz w:val="21"/>
          <w:szCs w:val="21"/>
        </w:rPr>
        <w:t>*</w:t>
      </w:r>
      <w:r>
        <w:rPr>
          <w:rFonts w:hint="eastAsia"/>
          <w:color w:val="000000"/>
          <w:sz w:val="21"/>
          <w:szCs w:val="21"/>
        </w:rPr>
        <w:t>沙坪坝区</w:t>
      </w:r>
      <w:r>
        <w:rPr>
          <w:color w:val="000000"/>
          <w:sz w:val="21"/>
          <w:szCs w:val="21"/>
        </w:rPr>
        <w:t>“</w:t>
      </w:r>
      <w:r>
        <w:rPr>
          <w:rFonts w:hint="eastAsia"/>
          <w:color w:val="000000"/>
          <w:sz w:val="21"/>
          <w:szCs w:val="21"/>
        </w:rPr>
        <w:t>三线一单</w:t>
      </w:r>
      <w:r>
        <w:rPr>
          <w:color w:val="000000"/>
          <w:sz w:val="21"/>
          <w:szCs w:val="21"/>
        </w:rPr>
        <w:t>”</w:t>
      </w:r>
      <w:r>
        <w:rPr>
          <w:rFonts w:hint="eastAsia"/>
          <w:color w:val="000000"/>
          <w:sz w:val="21"/>
          <w:szCs w:val="21"/>
        </w:rPr>
        <w:t>编制基准年为</w:t>
      </w:r>
      <w:r>
        <w:rPr>
          <w:color w:val="000000"/>
          <w:sz w:val="21"/>
          <w:szCs w:val="21"/>
        </w:rPr>
        <w:t>2017</w:t>
      </w:r>
      <w:r>
        <w:rPr>
          <w:rFonts w:hint="eastAsia"/>
          <w:color w:val="000000"/>
          <w:sz w:val="21"/>
          <w:szCs w:val="21"/>
        </w:rPr>
        <w:t>年，不具备</w:t>
      </w:r>
      <w:r>
        <w:rPr>
          <w:color w:val="000000"/>
          <w:sz w:val="21"/>
          <w:szCs w:val="21"/>
        </w:rPr>
        <w:t>2017</w:t>
      </w:r>
      <w:r>
        <w:rPr>
          <w:rFonts w:hint="eastAsia"/>
          <w:color w:val="000000"/>
          <w:sz w:val="21"/>
          <w:szCs w:val="21"/>
        </w:rPr>
        <w:t>年数据的，采用</w:t>
      </w:r>
      <w:r>
        <w:rPr>
          <w:color w:val="000000"/>
          <w:sz w:val="21"/>
          <w:szCs w:val="21"/>
        </w:rPr>
        <w:t>2016</w:t>
      </w:r>
      <w:r>
        <w:rPr>
          <w:rFonts w:hint="eastAsia"/>
          <w:color w:val="000000"/>
          <w:sz w:val="21"/>
          <w:szCs w:val="21"/>
        </w:rPr>
        <w:t>年或最近年份的相关数据。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3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2021-04-30T01:49:22Z</dcterms:created>
  <dc:creator>HP</dc:creator>
  <cp:lastModifiedBy>WPS_1605842147</cp:lastModifiedBy>
  <dcterms:modified xsi:type="dcterms:W3CDTF">2021-04-30T01:49:27Z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D6761CD06C6D4EAEB7D1060724E3557D</vt:lpwstr>
  </property>
</Properties>
</file>