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69DC">
      <w:pPr>
        <w:jc w:val="right"/>
        <w:rPr>
          <w:rFonts w:ascii="Times New Roman" w:hAnsi="Times New Roman" w:eastAsia="方正仿宋_GBK"/>
          <w:sz w:val="32"/>
          <w:szCs w:val="32"/>
        </w:rPr>
      </w:pPr>
      <w:bookmarkStart w:id="0" w:name="_Hlk37239649"/>
      <w:bookmarkEnd w:id="0"/>
      <w:bookmarkStart w:id="1" w:name="_Hlk86176402"/>
      <w:bookmarkEnd w:id="1"/>
      <w:bookmarkStart w:id="2" w:name="_top"/>
      <w:bookmarkEnd w:id="2"/>
    </w:p>
    <w:p w14:paraId="038D8E8C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7D9DBEE4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23F73289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39E24399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614F7671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405B2D5D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0FE6CDBB">
      <w:pPr>
        <w:spacing w:line="580" w:lineRule="exact"/>
        <w:jc w:val="center"/>
        <w:rPr>
          <w:rFonts w:ascii="方正仿宋_GBK" w:hAnsi="仿宋" w:eastAsia="方正仿宋_GBK"/>
          <w:b/>
          <w:bCs/>
          <w:sz w:val="44"/>
        </w:rPr>
      </w:pPr>
      <w:r>
        <w:rPr>
          <w:rFonts w:hint="eastAsia" w:ascii="方正仿宋_GBK" w:hAnsi="仿宋" w:eastAsia="方正仿宋_GBK"/>
          <w:sz w:val="32"/>
        </w:rPr>
        <w:t>沙城管局发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233</w:t>
      </w:r>
      <w:r>
        <w:rPr>
          <w:rFonts w:hint="eastAsia" w:ascii="方正仿宋_GBK" w:hAnsi="仿宋" w:eastAsia="方正仿宋_GBK"/>
          <w:sz w:val="32"/>
        </w:rPr>
        <w:t>号</w:t>
      </w:r>
    </w:p>
    <w:p w14:paraId="7441D27D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小标宋_GBK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margin">
                  <wp:posOffset>2966085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5pt;margin-top:233.5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5xgZ2AAAAAwBAAAPAAAAAAAAAAEAIAAAACIAAABkcnMvZG93bnJldi54bWxQSwECFAAUAAAACACH&#10;TuJALXnwFOsBAAC5AwAADgAAAAAAAAABACAAAAAnAQAAZHJzL2Uyb0RvYy54bWxQSwUGAAAAAAYA&#10;BgBZAQAAh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5606A65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6FF83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沙坪坝区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城市管理局</w:t>
      </w:r>
    </w:p>
    <w:p w14:paraId="0660C4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关于推动废弃食用油脂收运市场稳健运行的</w:t>
      </w:r>
    </w:p>
    <w:p w14:paraId="13D2BE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left="0" w:leftChars="0" w:firstLine="0" w:firstLineChars="0"/>
        <w:jc w:val="center"/>
        <w:textAlignment w:val="auto"/>
        <w:rPr>
          <w:rFonts w:hint="default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通　知</w:t>
      </w:r>
    </w:p>
    <w:p w14:paraId="3372B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094DF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各镇街（管委会）、区级各部门、有关单位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78608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为推进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废弃食用油脂收运管理领域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清廉市场建设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，构建亲清政商关系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，厘清政府、市场与企业、社会的边界，让政商交往有规可依、有度可量，结合我区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废弃食用油脂收运管理领域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实际情况，我局制定了“废弃食用油脂收运管理领域三张清单”，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现印发给你们，请认真贯彻执行。</w:t>
      </w:r>
    </w:p>
    <w:p w14:paraId="25EF7F8E">
      <w:pPr>
        <w:pStyle w:val="5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1CE017F8">
      <w:pPr>
        <w:pStyle w:val="5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废弃食用油脂收运管理领域正面清单</w:t>
      </w:r>
    </w:p>
    <w:p w14:paraId="37AFB223">
      <w:pPr>
        <w:pStyle w:val="5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　　　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废弃食用油脂收运管理领域负面清单</w:t>
      </w:r>
    </w:p>
    <w:p w14:paraId="16F368F2">
      <w:pPr>
        <w:pStyle w:val="5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　　　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废弃食用油脂收运管理领域倡导清单</w:t>
      </w:r>
    </w:p>
    <w:p w14:paraId="699B65D5">
      <w:pPr>
        <w:pStyle w:val="5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E926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C37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87DD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沙坪坝区城市管理局</w:t>
      </w:r>
    </w:p>
    <w:p w14:paraId="6A8A3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4B959259">
      <w:pPr>
        <w:widowControl w:val="0"/>
        <w:spacing w:line="600" w:lineRule="exact"/>
        <w:ind w:left="210" w:leftChars="100" w:right="210" w:rightChars="100" w:firstLine="64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 w14:paraId="7AF92AC6">
      <w:pPr>
        <w:pStyle w:val="4"/>
        <w:rPr>
          <w:rFonts w:hint="eastAsia"/>
          <w:lang w:eastAsia="zh-CN"/>
        </w:rPr>
      </w:pPr>
    </w:p>
    <w:p w14:paraId="4C7428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2DD46F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2253B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0AA6DD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21C36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71FD42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4A007D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793E72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20CF6B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412A0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295FE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7D1057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01659D74">
      <w:pPr>
        <w:pStyle w:val="2"/>
        <w:rPr>
          <w:rFonts w:hint="eastAsia"/>
          <w:lang w:eastAsia="zh-CN"/>
        </w:rPr>
      </w:pPr>
    </w:p>
    <w:p w14:paraId="07B081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3F52BB78">
      <w:pPr>
        <w:pStyle w:val="4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59AEA3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废弃食用油脂收运管理领域正面清单</w:t>
      </w:r>
    </w:p>
    <w:p w14:paraId="2D7286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FE8EB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加强政企良性互动</w:t>
      </w:r>
    </w:p>
    <w:p w14:paraId="6DF7A2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建立规范化的政企沟通渠道，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政企会商等方式，鼓励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废弃食用油脂收运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企业家与政府相关部门沟通交流，广泛听取企业建设性意见和合理诉求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更好地了解企业需求，共同推动社会经济持续健康发展。</w:t>
      </w:r>
    </w:p>
    <w:p w14:paraId="44EC2F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帮助企业排忧解难</w:t>
      </w:r>
    </w:p>
    <w:p w14:paraId="3D3A7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政府应主动关心、及时回应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食用油脂收运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企业的合理诉求、保护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食用油脂收运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企业的合法权益，切实为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食用油脂收运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企业发展排忧解难、添薪续力。例如，通过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走访等方式，及时了解和掌握企业动向、诉求、困难，抓好政策落地执行，细化量化帮扶措施。</w:t>
      </w:r>
    </w:p>
    <w:p w14:paraId="39C76E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提升政务服务水平</w:t>
      </w:r>
    </w:p>
    <w:p w14:paraId="31FB1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深化“放管服”改革，在项目核准备案、享受惠企政策等方面落实平等待遇，提升政务服务质量和效率。</w:t>
      </w:r>
    </w:p>
    <w:p w14:paraId="6C4F17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完善监督机制</w:t>
      </w:r>
    </w:p>
    <w:p w14:paraId="6CCF4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强化对权力集中、资金密集、资源富集的部门和行业的监督，完善行政审批等重点领域的预防腐败机制，对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食用油脂领域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政商关系中各种违纪违法现象“零容忍”。</w:t>
      </w:r>
    </w:p>
    <w:p w14:paraId="4E2715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强化法治保障</w:t>
      </w:r>
    </w:p>
    <w:p w14:paraId="4BB52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重点围绕市场准入公平竞争等方面加快完善相关政策和法规，依法平等保护民营企业和企业家的合法权益，为其发展提供坚实法治保障。</w:t>
      </w:r>
    </w:p>
    <w:p w14:paraId="1A372D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推动服务向需求侧转变</w:t>
      </w:r>
    </w:p>
    <w:p w14:paraId="3447F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坚持“服务为先”的理念，由政府“端菜”变为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“点菜”，顺应企业和群众对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食用油脂领域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服务不断升级的需求，因地制宜、因时制宜解决废弃食用油脂收运管理领域企业和群众急难愁盼问题。</w:t>
      </w:r>
    </w:p>
    <w:p w14:paraId="11D17D21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　　联系人：贺杰，联系电话：023-65314060</w:t>
      </w:r>
    </w:p>
    <w:p w14:paraId="695A02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04896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237E2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4007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沙坪坝区城市管理局</w:t>
      </w:r>
    </w:p>
    <w:p w14:paraId="3E8B0F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　　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1E4E98DA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10E184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4ACC3E">
      <w:pPr>
        <w:pStyle w:val="5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F3A78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B929382">
      <w:pPr>
        <w:pStyle w:val="3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1791157C">
      <w:pPr>
        <w:pStyle w:val="3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3DEEF73D">
      <w:pPr>
        <w:pStyle w:val="3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22C17D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0B8E07F8">
      <w:pPr>
        <w:pStyle w:val="4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089B98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废弃食用油脂收运管理领域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负面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清单</w:t>
      </w:r>
    </w:p>
    <w:p w14:paraId="41A63E18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</w:rPr>
      </w:pPr>
    </w:p>
    <w:p w14:paraId="243F261F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破坏公平竞争</w:t>
      </w:r>
    </w:p>
    <w:p w14:paraId="1747AD4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禁止通过任何手段限制或排除竞争，如指定特定废弃食用油脂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企业独家经营废弃食用油脂的收运和处置，或者设置不合理的准入门槛。</w:t>
      </w:r>
    </w:p>
    <w:p w14:paraId="5A0B6826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违背诚信原则</w:t>
      </w:r>
    </w:p>
    <w:p w14:paraId="228FABF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禁止在政商交往中出现欺骗、隐瞒等不诚实行为，如不履行与废弃食用油脂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企业签订的合同或协议，或者提供虚假信息误导企业。</w:t>
      </w:r>
    </w:p>
    <w:p w14:paraId="58AB0A0D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悬空惠企政策</w:t>
      </w:r>
    </w:p>
    <w:p w14:paraId="434EB32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禁止出台对废弃食用油脂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企业有利的政策后不实施或拖延实施，影响废弃食用油脂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企业的正常运营和发展。</w:t>
      </w:r>
    </w:p>
    <w:p w14:paraId="0263861E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敷衍企业诉求</w:t>
      </w:r>
    </w:p>
    <w:p w14:paraId="4FB8A1D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禁止对废弃食用油脂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企业的合理诉求和困难采取敷衍态度，不积极解决或拖延处理。</w:t>
      </w:r>
    </w:p>
    <w:p w14:paraId="5A81214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五、干扰经营秩序</w:t>
      </w:r>
    </w:p>
    <w:p w14:paraId="6A4D68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禁止无故干扰废弃食用油脂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企业的正常经营活动，如频繁无谓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检查、强制参与非必要的活动等。</w:t>
      </w:r>
    </w:p>
    <w:p w14:paraId="2510BD80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增加企业负担</w:t>
      </w:r>
    </w:p>
    <w:p w14:paraId="6E116E4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禁止通过各种形式增加废弃食用油脂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企业的经济负担，如不合理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收费、罚款等。</w:t>
      </w:r>
    </w:p>
    <w:p w14:paraId="4282A9C8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滥用执法权力</w:t>
      </w:r>
    </w:p>
    <w:p w14:paraId="33BD892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禁止在执法过程中滥用权力，如随意检查、选择性执法、以权谋私等。</w:t>
      </w:r>
    </w:p>
    <w:p w14:paraId="05C62082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触碰纪法红线</w:t>
      </w:r>
    </w:p>
    <w:p w14:paraId="0E178B6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禁止政商交往中的任何违纪违法行为，如收受贿赂、权钱交易、利益输送等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。</w:t>
      </w:r>
    </w:p>
    <w:p w14:paraId="08D87989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形式主义问题</w:t>
      </w:r>
    </w:p>
    <w:p w14:paraId="1CA40B4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禁止在政商交往中出现形式主义问题，如多头收集企业数据加重企业负担、调研搞“花架子”等。</w:t>
      </w:r>
    </w:p>
    <w:p w14:paraId="73E05B34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　　联系人：贺杰，联系电话：023-65314060</w:t>
      </w:r>
    </w:p>
    <w:p w14:paraId="0E28E6BC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80" w:beforeAutospacing="0" w:after="0" w:afterAutospacing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</w:p>
    <w:p w14:paraId="77E3237B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80" w:beforeAutospacing="0" w:after="0" w:afterAutospacing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</w:p>
    <w:p w14:paraId="73533BF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沙坪坝区城市管理局</w:t>
      </w:r>
    </w:p>
    <w:p w14:paraId="67623DA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65240A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31D327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12F112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3A3F07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21F863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16E7E1DD">
      <w:pPr>
        <w:pStyle w:val="4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7B570E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废弃食用油脂收运管理领域倡导清单</w:t>
      </w:r>
    </w:p>
    <w:p w14:paraId="4F707F47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</w:rPr>
      </w:pPr>
    </w:p>
    <w:p w14:paraId="4AA971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爱党爱国</w:t>
      </w:r>
    </w:p>
    <w:p w14:paraId="2BC5B1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鼓励企业和社会人士积极参与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守护群众舌尖上的安全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活动，倡导企业在经营活动中积极践行社会主义核心价值观，强化企业社会责任。</w:t>
      </w:r>
    </w:p>
    <w:p w14:paraId="18C5068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弘扬优秀企业家精神</w:t>
      </w:r>
    </w:p>
    <w:p w14:paraId="2EDC3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树立诚信、创新、责任、合作和奉献的精神，通过自身行为影响和提升行业标准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支持企业家参与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行业交流，分享成功经验，促进行业健康发展。</w:t>
      </w:r>
    </w:p>
    <w:p w14:paraId="02954E7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纯洁政商关系</w:t>
      </w:r>
    </w:p>
    <w:p w14:paraId="144C7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倡导企业与政府之间建立透明、规范的沟通机制，避免任何形式的权钱交易和利益输送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鼓励企业在与政府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交往中保持清廉，拒绝任何可能影响公正执行公务的礼物、宴请或其他利益。</w:t>
      </w:r>
    </w:p>
    <w:p w14:paraId="6FD3507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建设清廉民企</w:t>
      </w:r>
    </w:p>
    <w:p w14:paraId="050B2B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鼓励企业建立完善的内部监督机制，防止腐败和不道德行为的发生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企业开展廉政教育和培训，提高员工的职业道德水平。</w:t>
      </w:r>
    </w:p>
    <w:p w14:paraId="63AEBFE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推动行业自律</w:t>
      </w:r>
    </w:p>
    <w:p w14:paraId="1082E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企业参与或发起行业自律组织，共同制定行业标准和行为准则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支持企业在行业内推广最佳实践，提升整个行业的公信力和形象。</w:t>
      </w:r>
    </w:p>
    <w:p w14:paraId="3348D9C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促进科技创新和产业升级</w:t>
      </w:r>
    </w:p>
    <w:p w14:paraId="648E1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倡导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企业投资研发，推动科技创新，提升服务的竞争力。鼓励企业通过技术升级和创新，提高资源利用效率，减少环境污染。</w:t>
      </w:r>
    </w:p>
    <w:p w14:paraId="0FB6E14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培养和吸引人才</w:t>
      </w:r>
    </w:p>
    <w:p w14:paraId="59D4E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企业提供持续的培训和职业发展机会，吸引和留住人才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倡导企业建立公平的薪酬和晋升体系，激励员工的积极性和创造力。</w:t>
      </w:r>
    </w:p>
    <w:p w14:paraId="6AF533E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强化供应链管理</w:t>
      </w:r>
    </w:p>
    <w:p w14:paraId="1BA38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企业建立负责任的供应链，确保供应链上的所有环节都符合环保和社会责任标准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倡导企业与供应商和合作伙伴共同推动可持续发展和社会责任实践。</w:t>
      </w:r>
    </w:p>
    <w:p w14:paraId="47BEF789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　　联系人：贺杰，联系电话：023-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65314060</w:t>
      </w:r>
    </w:p>
    <w:p w14:paraId="2E994007"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4AA0AEC"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D5B9CE7"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BE98D2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沙坪坝区城市管理局</w:t>
      </w:r>
    </w:p>
    <w:p w14:paraId="6D581B4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5806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25DC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525DC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9E2FF"/>
    <w:multiLevelType w:val="singleLevel"/>
    <w:tmpl w:val="0499E2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EC3D42"/>
    <w:multiLevelType w:val="singleLevel"/>
    <w:tmpl w:val="29EC3D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B92278"/>
    <w:multiLevelType w:val="singleLevel"/>
    <w:tmpl w:val="35B9227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3BFF0F1"/>
    <w:multiLevelType w:val="singleLevel"/>
    <w:tmpl w:val="63BFF0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4EE25430"/>
    <w:rsid w:val="00B915AD"/>
    <w:rsid w:val="02CD46B7"/>
    <w:rsid w:val="07AD2313"/>
    <w:rsid w:val="087C47E7"/>
    <w:rsid w:val="10D47054"/>
    <w:rsid w:val="126B62B7"/>
    <w:rsid w:val="15035C84"/>
    <w:rsid w:val="15666DFE"/>
    <w:rsid w:val="16A071E2"/>
    <w:rsid w:val="1ADE4866"/>
    <w:rsid w:val="1B327054"/>
    <w:rsid w:val="1BFA595F"/>
    <w:rsid w:val="1EBA7A63"/>
    <w:rsid w:val="24023D6A"/>
    <w:rsid w:val="288B277A"/>
    <w:rsid w:val="2A0D3BF0"/>
    <w:rsid w:val="2C6908A3"/>
    <w:rsid w:val="2E295DAA"/>
    <w:rsid w:val="2EE272C5"/>
    <w:rsid w:val="320515B3"/>
    <w:rsid w:val="34BA3B3F"/>
    <w:rsid w:val="34FB3846"/>
    <w:rsid w:val="35077965"/>
    <w:rsid w:val="3C0B223F"/>
    <w:rsid w:val="3C424194"/>
    <w:rsid w:val="3C882E3F"/>
    <w:rsid w:val="3D9404EB"/>
    <w:rsid w:val="3F4E30AD"/>
    <w:rsid w:val="406E345C"/>
    <w:rsid w:val="411C12A4"/>
    <w:rsid w:val="42B9096C"/>
    <w:rsid w:val="434B2A11"/>
    <w:rsid w:val="43762FDE"/>
    <w:rsid w:val="44D75144"/>
    <w:rsid w:val="479252CC"/>
    <w:rsid w:val="4B32391A"/>
    <w:rsid w:val="4C991C31"/>
    <w:rsid w:val="4EE25430"/>
    <w:rsid w:val="4F247CF0"/>
    <w:rsid w:val="50B9156A"/>
    <w:rsid w:val="53FB3BE7"/>
    <w:rsid w:val="5BD107B8"/>
    <w:rsid w:val="5C403B73"/>
    <w:rsid w:val="5C41339C"/>
    <w:rsid w:val="5D456B41"/>
    <w:rsid w:val="68784853"/>
    <w:rsid w:val="6CA12534"/>
    <w:rsid w:val="7122693E"/>
    <w:rsid w:val="71E97DF6"/>
    <w:rsid w:val="73061266"/>
    <w:rsid w:val="730E02AB"/>
    <w:rsid w:val="73313D88"/>
    <w:rsid w:val="748D3496"/>
    <w:rsid w:val="7AD02C89"/>
    <w:rsid w:val="7B6273C9"/>
    <w:rsid w:val="7C960260"/>
    <w:rsid w:val="7D3F6F35"/>
    <w:rsid w:val="7E6B6D46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djustRightInd w:val="0"/>
      <w:snapToGrid w:val="0"/>
      <w:spacing w:line="594" w:lineRule="exact"/>
      <w:ind w:firstLine="640" w:firstLineChars="200"/>
      <w:outlineLvl w:val="2"/>
    </w:pPr>
    <w:rPr>
      <w:rFonts w:ascii="Times New Roman" w:hAnsi="Times New Roman" w:eastAsia="方正楷体_GBK" w:cs="Times New Roman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4">
    <w:name w:val="Plain Text"/>
    <w:basedOn w:val="1"/>
    <w:next w:val="5"/>
    <w:qFormat/>
    <w:uiPriority w:val="0"/>
    <w:pPr>
      <w:ind w:firstLine="648" w:firstLineChars="200"/>
    </w:pPr>
    <w:rPr>
      <w:rFonts w:ascii="方正黑体_GBK" w:hAnsi="Courier New"/>
      <w:szCs w:val="21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沙区市政园林管理局</Company>
  <Pages>8</Pages>
  <Words>2000</Words>
  <Characters>2046</Characters>
  <Lines>0</Lines>
  <Paragraphs>0</Paragraphs>
  <TotalTime>12</TotalTime>
  <ScaleCrop>false</ScaleCrop>
  <LinksUpToDate>false</LinksUpToDate>
  <CharactersWithSpaces>2176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2024-02-02T06:38:00Z</dcterms:created>
  <dc:creator>Administrator</dc:creator>
  <cp:lastModifiedBy>木马</cp:lastModifiedBy>
  <cp:lastPrinted>2024-10-12T02:04:00Z</cp:lastPrinted>
  <dcterms:modified xsi:type="dcterms:W3CDTF">2025-01-03T10:28:26Z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2569E0E280A64D24874E3DB5779C07ED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