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137"/>
        <w:gridCol w:w="363"/>
        <w:gridCol w:w="771"/>
        <w:gridCol w:w="189"/>
        <w:gridCol w:w="960"/>
        <w:gridCol w:w="1300"/>
        <w:gridCol w:w="386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重庆市沙坪坝区财政局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</w:tr>
    </w:tbl>
    <w:p>
      <w:pPr>
        <w:spacing w:line="560" w:lineRule="exact"/>
      </w:pPr>
      <w:r>
        <w:rPr>
          <w:szCs w:val="32"/>
        </w:rPr>
        <w:t>相关绩效在主管部门公开</w:t>
      </w:r>
      <w:bookmarkStart w:id="0" w:name="_GoBack"/>
      <w:bookmarkEnd w:id="0"/>
    </w:p>
    <w:sectPr>
      <w:pgSz w:w="16838" w:h="11906" w:orient="landscape"/>
      <w:pgMar w:top="1077" w:right="850" w:bottom="1106" w:left="935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81C2F"/>
    <w:rsid w:val="09983240"/>
    <w:rsid w:val="12A81C2F"/>
    <w:rsid w:val="2F3055D0"/>
    <w:rsid w:val="645F63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2025-01-13T09:47:00Z</dcterms:created>
  <dc:creator>yuan</dc:creator>
  <cp:lastModifiedBy>yuan</cp:lastModifiedBy>
  <dcterms:modified xsi:type="dcterms:W3CDTF">2025-01-14T08:50:27Z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