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474" w:type="dxa"/>
        <w:tblInd w:w="93" w:type="dxa"/>
        <w:tblLayout w:type="fixed"/>
        <w:tblCellMar>
          <w:top w:w="0" w:type="dxa"/>
          <w:left w:w="108" w:type="dxa"/>
          <w:bottom w:w="0" w:type="dxa"/>
          <w:right w:w="108" w:type="dxa"/>
        </w:tblCellMar>
      </w:tblPr>
      <w:tblGrid>
        <w:gridCol w:w="1920"/>
        <w:gridCol w:w="2760"/>
        <w:gridCol w:w="1600"/>
        <w:gridCol w:w="1580"/>
        <w:gridCol w:w="1940"/>
        <w:gridCol w:w="705"/>
        <w:gridCol w:w="3969"/>
      </w:tblGrid>
      <w:tr>
        <w:tblPrEx>
          <w:tblLayout w:type="fixed"/>
          <w:tblCellMar>
            <w:top w:w="0" w:type="dxa"/>
            <w:left w:w="108" w:type="dxa"/>
            <w:bottom w:w="0" w:type="dxa"/>
            <w:right w:w="108" w:type="dxa"/>
          </w:tblCellMar>
        </w:tblPrEx>
        <w:trPr>
          <w:trHeight w:val="975" w:hRule="atLeast"/>
        </w:trPr>
        <w:tc>
          <w:tcPr>
            <w:tcW w:w="14474" w:type="dxa"/>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部门整体绩效目标表</w:t>
            </w:r>
          </w:p>
        </w:tc>
      </w:tr>
      <w:tr>
        <w:tblPrEx>
          <w:tblLayout w:type="fixed"/>
          <w:tblCellMar>
            <w:top w:w="0" w:type="dxa"/>
            <w:left w:w="108" w:type="dxa"/>
            <w:bottom w:w="0" w:type="dxa"/>
            <w:right w:w="108" w:type="dxa"/>
          </w:tblCellMar>
        </w:tblPrEx>
        <w:trPr>
          <w:trHeight w:val="705" w:hRule="atLeast"/>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5940"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lang w:eastAsia="zh-CN"/>
              </w:rPr>
              <w:t>区财政局</w:t>
            </w:r>
            <w:r>
              <w:rPr>
                <w:rFonts w:hint="eastAsia" w:ascii="宋体" w:hAnsi="宋体" w:cs="宋体"/>
                <w:kern w:val="0"/>
                <w:sz w:val="20"/>
              </w:rPr>
              <w:t>　</w:t>
            </w:r>
          </w:p>
        </w:tc>
        <w:tc>
          <w:tcPr>
            <w:tcW w:w="26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部门支出预算总量（万元）</w:t>
            </w:r>
          </w:p>
        </w:tc>
        <w:tc>
          <w:tcPr>
            <w:tcW w:w="39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lang w:val="en-US" w:eastAsia="zh-CN"/>
              </w:rPr>
              <w:t>1397.71</w:t>
            </w:r>
            <w:r>
              <w:rPr>
                <w:rFonts w:hint="eastAsia" w:ascii="宋体" w:hAnsi="宋体" w:cs="宋体"/>
                <w:kern w:val="0"/>
                <w:sz w:val="20"/>
              </w:rPr>
              <w:t>　</w:t>
            </w:r>
          </w:p>
        </w:tc>
      </w:tr>
      <w:tr>
        <w:tblPrEx>
          <w:tblLayout w:type="fixed"/>
          <w:tblCellMar>
            <w:top w:w="0" w:type="dxa"/>
            <w:left w:w="108" w:type="dxa"/>
            <w:bottom w:w="0" w:type="dxa"/>
            <w:right w:w="108" w:type="dxa"/>
          </w:tblCellMar>
        </w:tblPrEx>
        <w:trPr>
          <w:trHeight w:val="2190" w:hRule="atLeast"/>
        </w:trPr>
        <w:tc>
          <w:tcPr>
            <w:tcW w:w="1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当年整体绩效目标</w:t>
            </w:r>
          </w:p>
        </w:tc>
        <w:tc>
          <w:tcPr>
            <w:tcW w:w="12554"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cs="宋体"/>
                <w:kern w:val="0"/>
                <w:sz w:val="20"/>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贯彻执行财税工作的法律、法规、规章和方针政策；财政收支及管理工作；编制区级年度预决算草案，组织执行区级年度预算；组织执行国库管理制度；制订国库集中收付、政府采购和</w:t>
            </w:r>
            <w:bookmarkStart w:id="0" w:name="_GoBack"/>
            <w:bookmarkEnd w:id="0"/>
            <w:r>
              <w:rPr>
                <w:rFonts w:hint="eastAsia" w:ascii="宋体" w:hAnsi="宋体" w:cs="宋体"/>
                <w:kern w:val="0"/>
                <w:sz w:val="24"/>
                <w:szCs w:val="24"/>
              </w:rPr>
              <w:t>财政投资评审的管理办法并组织实施，监督管理政府采购活动和财政投资评审工作；办理和监督区级经济发展的财政支出和区级政府性投资项目的财政拨款；参与管理社会保障、就业和医疗卫生等区级财政支出；拟订和执行政府债务管理的制度和政策；管理全区会计工作。加快推进预算管理一体化建设，依托“制度+技术”为预算管理赋能，促进财政预算管理提质增效。推动实施全面预算绩效管理。推进部门整体绩效评价，强化绩效目标管理，做好绩效运行监控，加强绩效评价结果应用，让绩效管理取得实效。做好拟上市公司的培育和推荐工作。　</w:t>
            </w:r>
          </w:p>
        </w:tc>
      </w:tr>
      <w:tr>
        <w:tblPrEx>
          <w:tblLayout w:type="fixed"/>
          <w:tblCellMar>
            <w:top w:w="0" w:type="dxa"/>
            <w:left w:w="108" w:type="dxa"/>
            <w:bottom w:w="0" w:type="dxa"/>
            <w:right w:w="108" w:type="dxa"/>
          </w:tblCellMar>
        </w:tblPrEx>
        <w:trPr>
          <w:trHeight w:val="420" w:hRule="atLeast"/>
        </w:trPr>
        <w:tc>
          <w:tcPr>
            <w:tcW w:w="19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绩效指标</w:t>
            </w:r>
          </w:p>
        </w:tc>
        <w:tc>
          <w:tcPr>
            <w:tcW w:w="27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46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Layout w:type="fixed"/>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2760"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预算公开评审资金覆盖率</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lang w:val="en-US" w:eastAsia="zh-CN"/>
              </w:rPr>
              <w:t>20</w:t>
            </w:r>
            <w:r>
              <w:rPr>
                <w:rFonts w:hint="eastAsia" w:ascii="宋体" w:hAnsi="宋体" w:cs="宋体"/>
                <w:kern w:val="0"/>
                <w:sz w:val="20"/>
              </w:rPr>
              <w:t>　</w:t>
            </w:r>
          </w:p>
        </w:tc>
        <w:tc>
          <w:tcPr>
            <w:tcW w:w="158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kern w:val="0"/>
                <w:sz w:val="20"/>
              </w:rPr>
            </w:pPr>
            <w:r>
              <w:rPr>
                <w:rFonts w:ascii="宋体" w:hAnsi="宋体" w:eastAsia="宋体" w:cs="宋体"/>
                <w:i w:val="0"/>
                <w:color w:val="000000"/>
                <w:kern w:val="0"/>
                <w:sz w:val="18"/>
                <w:szCs w:val="18"/>
                <w:u w:val="none"/>
                <w:lang w:val="en-US" w:eastAsia="zh-CN" w:bidi="ar"/>
              </w:rPr>
              <w:t>%</w:t>
            </w:r>
          </w:p>
        </w:tc>
        <w:tc>
          <w:tcPr>
            <w:tcW w:w="194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kern w:val="0"/>
                <w:sz w:val="20"/>
              </w:rPr>
            </w:pPr>
            <w:r>
              <w:rPr>
                <w:rFonts w:ascii="宋体" w:hAnsi="宋体" w:eastAsia="宋体" w:cs="宋体"/>
                <w:i w:val="0"/>
                <w:color w:val="000000"/>
                <w:kern w:val="0"/>
                <w:sz w:val="18"/>
                <w:szCs w:val="18"/>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kern w:val="0"/>
                <w:sz w:val="20"/>
              </w:rPr>
            </w:pPr>
            <w:r>
              <w:rPr>
                <w:rFonts w:ascii="宋体" w:hAnsi="宋体" w:eastAsia="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2760"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绩效评价及时性</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lang w:val="en-US" w:eastAsia="zh-CN"/>
              </w:rPr>
              <w:t>10</w:t>
            </w:r>
            <w:r>
              <w:rPr>
                <w:rFonts w:hint="eastAsia" w:ascii="宋体" w:hAnsi="宋体" w:cs="宋体"/>
                <w:kern w:val="0"/>
                <w:sz w:val="20"/>
              </w:rPr>
              <w:t>　</w:t>
            </w:r>
          </w:p>
        </w:tc>
        <w:tc>
          <w:tcPr>
            <w:tcW w:w="158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kern w:val="0"/>
                <w:sz w:val="20"/>
              </w:rPr>
            </w:pPr>
            <w:r>
              <w:rPr>
                <w:rFonts w:ascii="宋体" w:hAnsi="宋体" w:eastAsia="宋体" w:cs="宋体"/>
                <w:i w:val="0"/>
                <w:color w:val="000000"/>
                <w:kern w:val="0"/>
                <w:sz w:val="18"/>
                <w:szCs w:val="18"/>
                <w:u w:val="none"/>
                <w:lang w:val="en-US" w:eastAsia="zh-CN" w:bidi="ar"/>
              </w:rPr>
              <w:t>%</w:t>
            </w:r>
          </w:p>
        </w:tc>
        <w:tc>
          <w:tcPr>
            <w:tcW w:w="194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kern w:val="0"/>
                <w:sz w:val="20"/>
              </w:rPr>
            </w:pPr>
            <w:r>
              <w:rPr>
                <w:rFonts w:ascii="宋体" w:hAnsi="宋体" w:eastAsia="宋体" w:cs="宋体"/>
                <w:i w:val="0"/>
                <w:color w:val="000000"/>
                <w:kern w:val="0"/>
                <w:sz w:val="18"/>
                <w:szCs w:val="18"/>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kern w:val="0"/>
                <w:sz w:val="20"/>
              </w:rPr>
            </w:pPr>
            <w:r>
              <w:rPr>
                <w:rFonts w:ascii="宋体" w:hAnsi="宋体" w:eastAsia="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2760"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区对镇街转移支付提前下达率</w:t>
            </w:r>
          </w:p>
        </w:tc>
        <w:tc>
          <w:tcPr>
            <w:tcW w:w="160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20</w:t>
            </w:r>
          </w:p>
        </w:tc>
        <w:tc>
          <w:tcPr>
            <w:tcW w:w="158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w:t>
            </w:r>
          </w:p>
        </w:tc>
        <w:tc>
          <w:tcPr>
            <w:tcW w:w="194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2760"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国库集中支付资金拨付完成率</w:t>
            </w:r>
          </w:p>
        </w:tc>
        <w:tc>
          <w:tcPr>
            <w:tcW w:w="160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20</w:t>
            </w:r>
          </w:p>
        </w:tc>
        <w:tc>
          <w:tcPr>
            <w:tcW w:w="158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w:t>
            </w:r>
          </w:p>
        </w:tc>
        <w:tc>
          <w:tcPr>
            <w:tcW w:w="194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2760"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政府预决算公开率（除涉密信息外）</w:t>
            </w:r>
          </w:p>
        </w:tc>
        <w:tc>
          <w:tcPr>
            <w:tcW w:w="160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15</w:t>
            </w:r>
          </w:p>
        </w:tc>
        <w:tc>
          <w:tcPr>
            <w:tcW w:w="158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w:t>
            </w:r>
          </w:p>
        </w:tc>
        <w:tc>
          <w:tcPr>
            <w:tcW w:w="194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2760" w:type="dxa"/>
            <w:tcBorders>
              <w:top w:val="single" w:color="auto" w:sz="4" w:space="0"/>
              <w:left w:val="nil"/>
              <w:bottom w:val="single" w:color="auto" w:sz="4" w:space="0"/>
              <w:right w:val="single" w:color="auto" w:sz="4" w:space="0"/>
            </w:tcBorders>
            <w:shd w:val="clear" w:color="auto" w:fill="auto"/>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区级预决算及时编制率</w:t>
            </w:r>
          </w:p>
        </w:tc>
        <w:tc>
          <w:tcPr>
            <w:tcW w:w="160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15</w:t>
            </w:r>
          </w:p>
        </w:tc>
        <w:tc>
          <w:tcPr>
            <w:tcW w:w="158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w:t>
            </w:r>
          </w:p>
        </w:tc>
        <w:tc>
          <w:tcPr>
            <w:tcW w:w="194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w:t>
            </w:r>
          </w:p>
        </w:tc>
        <w:tc>
          <w:tcPr>
            <w:tcW w:w="4674" w:type="dxa"/>
            <w:gridSpan w:val="2"/>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ascii="宋体" w:hAnsi="宋体" w:cs="宋体"/>
                <w:color w:val="000000"/>
                <w:kern w:val="0"/>
                <w:sz w:val="22"/>
              </w:rPr>
            </w:pPr>
            <w:r>
              <w:rPr>
                <w:rFonts w:ascii="宋体" w:hAnsi="宋体" w:eastAsia="宋体" w:cs="宋体"/>
                <w:i w:val="0"/>
                <w:color w:val="000000"/>
                <w:kern w:val="0"/>
                <w:sz w:val="18"/>
                <w:szCs w:val="18"/>
                <w:u w:val="none"/>
                <w:lang w:val="en-US" w:eastAsia="zh-CN" w:bidi="ar"/>
              </w:rPr>
              <w:t>100</w:t>
            </w:r>
          </w:p>
        </w:tc>
      </w:tr>
    </w:tbl>
    <w:p/>
    <w:sectPr>
      <w:pgSz w:w="16838" w:h="11906" w:orient="landscape"/>
      <w:pgMar w:top="1077" w:right="850" w:bottom="1106" w:left="935" w:header="851" w:footer="992"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D5F45"/>
    <w:rsid w:val="1122252C"/>
    <w:rsid w:val="12157290"/>
    <w:rsid w:val="232D5F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2025-01-13T09:46:00Z</dcterms:created>
  <dc:creator>yuan</dc:creator>
  <cp:lastModifiedBy>yuan</cp:lastModifiedBy>
  <dcterms:modified xsi:type="dcterms:W3CDTF">2025-01-14T07:17:55Z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