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w w:val="95"/>
        </w:rPr>
      </w:pPr>
    </w:p>
    <w:p>
      <w:pPr>
        <w:rPr>
          <w:rFonts w:hint="default" w:ascii="Times New Roman" w:hAnsi="Times New Roman" w:cs="Times New Roman"/>
        </w:rPr>
      </w:pPr>
      <w:r>
        <w:rPr>
          <w:rFonts w:hint="default" w:ascii="Times New Roman" w:hAnsi="Times New Roman" w:cs="Times New Roman"/>
          <w:color w:val="FF0000"/>
          <w:sz w:val="20"/>
        </w:rPr>
        <w:pict>
          <v:shape id="_x0000_s1026" o:spid="_x0000_s1026" o:spt="136" type="#_x0000_t136" style="position:absolute;left:0pt;margin-left:0pt;margin-top:5.6pt;height:45.95pt;width:441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重庆市沙坪坝区大数据应用发展管理局" style="font-family:方正小标宋_GBK;font-size:32pt;v-text-align:center;"/>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color w:val="FF0000"/>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15875" r="0" b="22225"/>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7.8pt;height:0pt;width:441pt;z-index:251659264;mso-width-relative:page;mso-height-relative:page;" filled="f" stroked="t" coordsize="21600,21600" o:gfxdata="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QL3tQA&#10;AAAGAQAADwAAAAAAAAABACAAAAAiAAAAZHJzL2Rvd25yZXYueG1sUEsBAhQAFAAAAAgAh07iQCA7&#10;V67qAQAA3AMAAA4AAAAAAAAAAQAgAAAAIwEAAGRycy9lMm9Eb2MueG1sUEsFBgAAAAAGAAYAWQEA&#10;AH8FAAAAAA==&#10;">
                <v:fill on="f" focussize="0,0"/>
                <v:stroke weight="2.5pt" color="#FF0000" joinstyle="round"/>
                <v:imagedata o:title=""/>
                <o:lock v:ext="edit" aspectratio="f"/>
              </v:line>
            </w:pict>
          </mc:Fallback>
        </mc:AlternateContent>
      </w:r>
    </w:p>
    <w:p>
      <w:pPr>
        <w:spacing w:line="560" w:lineRule="exact"/>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lang w:val="en-US" w:eastAsia="zh-CN"/>
        </w:rPr>
      </w:pPr>
      <w:r>
        <w:rPr>
          <w:rFonts w:hint="default" w:ascii="Times New Roman" w:hAnsi="Times New Roman" w:eastAsia="方正小标宋_GBK" w:cs="Times New Roman"/>
          <w:bCs/>
          <w:sz w:val="44"/>
          <w:lang w:val="en-US" w:eastAsia="zh-CN"/>
        </w:rPr>
        <w:t>重庆市沙坪坝区大数据应用发展管理局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lang w:val="en-US" w:eastAsia="zh-CN"/>
        </w:rPr>
      </w:pPr>
      <w:r>
        <w:rPr>
          <w:rFonts w:hint="default" w:ascii="Times New Roman" w:hAnsi="Times New Roman" w:eastAsia="方正小标宋_GBK" w:cs="Times New Roman"/>
          <w:bCs/>
          <w:sz w:val="44"/>
          <w:lang w:val="en-US" w:eastAsia="zh-CN"/>
        </w:rPr>
        <w:t>关于发布202</w:t>
      </w:r>
      <w:r>
        <w:rPr>
          <w:rFonts w:hint="default" w:ascii="Times New Roman" w:hAnsi="Times New Roman" w:eastAsia="方正小标宋_GBK" w:cs="Times New Roman"/>
          <w:bCs/>
          <w:sz w:val="44"/>
          <w:lang w:val="en-US" w:eastAsia="zh-CN"/>
        </w:rPr>
        <w:t>3</w:t>
      </w:r>
      <w:r>
        <w:rPr>
          <w:rFonts w:hint="default" w:ascii="Times New Roman" w:hAnsi="Times New Roman" w:eastAsia="方正小标宋_GBK" w:cs="Times New Roman"/>
          <w:bCs/>
          <w:sz w:val="44"/>
          <w:lang w:val="en-US" w:eastAsia="zh-CN"/>
        </w:rPr>
        <w:t>年</w:t>
      </w:r>
      <w:r>
        <w:rPr>
          <w:rFonts w:hint="default" w:ascii="Times New Roman" w:hAnsi="Times New Roman" w:eastAsia="方正小标宋_GBK" w:cs="Times New Roman"/>
          <w:bCs/>
          <w:sz w:val="44"/>
          <w:lang w:val="en-US" w:eastAsia="zh-CN"/>
        </w:rPr>
        <w:t>一季度</w:t>
      </w:r>
      <w:r>
        <w:rPr>
          <w:rFonts w:hint="default" w:ascii="Times New Roman" w:hAnsi="Times New Roman" w:eastAsia="方正小标宋_GBK" w:cs="Times New Roman"/>
          <w:bCs/>
          <w:sz w:val="44"/>
          <w:lang w:val="en-US" w:eastAsia="zh-CN"/>
        </w:rPr>
        <w:t>沙坪坝区“满天星”智慧城市应用场景项目开放清单的通知</w:t>
      </w: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各相关单位：</w:t>
      </w: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val="en-US" w:eastAsia="zh-CN"/>
        </w:rPr>
        <w:t>深入贯彻</w:t>
      </w:r>
      <w:r>
        <w:rPr>
          <w:rFonts w:hint="default" w:ascii="Times New Roman" w:hAnsi="Times New Roman" w:eastAsia="方正仿宋_GBK" w:cs="Times New Roman"/>
          <w:sz w:val="32"/>
          <w:szCs w:val="32"/>
          <w:lang w:val="en-US" w:eastAsia="zh-CN"/>
        </w:rPr>
        <w:t>《重庆市软件和信息服务业</w:t>
      </w:r>
      <w:r>
        <w:rPr>
          <w:rFonts w:hint="default" w:ascii="Times New Roman" w:hAnsi="Times New Roman" w:eastAsia="方正仿宋_GBK" w:cs="Times New Roman"/>
          <w:sz w:val="32"/>
          <w:szCs w:val="32"/>
          <w:lang w:val="en-US" w:eastAsia="zh-CN"/>
        </w:rPr>
        <w:t>“满天星”行</w:t>
      </w:r>
      <w:r>
        <w:rPr>
          <w:rFonts w:hint="default" w:ascii="Times New Roman" w:hAnsi="Times New Roman" w:eastAsia="方正仿宋_GBK" w:cs="Times New Roman"/>
          <w:sz w:val="32"/>
          <w:szCs w:val="32"/>
          <w:lang w:val="en-US" w:eastAsia="zh-CN"/>
        </w:rPr>
        <w:t>动计划（2022 —2025 年）》（渝府办〔2022〕21 号）、《重庆市沙坪坝区软件和信息服务业培育</w:t>
      </w:r>
      <w:r>
        <w:rPr>
          <w:rFonts w:hint="default" w:ascii="Times New Roman" w:hAnsi="Times New Roman" w:eastAsia="方正仿宋_GBK" w:cs="Times New Roman"/>
          <w:sz w:val="32"/>
          <w:szCs w:val="32"/>
          <w:lang w:val="en-US" w:eastAsia="zh-CN"/>
        </w:rPr>
        <w:t>发展“五星”行</w:t>
      </w:r>
      <w:r>
        <w:rPr>
          <w:rFonts w:hint="default" w:ascii="Times New Roman" w:hAnsi="Times New Roman" w:eastAsia="方正仿宋_GBK" w:cs="Times New Roman"/>
          <w:sz w:val="32"/>
          <w:szCs w:val="32"/>
          <w:lang w:val="en-US" w:eastAsia="zh-CN"/>
        </w:rPr>
        <w:t>动计划（2022－2025年）》（沙府办发〔2022〕110号）等精神</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加快推动沙坪坝区软件和信息服务业高质量发展，现发布202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一季度</w:t>
      </w:r>
      <w:r>
        <w:rPr>
          <w:rFonts w:hint="default" w:ascii="Times New Roman" w:hAnsi="Times New Roman" w:eastAsia="方正仿宋_GBK" w:cs="Times New Roman"/>
          <w:sz w:val="32"/>
          <w:szCs w:val="32"/>
          <w:lang w:val="en-US" w:eastAsia="zh-CN"/>
        </w:rPr>
        <w:t>沙坪坝区“满天星”智慧城市应用场景项目开放清单</w:t>
      </w:r>
      <w:r>
        <w:rPr>
          <w:rFonts w:hint="default" w:ascii="Times New Roman" w:hAnsi="Times New Roman" w:eastAsia="方正仿宋_GBK" w:cs="Times New Roman"/>
          <w:sz w:val="32"/>
          <w:szCs w:val="32"/>
          <w:lang w:val="en-US" w:eastAsia="zh-CN"/>
        </w:rPr>
        <w:t>。</w:t>
      </w: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请各相关单位按照应用场景具体需求，结合自身核心业务能力，充分发挥技术优势，积极参与沙坪坝区应用场</w:t>
      </w:r>
      <w:r>
        <w:rPr>
          <w:rFonts w:hint="default" w:ascii="Times New Roman" w:hAnsi="Times New Roman" w:eastAsia="方正仿宋_GBK" w:cs="Times New Roman"/>
          <w:sz w:val="32"/>
          <w:szCs w:val="32"/>
          <w:lang w:val="en-US" w:eastAsia="zh-CN"/>
        </w:rPr>
        <w:t>景“揭榜”</w:t>
      </w:r>
      <w:r>
        <w:rPr>
          <w:rFonts w:hint="default" w:ascii="Times New Roman" w:hAnsi="Times New Roman" w:eastAsia="方正仿宋_GBK" w:cs="Times New Roman"/>
          <w:sz w:val="32"/>
          <w:szCs w:val="32"/>
          <w:lang w:val="en-US" w:eastAsia="zh-CN"/>
        </w:rPr>
        <w:t>工作，做好场景建设支撑。</w:t>
      </w:r>
      <w:r>
        <w:rPr>
          <w:rFonts w:hint="default" w:ascii="Times New Roman" w:hAnsi="Times New Roman" w:eastAsia="方正仿宋_GBK" w:cs="Times New Roman"/>
          <w:sz w:val="32"/>
          <w:szCs w:val="32"/>
          <w:lang w:val="en-US" w:eastAsia="zh-CN"/>
        </w:rPr>
        <w:t>请有意向的单位于2023年3月31日前与沙坪坝区经济信息委大数据发展科联系。</w:t>
      </w: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联系人：王</w:t>
      </w:r>
      <w:r>
        <w:rPr>
          <w:rFonts w:hint="default" w:ascii="Times New Roman" w:hAnsi="Times New Roman" w:eastAsia="方正仿宋_GBK" w:cs="Times New Roman"/>
          <w:sz w:val="32"/>
          <w:szCs w:val="32"/>
          <w:lang w:val="en-US" w:eastAsia="zh-CN"/>
        </w:rPr>
        <w:t>老师</w:t>
      </w:r>
      <w:r>
        <w:rPr>
          <w:rFonts w:hint="default" w:ascii="Times New Roman" w:hAnsi="Times New Roman" w:eastAsia="方正仿宋_GBK" w:cs="Times New Roman"/>
          <w:sz w:val="32"/>
          <w:szCs w:val="32"/>
          <w:lang w:val="en-US" w:eastAsia="zh-CN"/>
        </w:rPr>
        <w:t>，联系电话：65308569</w:t>
      </w: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电子邮箱：</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"mailto:2367494334@qq.com" </w:instrText>
      </w:r>
      <w:r>
        <w:rPr>
          <w:rFonts w:hint="default" w:ascii="Times New Roman" w:hAnsi="Times New Roman" w:eastAsia="方正仿宋_GBK" w:cs="Times New Roman"/>
          <w:sz w:val="32"/>
          <w:szCs w:val="32"/>
          <w:lang w:val="en-US" w:eastAsia="zh-CN"/>
        </w:rPr>
        <w:fldChar w:fldCharType="separate"/>
      </w:r>
      <w:r>
        <w:rPr>
          <w:rStyle w:val="7"/>
          <w:rFonts w:hint="default" w:ascii="Times New Roman" w:hAnsi="Times New Roman" w:eastAsia="方正仿宋_GBK" w:cs="Times New Roman"/>
          <w:sz w:val="32"/>
          <w:szCs w:val="32"/>
          <w:lang w:val="en-US" w:eastAsia="zh-CN"/>
        </w:rPr>
        <w:t>2367494334@qq.com</w:t>
      </w:r>
      <w:r>
        <w:rPr>
          <w:rFonts w:hint="default" w:ascii="Times New Roman" w:hAnsi="Times New Roman" w:eastAsia="方正仿宋_GBK" w:cs="Times New Roman"/>
          <w:sz w:val="32"/>
          <w:szCs w:val="32"/>
          <w:lang w:val="en-US" w:eastAsia="zh-CN"/>
        </w:rPr>
        <w:fldChar w:fldCharType="end"/>
      </w: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附件：2023年一季度沙坪坝区“满天星”智慧城市应用场</w:t>
      </w: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1600" w:firstLineChars="5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景项目开放清单</w:t>
      </w: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tabs>
          <w:tab w:val="left" w:pos="8400"/>
          <w:tab w:val="left" w:pos="861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widowControl w:val="0"/>
        <w:tabs>
          <w:tab w:val="left" w:pos="8400"/>
          <w:tab w:val="left" w:pos="8610"/>
        </w:tabs>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重庆市沙坪坝区大数据应用发展管理局     </w:t>
      </w:r>
    </w:p>
    <w:p>
      <w:pPr>
        <w:keepNext w:val="0"/>
        <w:keepLines w:val="0"/>
        <w:pageBreakBefore w:val="0"/>
        <w:widowControl w:val="0"/>
        <w:tabs>
          <w:tab w:val="left" w:pos="8400"/>
          <w:tab w:val="left" w:pos="8610"/>
        </w:tabs>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right"/>
        <w:textAlignment w:val="auto"/>
        <w:outlineLvl w:val="9"/>
        <w:rPr>
          <w:rFonts w:hint="default" w:ascii="Times New Roman" w:hAnsi="Times New Roman" w:eastAsia="方正仿宋_GBK" w:cs="Times New Roman"/>
          <w:spacing w:val="-11"/>
          <w:w w:val="95"/>
          <w:sz w:val="32"/>
          <w:szCs w:val="32"/>
          <w:lang w:val="en-US" w:eastAsia="zh-CN"/>
        </w:rPr>
      </w:pPr>
      <w:r>
        <w:rPr>
          <w:rFonts w:hint="default" w:ascii="Times New Roman" w:hAnsi="Times New Roman" w:eastAsia="方正仿宋_GBK" w:cs="Times New Roman"/>
          <w:spacing w:val="-11"/>
          <w:w w:val="95"/>
          <w:sz w:val="32"/>
          <w:szCs w:val="32"/>
          <w:lang w:eastAsia="zh-CN"/>
        </w:rPr>
        <w:t>重庆市沙坪坝区经济和信息化委员会（</w:t>
      </w:r>
      <w:r>
        <w:rPr>
          <w:rFonts w:hint="default" w:ascii="Times New Roman" w:hAnsi="Times New Roman" w:eastAsia="方正仿宋_GBK" w:cs="Times New Roman"/>
          <w:spacing w:val="-11"/>
          <w:w w:val="95"/>
          <w:sz w:val="32"/>
          <w:szCs w:val="32"/>
          <w:lang w:val="en-US" w:eastAsia="zh-CN"/>
        </w:rPr>
        <w:t>代章</w:t>
      </w:r>
      <w:r>
        <w:rPr>
          <w:rFonts w:hint="default" w:ascii="Times New Roman" w:hAnsi="Times New Roman" w:eastAsia="方正仿宋_GBK" w:cs="Times New Roman"/>
          <w:spacing w:val="-11"/>
          <w:w w:val="95"/>
          <w:sz w:val="32"/>
          <w:szCs w:val="32"/>
          <w:lang w:eastAsia="zh-CN"/>
        </w:rPr>
        <w:t>）</w:t>
      </w:r>
      <w:r>
        <w:rPr>
          <w:rFonts w:hint="default" w:ascii="Times New Roman" w:hAnsi="Times New Roman" w:eastAsia="方正仿宋_GBK" w:cs="Times New Roman"/>
          <w:spacing w:val="-11"/>
          <w:w w:val="95"/>
          <w:sz w:val="32"/>
          <w:szCs w:val="32"/>
          <w:lang w:val="en-US" w:eastAsia="zh-CN"/>
        </w:rPr>
        <w:t xml:space="preserve">     </w:t>
      </w:r>
    </w:p>
    <w:p>
      <w:pPr>
        <w:keepNext w:val="0"/>
        <w:keepLines w:val="0"/>
        <w:pageBreakBefore w:val="0"/>
        <w:widowControl w:val="0"/>
        <w:tabs>
          <w:tab w:val="left" w:pos="8400"/>
          <w:tab w:val="left" w:pos="8610"/>
        </w:tabs>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lang w:val="en-US" w:eastAsia="zh-CN"/>
        </w:rPr>
        <w:sectPr>
          <w:headerReference r:id="rId3" w:type="default"/>
          <w:footerReference r:id="rId4" w:type="default"/>
          <w:footerReference r:id="rId5" w:type="even"/>
          <w:pgSz w:w="11906" w:h="16838"/>
          <w:pgMar w:top="2098" w:right="1474" w:bottom="1985" w:left="1588" w:header="851" w:footer="1531"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tabs>
          <w:tab w:val="left" w:pos="8400"/>
          <w:tab w:val="left" w:pos="8610"/>
        </w:tabs>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keepNext w:val="0"/>
        <w:keepLines w:val="0"/>
        <w:pageBreakBefore w:val="0"/>
        <w:widowControl w:val="0"/>
        <w:tabs>
          <w:tab w:val="left" w:pos="8400"/>
          <w:tab w:val="left" w:pos="8610"/>
        </w:tabs>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Cs/>
          <w:sz w:val="44"/>
          <w:lang w:val="en-US" w:eastAsia="zh-CN"/>
        </w:rPr>
        <w:t>202</w:t>
      </w:r>
      <w:r>
        <w:rPr>
          <w:rFonts w:hint="default" w:ascii="Times New Roman" w:hAnsi="Times New Roman" w:eastAsia="方正小标宋_GBK" w:cs="Times New Roman"/>
          <w:bCs/>
          <w:sz w:val="44"/>
          <w:lang w:val="en-US" w:eastAsia="zh-CN"/>
        </w:rPr>
        <w:t>3</w:t>
      </w:r>
      <w:r>
        <w:rPr>
          <w:rFonts w:hint="default" w:ascii="Times New Roman" w:hAnsi="Times New Roman" w:eastAsia="方正小标宋_GBK" w:cs="Times New Roman"/>
          <w:bCs/>
          <w:sz w:val="44"/>
          <w:lang w:val="en-US" w:eastAsia="zh-CN"/>
        </w:rPr>
        <w:t>年</w:t>
      </w:r>
      <w:r>
        <w:rPr>
          <w:rFonts w:hint="default" w:ascii="Times New Roman" w:hAnsi="Times New Roman" w:eastAsia="方正小标宋_GBK" w:cs="Times New Roman"/>
          <w:bCs/>
          <w:sz w:val="44"/>
          <w:lang w:val="en-US" w:eastAsia="zh-CN"/>
        </w:rPr>
        <w:t>一季度</w:t>
      </w:r>
      <w:r>
        <w:rPr>
          <w:rFonts w:hint="default" w:ascii="Times New Roman" w:hAnsi="Times New Roman" w:eastAsia="方正小标宋_GBK" w:cs="Times New Roman"/>
          <w:bCs/>
          <w:sz w:val="44"/>
          <w:lang w:val="en-US" w:eastAsia="zh-CN"/>
        </w:rPr>
        <w:t>沙坪坝区“满天星”智慧城市应用场景项目开放清单</w:t>
      </w:r>
    </w:p>
    <w:p>
      <w:pPr>
        <w:keepNext w:val="0"/>
        <w:keepLines w:val="0"/>
        <w:pageBreakBefore w:val="0"/>
        <w:widowControl w:val="0"/>
        <w:tabs>
          <w:tab w:val="left" w:pos="8400"/>
          <w:tab w:val="left" w:pos="8610"/>
        </w:tabs>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tbl>
      <w:tblPr>
        <w:tblStyle w:val="5"/>
        <w:tblW w:w="140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2340"/>
        <w:gridCol w:w="888"/>
        <w:gridCol w:w="1200"/>
        <w:gridCol w:w="7290"/>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应用场景名称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牵头部门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投资额（万元）</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场景需求内容</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沙坪坝区政务信息资源共享平台运营维护</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”三清单“线上编制管理、区级部门现有系统资源数据接入实施、区级共享平台迁移上云、系统培训。</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沙坪坝区城市综合管理服务平台（一期）运维服务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沙坪坝区城市管理局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现有数字化城市管理信息系统拓展完善，纵向对接市级平台，横向整合或共享本级城市综合管理领域相关部门数据资源，统筹协调、指挥调度、监督考核、综合评价本级城市综合管理服务工作，推动形成党委政府领导下的“大城管”工作格局。</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沙坪坝区桥梁健康监测服务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沙坪坝区城市管理局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桥梁结构健康监测系统及视频监控的软硬件的开发与设计、设备采购、安装、调试、运行、系统使用手册编制、系统维护以及管理人员培训等。</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沙坪坝区智慧化环卫管理平台运营维护</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沙坪坝区城市管理局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51.4</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基础设施管理应用服务、环卫精细化智能管理服务、环卫综合管理服务、支撑应用管理服务、系统集成对接服务及配套硬件设备。</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沙坪坝区城市管理局危险源可燃气体在线监控系统运维服务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沙坪坝区城市管理局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沙坪坝区危险源监控系统终端监测站点的运行维护。</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沙坪坝区智能交通系统运维服务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沙坪坝区交通局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辖区治超站、公交站，汽车站、桥梁、隧道、重要路段、嘉临江沿线监控设备与其配套网络安全设备、服务器、信息系统的运维服务。</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磁器口智慧景区平台建设服务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磁器口古镇管委会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磁器口古镇智慧景区设备建设，包含景区监控、智慧厕所、AI语音智慧互动屏、执法仪、对讲机、智慧消防、管理平台开发、基座建模、小程序开发内容。</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沙坪坝区大气污染防治监测网格化建设项目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沙坪坝区生态环境局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43.3</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空气质量网格化监测及预警平台建设安装调试、选布前期空气质量监测微站点、构建指挥中心、数据中心建设、实时监测空气质量数据、实时监控可见污染源（扬尘、露天焚烧）、监测数据分析汇总、仪器设备日常运维等。</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沙坪坝区数字档案管理系统项目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沙坪坝区档案馆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按照国家档案局《数字档案馆建设指南》和《数字档案馆测评办法》，充分利用现有的信息基础设施， 建设涵盖局域网、政务外网两个网段的电子档案管理与服务平台，通过数字化、数据库、网络、软件开发、信息安全、迁移、海量数据管理、数据挖掘等先进成熟技术的综合应用，实现档案信息资源的数字化传输、接收、存储、管理、利用，努力促进信息化与档案馆各环节业务工作的高度融合。</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沙坪坝区残疾人数字信息工作平台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沙坪坝区残联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通过信息化管理手段，提升残联信息化管理水平，对外对内开展精准管控。</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沙坪坝区突发事件预警信息发布中心运营维护</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沙坪坝区气象局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充分发挥气象防灾减灾第一道防线作用，持续加强突发事件预警信息发布平台的运维能力建设，持续建立预警短信的靶向发布渠道，确保在极端天气下能够及时针对高风险区域内的所有居民发布预警短信。</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沙坪坝区制造企业综合管理系统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通过信息化系统加强企业人与人之间、人与机器之间、机器与机器之间以及服务与服务之间实现横向、纵向和端对端的高度集成，建设生产自动化、管理可视化、监控诊断远程化、柔性化智能制造一体化车间。</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沙坪坝区制造企业物流车辆排队系统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通过物流平台对现有运输业务流程进行再造重塑，整合供方、运输方以及需方的总体资源，任务执行过程中对线路交通进行分析、预测，调用匹配工厂生产、车辆运输，解决资源利用率低等问题。</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沙坪坝区制造企业注塑成型智能化车间管理系统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将先进的物联网技术、工业自动化技术、数字化技术引入注塑制造过程，将信息化管理系统与注塑生产的物理系统高度集成，实现注塑生产过程的各类信息自动采集、处理和传输，实现注塑自动化生产及智能制造。</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沙坪坝区制造企业自动化生产数据中心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从人、机、料、法、环 5 个方面对车间生产过程质量实现全方位的追溯，整</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合工厂智能设备、质量检测设备以及输送动力等自动化设备和企业研发、资源、营销、物流等业务数据资源，打造以技术和产品引领的大数据、智能化的制造平台。</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沙坪坝区制造企业MOM制造运营管理系统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统通过预设接口与ERP、PLM、ANDON、ESB、车间工业环网等进行联通，实现计划管理、过程质量、数据管理、设备管理、系统集成等功能，全面实现精确库存管理、提高仓库管理活动效率、降低错误成本、提高生产效率、提高生产产品品质、缩短生产周期、降低制造成本、全面防错防呆。</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沙坪坝区制造企业智能排采数字化系统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运用ERP系统和智能排采设备及综合管理系统软件，将生产线运行与各类检测、物流数据分析等设备互联互通，实现可视化、数字化运行，保证设备数据采集率和运行信息上传率达到100%。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沙坪坝区制造企业智能制造信息化管理系统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制造过程中的各种信息与生产现场实时信息进行管理，提升各生产环节的效率和质量，逐步实现生产过程各环节的集成和优化，实现产品快速更新，大幅提高生产效率、质量稳定、资金有效利用、损耗降低、人员合理配置等。</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沙坪坝区制造企业集成化工具管理系统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以管理软件作为中枢管理系统，整合传感器组件、数控单元、传输网络等，获取状态信息、传递控制指令，实现科学决策、智能设计、合理排产，监控生产设备状态，指导生产设备高效运转。</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1"/>
                <w:szCs w:val="21"/>
                <w:u w:val="none"/>
              </w:rPr>
            </w:pPr>
            <w:r>
              <w:rPr>
                <w:rFonts w:hint="default" w:ascii="Times New Roman" w:hAnsi="Times New Roman" w:eastAsia="方正楷体_GBK" w:cs="Times New Roman"/>
                <w:i w:val="0"/>
                <w:iCs w:val="0"/>
                <w:color w:val="000000"/>
                <w:kern w:val="0"/>
                <w:sz w:val="21"/>
                <w:szCs w:val="21"/>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沙坪坝区制造企业智能生产线管理系统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沙坪坝区经济信息委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产制造自动化为基础，机器人应用为核心，通过信息系统实现上、下游产业链以及与自动化智能装备的高度集成，通过数字化工厂、数字化车间、智能化生产线的无缝集成，实现信息互连、内外互连、虚拟互连，远近互联，信息互连</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0"/>
                <w:rFonts w:hint="default" w:ascii="Times New Roman" w:hAnsi="Times New Roman" w:cs="Times New Roman"/>
                <w:sz w:val="21"/>
                <w:szCs w:val="21"/>
                <w:lang w:val="en-US" w:eastAsia="zh-CN" w:bidi="ar"/>
              </w:rPr>
              <w:t>王老师</w:t>
            </w:r>
            <w:r>
              <w:rPr>
                <w:rStyle w:val="11"/>
                <w:rFonts w:hint="default" w:ascii="Times New Roman" w:hAnsi="Times New Roman" w:eastAsia="宋体" w:cs="Times New Roman"/>
                <w:sz w:val="21"/>
                <w:szCs w:val="21"/>
                <w:lang w:val="en-US" w:eastAsia="zh-CN" w:bidi="ar"/>
              </w:rPr>
              <w:t>65308569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楷体_GBK" w:cs="Times New Roman"/>
                <w:i w:val="0"/>
                <w:iCs w:val="0"/>
                <w:color w:val="000000"/>
                <w:sz w:val="21"/>
                <w:szCs w:val="21"/>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2153.30 </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1"/>
                <w:szCs w:val="21"/>
                <w:u w:val="none"/>
              </w:rPr>
            </w:pPr>
          </w:p>
        </w:tc>
      </w:tr>
    </w:tbl>
    <w:p>
      <w:pPr>
        <w:keepNext w:val="0"/>
        <w:keepLines w:val="0"/>
        <w:pageBreakBefore w:val="0"/>
        <w:widowControl w:val="0"/>
        <w:tabs>
          <w:tab w:val="left" w:pos="8400"/>
          <w:tab w:val="left" w:pos="8610"/>
        </w:tabs>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sectPr>
      <w:pgSz w:w="16838" w:h="11906" w:orient="landscape"/>
      <w:pgMar w:top="1588" w:right="2098" w:bottom="1474" w:left="1985" w:header="851" w:footer="153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7280" w:firstLineChars="2600"/>
      <w:jc w:val="right"/>
      <w:rPr>
        <w:rFonts w:hint="eastAsia" w:ascii="方正仿宋_GBK" w:hAnsi="宋体" w:eastAsia="方正仿宋_GBK"/>
        <w:sz w:val="28"/>
        <w:szCs w:val="28"/>
        <w:lang w:val="en-US" w:eastAsia="zh-CN"/>
      </w:rPr>
    </w:pPr>
    <w:r>
      <w:rPr>
        <w:rFonts w:hint="eastAsia" w:ascii="方正仿宋_GBK" w:hAnsi="宋体" w:eastAsia="方正仿宋_GBK"/>
        <w:kern w:val="0"/>
        <w:sz w:val="28"/>
        <w:szCs w:val="28"/>
        <w:lang w:val="en-US" w:eastAsia="zh-CN"/>
      </w:rPr>
      <w:t xml:space="preserve"> </w:t>
    </w:r>
    <w:r>
      <w:rPr>
        <w:rFonts w:hint="eastAsia" w:ascii="方正仿宋_GBK" w:hAnsi="宋体" w:eastAsia="方正仿宋_GBK"/>
        <w:kern w:val="0"/>
        <w:sz w:val="28"/>
        <w:szCs w:val="28"/>
      </w:rPr>
      <w:t xml:space="preserve">— </w:t>
    </w:r>
    <w:r>
      <w:rPr>
        <w:rFonts w:hint="eastAsia" w:ascii="方正仿宋_GBK" w:hAnsi="宋体" w:eastAsia="方正仿宋_GBK"/>
        <w:kern w:val="0"/>
        <w:sz w:val="28"/>
        <w:szCs w:val="28"/>
      </w:rPr>
      <w:fldChar w:fldCharType="begin"/>
    </w:r>
    <w:r>
      <w:rPr>
        <w:rFonts w:hint="eastAsia" w:ascii="方正仿宋_GBK" w:hAnsi="宋体" w:eastAsia="方正仿宋_GBK"/>
        <w:kern w:val="0"/>
        <w:sz w:val="28"/>
        <w:szCs w:val="28"/>
      </w:rPr>
      <w:instrText xml:space="preserve"> PAGE </w:instrText>
    </w:r>
    <w:r>
      <w:rPr>
        <w:rFonts w:hint="eastAsia" w:ascii="方正仿宋_GBK" w:hAnsi="宋体" w:eastAsia="方正仿宋_GBK"/>
        <w:kern w:val="0"/>
        <w:sz w:val="28"/>
        <w:szCs w:val="28"/>
      </w:rPr>
      <w:fldChar w:fldCharType="separate"/>
    </w:r>
    <w:r>
      <w:rPr>
        <w:rFonts w:ascii="方正仿宋_GBK" w:hAnsi="宋体" w:eastAsia="方正仿宋_GBK"/>
        <w:kern w:val="0"/>
        <w:sz w:val="28"/>
        <w:szCs w:val="28"/>
      </w:rPr>
      <w:t>1</w:t>
    </w:r>
    <w:r>
      <w:rPr>
        <w:rFonts w:hint="eastAsia" w:ascii="方正仿宋_GBK" w:hAnsi="宋体" w:eastAsia="方正仿宋_GBK"/>
        <w:kern w:val="0"/>
        <w:sz w:val="28"/>
        <w:szCs w:val="28"/>
      </w:rPr>
      <w:fldChar w:fldCharType="end"/>
    </w:r>
    <w:r>
      <w:rPr>
        <w:rFonts w:hint="eastAsia" w:ascii="方正仿宋_GBK" w:hAnsi="宋体" w:eastAsia="方正仿宋_GBK"/>
        <w:kern w:val="0"/>
        <w:sz w:val="28"/>
        <w:szCs w:val="28"/>
      </w:rPr>
      <w:t xml:space="preserve"> —</w:t>
    </w:r>
    <w:r>
      <w:rPr>
        <w:rFonts w:hint="eastAsia" w:ascii="方正仿宋_GBK" w:hAnsi="宋体" w:eastAsia="方正仿宋_GBK"/>
        <w:kern w:val="0"/>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方正仿宋_GBK" w:hAnsi="宋体" w:eastAsia="方正仿宋_GBK"/>
        <w:sz w:val="28"/>
        <w:szCs w:val="28"/>
      </w:rPr>
    </w:pPr>
    <w:r>
      <w:rPr>
        <w:rFonts w:hint="eastAsia" w:ascii="方正仿宋_GBK" w:hAnsi="宋体" w:eastAsia="方正仿宋_GBK"/>
        <w:kern w:val="0"/>
        <w:sz w:val="28"/>
        <w:szCs w:val="28"/>
      </w:rPr>
      <w:t xml:space="preserve">— </w:t>
    </w:r>
    <w:r>
      <w:rPr>
        <w:rFonts w:hint="eastAsia" w:ascii="方正仿宋_GBK" w:hAnsi="宋体" w:eastAsia="方正仿宋_GBK"/>
        <w:kern w:val="0"/>
        <w:sz w:val="28"/>
        <w:szCs w:val="28"/>
      </w:rPr>
      <w:fldChar w:fldCharType="begin"/>
    </w:r>
    <w:r>
      <w:rPr>
        <w:rFonts w:hint="eastAsia" w:ascii="方正仿宋_GBK" w:hAnsi="宋体" w:eastAsia="方正仿宋_GBK"/>
        <w:kern w:val="0"/>
        <w:sz w:val="28"/>
        <w:szCs w:val="28"/>
      </w:rPr>
      <w:instrText xml:space="preserve"> PAGE </w:instrText>
    </w:r>
    <w:r>
      <w:rPr>
        <w:rFonts w:hint="eastAsia" w:ascii="方正仿宋_GBK" w:hAnsi="宋体" w:eastAsia="方正仿宋_GBK"/>
        <w:kern w:val="0"/>
        <w:sz w:val="28"/>
        <w:szCs w:val="28"/>
      </w:rPr>
      <w:fldChar w:fldCharType="separate"/>
    </w:r>
    <w:r>
      <w:rPr>
        <w:rFonts w:ascii="方正仿宋_GBK" w:hAnsi="宋体" w:eastAsia="方正仿宋_GBK"/>
        <w:kern w:val="0"/>
        <w:sz w:val="28"/>
        <w:szCs w:val="28"/>
      </w:rPr>
      <w:t>2</w:t>
    </w:r>
    <w:r>
      <w:rPr>
        <w:rFonts w:hint="eastAsia" w:ascii="方正仿宋_GBK" w:hAnsi="宋体" w:eastAsia="方正仿宋_GBK"/>
        <w:kern w:val="0"/>
        <w:sz w:val="28"/>
        <w:szCs w:val="28"/>
      </w:rPr>
      <w:fldChar w:fldCharType="end"/>
    </w:r>
    <w:r>
      <w:rPr>
        <w:rFonts w:hint="eastAsia" w:ascii="方正仿宋_GBK" w:hAnsi="宋体" w:eastAsia="方正仿宋_GBK"/>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N2E0ZDVhYjkyMTQ2NDBlNjQ5MTg4OWQzMzY5MTIifQ=="/>
  </w:docVars>
  <w:rsids>
    <w:rsidRoot w:val="51590260"/>
    <w:rsid w:val="11353820"/>
    <w:rsid w:val="17424826"/>
    <w:rsid w:val="1B060D1D"/>
    <w:rsid w:val="31C667EC"/>
    <w:rsid w:val="32147A76"/>
    <w:rsid w:val="386522E3"/>
    <w:rsid w:val="3DBA4D51"/>
    <w:rsid w:val="48824D01"/>
    <w:rsid w:val="51590260"/>
    <w:rsid w:val="7B2A16E7"/>
    <w:rsid w:val="7B951C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8">
    <w:name w:val="font71"/>
    <w:basedOn w:val="6"/>
    <w:uiPriority w:val="0"/>
    <w:rPr>
      <w:rFonts w:hint="default" w:ascii="Times New Roman" w:hAnsi="Times New Roman" w:cs="Times New Roman"/>
      <w:color w:val="000000"/>
      <w:sz w:val="22"/>
      <w:szCs w:val="22"/>
      <w:u w:val="none"/>
    </w:rPr>
  </w:style>
  <w:style w:type="character" w:customStyle="1" w:styleId="9">
    <w:name w:val="font21"/>
    <w:basedOn w:val="6"/>
    <w:qFormat/>
    <w:uiPriority w:val="0"/>
    <w:rPr>
      <w:rFonts w:hint="eastAsia" w:ascii="方正仿宋_GBK" w:hAnsi="方正仿宋_GBK" w:eastAsia="方正仿宋_GBK" w:cs="方正仿宋_GBK"/>
      <w:color w:val="000000"/>
      <w:sz w:val="22"/>
      <w:szCs w:val="22"/>
      <w:u w:val="none"/>
    </w:rPr>
  </w:style>
  <w:style w:type="character" w:customStyle="1" w:styleId="10">
    <w:name w:val="font01"/>
    <w:basedOn w:val="6"/>
    <w:qFormat/>
    <w:uiPriority w:val="0"/>
    <w:rPr>
      <w:rFonts w:hint="eastAsia" w:ascii="宋体" w:hAnsi="宋体" w:eastAsia="宋体" w:cs="宋体"/>
      <w:color w:val="000000"/>
      <w:sz w:val="22"/>
      <w:szCs w:val="22"/>
      <w:u w:val="none"/>
    </w:rPr>
  </w:style>
  <w:style w:type="character" w:customStyle="1" w:styleId="11">
    <w:name w:val="font4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0&#24180;&#24037;&#20316;\&#21457;&#25991;&#27169;&#26495;\&#22823;&#25968;&#25454;&#23616;&#20415;&#31614;&#65288;&#32418;&#2283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大数据局便签（红头）.dot</Template>
  <Pages>5</Pages>
  <Words>2781</Words>
  <Characters>3055</Characters>
  <Lines>1</Lines>
  <Paragraphs>1</Paragraphs>
  <TotalTime>0</TotalTime>
  <ScaleCrop>false</ScaleCrop>
  <LinksUpToDate>false</LinksUpToDate>
  <CharactersWithSpaces>3082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2020-03-12T09:22:00Z</dcterms:created>
  <dc:creator>王昕</dc:creator>
  <cp:lastModifiedBy>廖传铃</cp:lastModifiedBy>
  <dcterms:modified xsi:type="dcterms:W3CDTF">2023-03-31T02:56:00Z</dcterms:modified>
  <dc:title>重庆市沙坪坝区经济委员会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5343E97FF48542FFA08F67D042B32413</vt:lpwstr>
  </property>
</Properties>
</file>