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33" w:rsidRDefault="006A1F33" w:rsidP="006A1F33">
      <w:pPr>
        <w:pStyle w:val="afc"/>
        <w:rPr>
          <w:rFonts w:hint="eastAsia"/>
        </w:rPr>
      </w:pPr>
      <w:r w:rsidRPr="006A1F33">
        <w:rPr>
          <w:rFonts w:hint="eastAsia"/>
        </w:rPr>
        <w:t>沙坪坝区中小学和幼儿园内涵发展质量综合评价实施方案（试行）</w:t>
      </w:r>
      <w:bookmarkStart w:id="0" w:name="_GoBack"/>
      <w:bookmarkEnd w:id="0"/>
    </w:p>
    <w:p w:rsidR="006A1F33" w:rsidRDefault="006A1F33" w:rsidP="006A1F33">
      <w:pPr>
        <w:widowControl/>
        <w:spacing w:after="100" w:afterAutospacing="1" w:line="360" w:lineRule="atLeast"/>
        <w:ind w:firstLine="480"/>
        <w:jc w:val="left"/>
        <w:rPr>
          <w:rFonts w:ascii="宋体" w:eastAsia="宋体" w:hAnsi="宋体" w:cs="宋体" w:hint="eastAsia"/>
          <w:kern w:val="0"/>
          <w:sz w:val="29"/>
          <w:szCs w:val="29"/>
        </w:rPr>
      </w:pPr>
    </w:p>
    <w:p w:rsidR="006A1F33" w:rsidRPr="006A1F33" w:rsidRDefault="006A1F33" w:rsidP="006A1F33">
      <w:pPr>
        <w:widowControl/>
        <w:spacing w:after="100" w:afterAutospacing="1"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为切实扭转不科学的教育评价导向，深入推进中小学和幼儿园内涵发展，不断深化教育治理现代化，努力建设高质量的区域教育体系，根据中共中央、国务院《深化新时代教育评价改革总体方案》和重庆市委、市政府《深化新时代教育评价改革若干措施》等文件要求，结合沙区实际，制定本方案。</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一、指导思想</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坚持以习近平新时代中国特色社会主义思想为指导，全面贯彻党的教育方针，坚持社会主义办学方向，遵循学生成长规律和教育规律，建立以深化素质教育为导向的学校发展质量评价体系，强化评价结果运用，健全立德树人落实机制，构建德智体美劳全面培养教育体系，引领教育教学改革，提高教育教学质量，努力培养德智体美劳全面发展的社会主义建设者和接班人。</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二、基本原则</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（一）坚持正确方向。</w:t>
      </w:r>
      <w:proofErr w:type="gramStart"/>
      <w:r w:rsidRPr="006A1F33">
        <w:rPr>
          <w:rFonts w:ascii="宋体" w:eastAsia="宋体" w:hAnsi="宋体" w:cs="宋体" w:hint="eastAsia"/>
          <w:kern w:val="0"/>
          <w:sz w:val="29"/>
          <w:szCs w:val="29"/>
        </w:rPr>
        <w:t>践行</w:t>
      </w:r>
      <w:proofErr w:type="gramEnd"/>
      <w:r w:rsidRPr="006A1F33">
        <w:rPr>
          <w:rFonts w:ascii="宋体" w:eastAsia="宋体" w:hAnsi="宋体" w:cs="宋体" w:hint="eastAsia"/>
          <w:kern w:val="0"/>
          <w:sz w:val="29"/>
          <w:szCs w:val="29"/>
        </w:rPr>
        <w:t>为党育人、为国育才使命，坚持正确政绩观和科学育人质量观，促进区域教育公平发展和质量提升。</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lastRenderedPageBreak/>
        <w:t>（二）坚持育人为本。关注学校全面育人整体成效和学生德智体美劳全面发展情况的同时，注重差异性和多样性，促进学生全面发展与个性发展。</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三）坚持科学有效。注重统筹整合，强化结果评价与增值评价相结合、过程性评价与发展性相结合、综合评价与特色评价相结合、自我评价与外部评价相结合、线上评价与线下评价相结合、全体评价与分级分类相结合，突出评价重点，改进评价方法，减轻学校负担，克服“五唯”倾向，优化教育生态。</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（四）坚持</w:t>
      </w:r>
      <w:proofErr w:type="gramStart"/>
      <w:r w:rsidRPr="006A1F33">
        <w:rPr>
          <w:rFonts w:ascii="宋体" w:eastAsia="宋体" w:hAnsi="宋体" w:cs="宋体" w:hint="eastAsia"/>
          <w:kern w:val="0"/>
          <w:sz w:val="29"/>
          <w:szCs w:val="29"/>
        </w:rPr>
        <w:t>以评促建</w:t>
      </w:r>
      <w:proofErr w:type="gramEnd"/>
      <w:r w:rsidRPr="006A1F33">
        <w:rPr>
          <w:rFonts w:ascii="宋体" w:eastAsia="宋体" w:hAnsi="宋体" w:cs="宋体" w:hint="eastAsia"/>
          <w:kern w:val="0"/>
          <w:sz w:val="29"/>
          <w:szCs w:val="29"/>
        </w:rPr>
        <w:t>。推进区域教育质量保障体制机制建设，推动学校评价常态化，注重结果运用与反馈改进，有效发挥评价的诊断、改进与激励功能，引导办好每所学校，促进义务教育优质均衡发展。</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三、评价对象</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2020—2021学年度，全区委属公办独立园、小学、</w:t>
      </w:r>
      <w:proofErr w:type="gramStart"/>
      <w:r w:rsidRPr="006A1F33">
        <w:rPr>
          <w:rFonts w:ascii="宋体" w:eastAsia="宋体" w:hAnsi="宋体" w:cs="宋体" w:hint="eastAsia"/>
          <w:kern w:val="0"/>
          <w:sz w:val="29"/>
          <w:szCs w:val="29"/>
        </w:rPr>
        <w:t>单办初中</w:t>
      </w:r>
      <w:proofErr w:type="gramEnd"/>
      <w:r w:rsidRPr="006A1F33">
        <w:rPr>
          <w:rFonts w:ascii="宋体" w:eastAsia="宋体" w:hAnsi="宋体" w:cs="宋体" w:hint="eastAsia"/>
          <w:kern w:val="0"/>
          <w:sz w:val="29"/>
          <w:szCs w:val="29"/>
        </w:rPr>
        <w:t>、九年一贯制学校、</w:t>
      </w:r>
      <w:proofErr w:type="gramStart"/>
      <w:r w:rsidRPr="006A1F33">
        <w:rPr>
          <w:rFonts w:ascii="宋体" w:eastAsia="宋体" w:hAnsi="宋体" w:cs="宋体" w:hint="eastAsia"/>
          <w:kern w:val="0"/>
          <w:sz w:val="29"/>
          <w:szCs w:val="29"/>
        </w:rPr>
        <w:t>单办高中</w:t>
      </w:r>
      <w:proofErr w:type="gramEnd"/>
      <w:r w:rsidRPr="006A1F33">
        <w:rPr>
          <w:rFonts w:ascii="宋体" w:eastAsia="宋体" w:hAnsi="宋体" w:cs="宋体" w:hint="eastAsia"/>
          <w:kern w:val="0"/>
          <w:sz w:val="29"/>
          <w:szCs w:val="29"/>
        </w:rPr>
        <w:t>、高完中和中职学校（2021年9月新开办的学校不参加自评，民办中小学和幼儿园可以自行参照评价）。</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四、评价内容</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lastRenderedPageBreak/>
        <w:t>中小学和幼儿园内涵发展质量综合评价分为治理质量评价、学业质量评价和办学满意度评价等三部分（详见：沙坪坝区中小学和幼儿园内涵发展质量综合评价体系），其中：</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治理质量评价指标分为基本线指标、发展线指标和警戒线指标等三类指标，内容包括：办学方向、教学治理、教师治理、综合治理、学生发展等五个方面重点内容，旨在促进学校深入实施素质教育，落实德智体美劳全面培养要求，培养学生适应终身发展和社会发展需要的正确价值观、必备品格和关键能力。</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学业质量评价根据国家规定的学业质量标准要求，结合学前教育、普通教育和职业教育的不同特点，采纳的主要依据：学前教育阶段以综合能力测试结果为主；义务教育综合学科纸笔测试结果、实验实践能力测试结果和综合素质评价结果；普高教育综合学科纸笔测试结果、实验实践能力测试结果和综合素质评价结果；中职教育综合学科纸笔测试结果、职业技能鉴定结果和职业技能竞赛结果。</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办学满意度评价由区政府教育督导室组织第三方机构或组织，以社区、学生家长、行业、企业和学生为调查对象，通过电话访谈、短信交流、面谈问询、问卷调查等方式，对学校依法依规办学、维护教育公平、服务社会满意度，教师师德师风、依法执教、育人效果满意度，学生全面发展、核心素养、关键能力等开展随机调查。</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沙坪坝区中小学和幼儿园内涵发展质量综合评价体系</w:t>
      </w:r>
    </w:p>
    <w:tbl>
      <w:tblPr>
        <w:tblW w:w="0" w:type="auto"/>
        <w:tblBorders>
          <w:top w:val="outset" w:sz="6" w:space="0" w:color="auto"/>
          <w:left w:val="outset" w:sz="6" w:space="0" w:color="auto"/>
          <w:bottom w:val="outset" w:sz="6" w:space="0" w:color="auto"/>
          <w:right w:val="outset" w:sz="6" w:space="0" w:color="auto"/>
        </w:tblBorders>
        <w:tblCellMar>
          <w:top w:w="75" w:type="dxa"/>
          <w:left w:w="150" w:type="dxa"/>
          <w:bottom w:w="75" w:type="dxa"/>
          <w:right w:w="150" w:type="dxa"/>
        </w:tblCellMar>
        <w:tblLook w:val="04A0" w:firstRow="1" w:lastRow="0" w:firstColumn="1" w:lastColumn="0" w:noHBand="0" w:noVBand="1"/>
      </w:tblPr>
      <w:tblGrid>
        <w:gridCol w:w="706"/>
        <w:gridCol w:w="675"/>
        <w:gridCol w:w="1535"/>
        <w:gridCol w:w="706"/>
        <w:gridCol w:w="1897"/>
        <w:gridCol w:w="737"/>
        <w:gridCol w:w="549"/>
        <w:gridCol w:w="1651"/>
      </w:tblGrid>
      <w:tr w:rsidR="006A1F33" w:rsidRPr="006A1F33" w:rsidTr="006A1F33">
        <w:trPr>
          <w:trHeight w:val="90"/>
        </w:trPr>
        <w:tc>
          <w:tcPr>
            <w:tcW w:w="120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lastRenderedPageBreak/>
              <w:t>评价项目</w:t>
            </w:r>
          </w:p>
        </w:tc>
        <w:tc>
          <w:tcPr>
            <w:tcW w:w="9615"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评价内容、方式、标准等</w:t>
            </w:r>
          </w:p>
        </w:tc>
        <w:tc>
          <w:tcPr>
            <w:tcW w:w="75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分值</w:t>
            </w:r>
          </w:p>
        </w:tc>
        <w:tc>
          <w:tcPr>
            <w:tcW w:w="30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备注</w:t>
            </w:r>
          </w:p>
        </w:tc>
      </w:tr>
      <w:tr w:rsidR="006A1F33" w:rsidRPr="006A1F33" w:rsidTr="006A1F33">
        <w:trPr>
          <w:trHeight w:val="9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评价对象</w:t>
            </w:r>
          </w:p>
        </w:tc>
        <w:tc>
          <w:tcPr>
            <w:tcW w:w="30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纸笔测试</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权重</w:t>
            </w:r>
          </w:p>
        </w:tc>
        <w:tc>
          <w:tcPr>
            <w:tcW w:w="3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综合能力测试</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权重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r>
      <w:tr w:rsidR="006A1F33" w:rsidRPr="006A1F33" w:rsidTr="006A1F33">
        <w:trPr>
          <w:trHeight w:val="90"/>
        </w:trPr>
        <w:tc>
          <w:tcPr>
            <w:tcW w:w="120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治理质量</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幼儿园</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详见附件1：沙坪坝区幼儿园治理质量评价指标体系</w:t>
            </w:r>
          </w:p>
        </w:tc>
        <w:tc>
          <w:tcPr>
            <w:tcW w:w="75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50分</w:t>
            </w:r>
          </w:p>
        </w:tc>
        <w:tc>
          <w:tcPr>
            <w:tcW w:w="30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w:t>
            </w:r>
          </w:p>
        </w:tc>
      </w:tr>
      <w:tr w:rsidR="006A1F33" w:rsidRPr="006A1F33" w:rsidTr="006A1F33">
        <w:trPr>
          <w:trHeight w:val="9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小学</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详见附件2：沙坪坝区小学学校治理质量评价指标体系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r>
      <w:tr w:rsidR="006A1F33" w:rsidRPr="006A1F33" w:rsidTr="006A1F33">
        <w:trPr>
          <w:trHeight w:val="9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初中</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详见附件3：沙坪坝区初级中学治理质量评价指标体系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r>
      <w:tr w:rsidR="006A1F33" w:rsidRPr="006A1F33" w:rsidTr="006A1F33">
        <w:trPr>
          <w:trHeight w:val="9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普通高中</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详见附件4：沙坪坝区普通高中治理质量评价指标体系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r>
      <w:tr w:rsidR="006A1F33" w:rsidRPr="006A1F33" w:rsidTr="006A1F33">
        <w:trPr>
          <w:trHeight w:val="9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职业高中</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9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见详附件5：沙坪坝区职业高中治理质量评价指标体系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r>
      <w:tr w:rsidR="006A1F33" w:rsidRPr="006A1F33" w:rsidTr="006A1F33">
        <w:trPr>
          <w:trHeight w:val="315"/>
        </w:trPr>
        <w:tc>
          <w:tcPr>
            <w:tcW w:w="120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lastRenderedPageBreak/>
              <w:t>学业质量</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幼儿园</w:t>
            </w:r>
          </w:p>
        </w:tc>
        <w:tc>
          <w:tcPr>
            <w:tcW w:w="30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不开展纸笔测试。</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0</w:t>
            </w:r>
          </w:p>
        </w:tc>
        <w:tc>
          <w:tcPr>
            <w:tcW w:w="3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抽测1个年级；1－2个项目。</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100％</w:t>
            </w:r>
          </w:p>
        </w:tc>
        <w:tc>
          <w:tcPr>
            <w:tcW w:w="75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40分</w:t>
            </w:r>
          </w:p>
        </w:tc>
        <w:tc>
          <w:tcPr>
            <w:tcW w:w="30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w:t>
            </w:r>
          </w:p>
        </w:tc>
      </w:tr>
      <w:tr w:rsidR="006A1F33" w:rsidRPr="006A1F33" w:rsidTr="006A1F33">
        <w:trPr>
          <w:trHeight w:val="4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小学</w:t>
            </w:r>
          </w:p>
        </w:tc>
        <w:tc>
          <w:tcPr>
            <w:tcW w:w="30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1－2个年级；1－2个学科。</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70％</w:t>
            </w:r>
          </w:p>
        </w:tc>
        <w:tc>
          <w:tcPr>
            <w:tcW w:w="3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抽测1个年级；1－2个项目；3－5个学习小组（2021年不开展）。</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30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w:t>
            </w:r>
          </w:p>
        </w:tc>
      </w:tr>
      <w:tr w:rsidR="006A1F33" w:rsidRPr="006A1F33" w:rsidTr="006A1F33">
        <w:trPr>
          <w:trHeight w:val="585"/>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初中</w:t>
            </w:r>
          </w:p>
        </w:tc>
        <w:tc>
          <w:tcPr>
            <w:tcW w:w="30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毕业年级适应性考试增值性评价结果。</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70％</w:t>
            </w:r>
          </w:p>
        </w:tc>
        <w:tc>
          <w:tcPr>
            <w:tcW w:w="3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每校抽测1个年级；1－2个项目；3－5个学习小组（2021年不开展）。</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30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九年一贯制学校小学部、初中部各占50％比例。</w:t>
            </w:r>
          </w:p>
        </w:tc>
      </w:tr>
      <w:tr w:rsidR="006A1F33" w:rsidRPr="006A1F33" w:rsidTr="006A1F33">
        <w:trPr>
          <w:trHeight w:val="5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普通高中</w:t>
            </w:r>
          </w:p>
        </w:tc>
        <w:tc>
          <w:tcPr>
            <w:tcW w:w="30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学生学业成绩增值性评价结果。</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100％</w:t>
            </w:r>
          </w:p>
        </w:tc>
        <w:tc>
          <w:tcPr>
            <w:tcW w:w="3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每校抽测1个年级；1－2个项目；3－5个学习小组（2021年不开展）。</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30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高完中初中部、高中部各占50％比例。</w:t>
            </w:r>
          </w:p>
        </w:tc>
      </w:tr>
      <w:tr w:rsidR="006A1F33" w:rsidRPr="006A1F33" w:rsidTr="006A1F33">
        <w:trPr>
          <w:trHeight w:val="5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职业高中</w:t>
            </w:r>
          </w:p>
        </w:tc>
        <w:tc>
          <w:tcPr>
            <w:tcW w:w="30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纸笔测试（2021年不开展）</w:t>
            </w:r>
          </w:p>
        </w:tc>
        <w:tc>
          <w:tcPr>
            <w:tcW w:w="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30％</w:t>
            </w:r>
          </w:p>
        </w:tc>
        <w:tc>
          <w:tcPr>
            <w:tcW w:w="3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当期学生技能大赛成绩。</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30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进入前10名为满分，11—50名等距离投射。</w:t>
            </w:r>
          </w:p>
        </w:tc>
      </w:tr>
      <w:tr w:rsidR="006A1F33" w:rsidRPr="006A1F33" w:rsidTr="006A1F33">
        <w:trPr>
          <w:trHeight w:val="540"/>
        </w:trPr>
        <w:tc>
          <w:tcPr>
            <w:tcW w:w="120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满意度</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幼儿园</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外部评价：</w:t>
            </w:r>
            <w:proofErr w:type="gramStart"/>
            <w:r w:rsidRPr="006A1F33">
              <w:rPr>
                <w:rFonts w:ascii="宋体" w:eastAsia="宋体" w:hAnsi="宋体" w:cs="宋体" w:hint="eastAsia"/>
                <w:kern w:val="0"/>
                <w:sz w:val="29"/>
                <w:szCs w:val="29"/>
              </w:rPr>
              <w:t>第三方针</w:t>
            </w:r>
            <w:proofErr w:type="gramEnd"/>
            <w:r w:rsidRPr="006A1F33">
              <w:rPr>
                <w:rFonts w:ascii="宋体" w:eastAsia="宋体" w:hAnsi="宋体" w:cs="宋体" w:hint="eastAsia"/>
                <w:kern w:val="0"/>
                <w:sz w:val="29"/>
                <w:szCs w:val="29"/>
              </w:rPr>
              <w:t>对家长或社区居民，对师德师风、科学保教、规范办园、安全卫生等工作的满意</w:t>
            </w:r>
            <w:proofErr w:type="gramStart"/>
            <w:r w:rsidRPr="006A1F33">
              <w:rPr>
                <w:rFonts w:ascii="宋体" w:eastAsia="宋体" w:hAnsi="宋体" w:cs="宋体" w:hint="eastAsia"/>
                <w:kern w:val="0"/>
                <w:sz w:val="29"/>
                <w:szCs w:val="29"/>
              </w:rPr>
              <w:t>度开展</w:t>
            </w:r>
            <w:proofErr w:type="gramEnd"/>
            <w:r w:rsidRPr="006A1F33">
              <w:rPr>
                <w:rFonts w:ascii="宋体" w:eastAsia="宋体" w:hAnsi="宋体" w:cs="宋体" w:hint="eastAsia"/>
                <w:kern w:val="0"/>
                <w:sz w:val="29"/>
                <w:szCs w:val="29"/>
              </w:rPr>
              <w:t>电话调查或实地访谈。</w:t>
            </w:r>
          </w:p>
        </w:tc>
        <w:tc>
          <w:tcPr>
            <w:tcW w:w="75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jc w:val="left"/>
              <w:rPr>
                <w:rFonts w:ascii="宋体" w:eastAsia="宋体" w:hAnsi="宋体" w:cs="宋体"/>
                <w:kern w:val="0"/>
                <w:sz w:val="29"/>
                <w:szCs w:val="29"/>
              </w:rPr>
            </w:pPr>
            <w:r w:rsidRPr="006A1F33">
              <w:rPr>
                <w:rFonts w:ascii="宋体" w:eastAsia="宋体" w:hAnsi="宋体" w:cs="宋体" w:hint="eastAsia"/>
                <w:kern w:val="0"/>
                <w:sz w:val="29"/>
                <w:szCs w:val="29"/>
              </w:rPr>
              <w:t>10分</w:t>
            </w:r>
          </w:p>
        </w:tc>
        <w:tc>
          <w:tcPr>
            <w:tcW w:w="30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1．满意度评价10分，含外部评价8分、内部评价2分；</w:t>
            </w:r>
          </w:p>
          <w:p w:rsidR="006A1F33" w:rsidRPr="006A1F33" w:rsidRDefault="006A1F33" w:rsidP="006A1F33">
            <w:pPr>
              <w:widowControl/>
              <w:wordWrap w:val="0"/>
              <w:spacing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2．内部评价由督导评估中心组织专家对学校自查情况进行评价；</w:t>
            </w:r>
          </w:p>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3．每年可根据实际情况对调查</w:t>
            </w:r>
            <w:r w:rsidRPr="006A1F33">
              <w:rPr>
                <w:rFonts w:ascii="宋体" w:eastAsia="宋体" w:hAnsi="宋体" w:cs="宋体" w:hint="eastAsia"/>
                <w:kern w:val="0"/>
                <w:sz w:val="29"/>
                <w:szCs w:val="29"/>
              </w:rPr>
              <w:lastRenderedPageBreak/>
              <w:t>对象、要点、分值和方法进行。</w:t>
            </w:r>
          </w:p>
        </w:tc>
      </w:tr>
      <w:tr w:rsidR="006A1F33" w:rsidRPr="006A1F33" w:rsidTr="006A1F33">
        <w:trPr>
          <w:trHeight w:val="5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小学</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外部评价：</w:t>
            </w:r>
            <w:proofErr w:type="gramStart"/>
            <w:r w:rsidRPr="006A1F33">
              <w:rPr>
                <w:rFonts w:ascii="宋体" w:eastAsia="宋体" w:hAnsi="宋体" w:cs="宋体" w:hint="eastAsia"/>
                <w:kern w:val="0"/>
                <w:sz w:val="29"/>
                <w:szCs w:val="29"/>
              </w:rPr>
              <w:t>第三方针</w:t>
            </w:r>
            <w:proofErr w:type="gramEnd"/>
            <w:r w:rsidRPr="006A1F33">
              <w:rPr>
                <w:rFonts w:ascii="宋体" w:eastAsia="宋体" w:hAnsi="宋体" w:cs="宋体" w:hint="eastAsia"/>
                <w:kern w:val="0"/>
                <w:sz w:val="29"/>
                <w:szCs w:val="29"/>
              </w:rPr>
              <w:t>对家长或社区居民，对师德师风、办学行为、学生全面发展、学生平等权益、现代学校制度、学业负担等工作的满意</w:t>
            </w:r>
            <w:proofErr w:type="gramStart"/>
            <w:r w:rsidRPr="006A1F33">
              <w:rPr>
                <w:rFonts w:ascii="宋体" w:eastAsia="宋体" w:hAnsi="宋体" w:cs="宋体" w:hint="eastAsia"/>
                <w:kern w:val="0"/>
                <w:sz w:val="29"/>
                <w:szCs w:val="29"/>
              </w:rPr>
              <w:t>度开展</w:t>
            </w:r>
            <w:proofErr w:type="gramEnd"/>
            <w:r w:rsidRPr="006A1F33">
              <w:rPr>
                <w:rFonts w:ascii="宋体" w:eastAsia="宋体" w:hAnsi="宋体" w:cs="宋体" w:hint="eastAsia"/>
                <w:kern w:val="0"/>
                <w:sz w:val="29"/>
                <w:szCs w:val="29"/>
              </w:rPr>
              <w:t>电话调查或实地访谈。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r>
      <w:tr w:rsidR="006A1F33" w:rsidRPr="006A1F33" w:rsidTr="006A1F33">
        <w:trPr>
          <w:trHeight w:val="5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初中</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外部评价：</w:t>
            </w:r>
            <w:proofErr w:type="gramStart"/>
            <w:r w:rsidRPr="006A1F33">
              <w:rPr>
                <w:rFonts w:ascii="宋体" w:eastAsia="宋体" w:hAnsi="宋体" w:cs="宋体" w:hint="eastAsia"/>
                <w:kern w:val="0"/>
                <w:sz w:val="29"/>
                <w:szCs w:val="29"/>
              </w:rPr>
              <w:t>第三方针</w:t>
            </w:r>
            <w:proofErr w:type="gramEnd"/>
            <w:r w:rsidRPr="006A1F33">
              <w:rPr>
                <w:rFonts w:ascii="宋体" w:eastAsia="宋体" w:hAnsi="宋体" w:cs="宋体" w:hint="eastAsia"/>
                <w:kern w:val="0"/>
                <w:sz w:val="29"/>
                <w:szCs w:val="29"/>
              </w:rPr>
              <w:t>对家长或社区居民，对师德师风、办学行为、学生全面发展、学生平等权益、现代学校制度、学业负担等工作的满意</w:t>
            </w:r>
            <w:proofErr w:type="gramStart"/>
            <w:r w:rsidRPr="006A1F33">
              <w:rPr>
                <w:rFonts w:ascii="宋体" w:eastAsia="宋体" w:hAnsi="宋体" w:cs="宋体" w:hint="eastAsia"/>
                <w:kern w:val="0"/>
                <w:sz w:val="29"/>
                <w:szCs w:val="29"/>
              </w:rPr>
              <w:t>度开展</w:t>
            </w:r>
            <w:proofErr w:type="gramEnd"/>
            <w:r w:rsidRPr="006A1F33">
              <w:rPr>
                <w:rFonts w:ascii="宋体" w:eastAsia="宋体" w:hAnsi="宋体" w:cs="宋体" w:hint="eastAsia"/>
                <w:kern w:val="0"/>
                <w:sz w:val="29"/>
                <w:szCs w:val="29"/>
              </w:rPr>
              <w:t>电话调查或实地访谈。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r>
      <w:tr w:rsidR="006A1F33" w:rsidRPr="006A1F33" w:rsidTr="006A1F33">
        <w:trPr>
          <w:trHeight w:val="5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普</w:t>
            </w:r>
            <w:r w:rsidRPr="006A1F33">
              <w:rPr>
                <w:rFonts w:ascii="宋体" w:eastAsia="宋体" w:hAnsi="宋体" w:cs="宋体" w:hint="eastAsia"/>
                <w:kern w:val="0"/>
                <w:sz w:val="29"/>
                <w:szCs w:val="29"/>
              </w:rPr>
              <w:lastRenderedPageBreak/>
              <w:t>通高中</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lastRenderedPageBreak/>
              <w:t>外部评价：</w:t>
            </w:r>
            <w:proofErr w:type="gramStart"/>
            <w:r w:rsidRPr="006A1F33">
              <w:rPr>
                <w:rFonts w:ascii="宋体" w:eastAsia="宋体" w:hAnsi="宋体" w:cs="宋体" w:hint="eastAsia"/>
                <w:kern w:val="0"/>
                <w:sz w:val="29"/>
                <w:szCs w:val="29"/>
              </w:rPr>
              <w:t>第三方针</w:t>
            </w:r>
            <w:proofErr w:type="gramEnd"/>
            <w:r w:rsidRPr="006A1F33">
              <w:rPr>
                <w:rFonts w:ascii="宋体" w:eastAsia="宋体" w:hAnsi="宋体" w:cs="宋体" w:hint="eastAsia"/>
                <w:kern w:val="0"/>
                <w:sz w:val="29"/>
                <w:szCs w:val="29"/>
              </w:rPr>
              <w:t>对家长或社区</w:t>
            </w:r>
            <w:r w:rsidRPr="006A1F33">
              <w:rPr>
                <w:rFonts w:ascii="宋体" w:eastAsia="宋体" w:hAnsi="宋体" w:cs="宋体" w:hint="eastAsia"/>
                <w:kern w:val="0"/>
                <w:sz w:val="29"/>
                <w:szCs w:val="29"/>
              </w:rPr>
              <w:lastRenderedPageBreak/>
              <w:t>居民，对师德师风、学生综合素质评价、学生发展指导、教学资源配置、</w:t>
            </w:r>
            <w:proofErr w:type="gramStart"/>
            <w:r w:rsidRPr="006A1F33">
              <w:rPr>
                <w:rFonts w:ascii="宋体" w:eastAsia="宋体" w:hAnsi="宋体" w:cs="宋体" w:hint="eastAsia"/>
                <w:kern w:val="0"/>
                <w:sz w:val="29"/>
                <w:szCs w:val="29"/>
              </w:rPr>
              <w:t>选课走班</w:t>
            </w:r>
            <w:proofErr w:type="gramEnd"/>
            <w:r w:rsidRPr="006A1F33">
              <w:rPr>
                <w:rFonts w:ascii="宋体" w:eastAsia="宋体" w:hAnsi="宋体" w:cs="宋体" w:hint="eastAsia"/>
                <w:kern w:val="0"/>
                <w:sz w:val="29"/>
                <w:szCs w:val="29"/>
              </w:rPr>
              <w:t>、招生行为、现代学校制度建设等工作的满意</w:t>
            </w:r>
            <w:proofErr w:type="gramStart"/>
            <w:r w:rsidRPr="006A1F33">
              <w:rPr>
                <w:rFonts w:ascii="宋体" w:eastAsia="宋体" w:hAnsi="宋体" w:cs="宋体" w:hint="eastAsia"/>
                <w:kern w:val="0"/>
                <w:sz w:val="29"/>
                <w:szCs w:val="29"/>
              </w:rPr>
              <w:t>度开展</w:t>
            </w:r>
            <w:proofErr w:type="gramEnd"/>
            <w:r w:rsidRPr="006A1F33">
              <w:rPr>
                <w:rFonts w:ascii="宋体" w:eastAsia="宋体" w:hAnsi="宋体" w:cs="宋体" w:hint="eastAsia"/>
                <w:kern w:val="0"/>
                <w:sz w:val="29"/>
                <w:szCs w:val="29"/>
              </w:rPr>
              <w:t>电话调查或实地访谈。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r>
      <w:tr w:rsidR="006A1F33" w:rsidRPr="006A1F33" w:rsidTr="006A1F33">
        <w:trPr>
          <w:trHeight w:val="5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职业高中</w:t>
            </w:r>
          </w:p>
        </w:tc>
        <w:tc>
          <w:tcPr>
            <w:tcW w:w="850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A1F33" w:rsidRPr="006A1F33" w:rsidRDefault="006A1F33" w:rsidP="006A1F33">
            <w:pPr>
              <w:widowControl/>
              <w:wordWrap w:val="0"/>
              <w:spacing w:line="360" w:lineRule="atLeast"/>
              <w:ind w:firstLine="480"/>
              <w:jc w:val="left"/>
              <w:rPr>
                <w:rFonts w:ascii="宋体" w:eastAsia="宋体" w:hAnsi="宋体" w:cs="宋体"/>
                <w:kern w:val="0"/>
                <w:sz w:val="29"/>
                <w:szCs w:val="29"/>
              </w:rPr>
            </w:pPr>
            <w:r w:rsidRPr="006A1F33">
              <w:rPr>
                <w:rFonts w:ascii="宋体" w:eastAsia="宋体" w:hAnsi="宋体" w:cs="宋体" w:hint="eastAsia"/>
                <w:kern w:val="0"/>
                <w:sz w:val="29"/>
                <w:szCs w:val="29"/>
              </w:rPr>
              <w:t>外部评价：</w:t>
            </w:r>
            <w:proofErr w:type="gramStart"/>
            <w:r w:rsidRPr="006A1F33">
              <w:rPr>
                <w:rFonts w:ascii="宋体" w:eastAsia="宋体" w:hAnsi="宋体" w:cs="宋体" w:hint="eastAsia"/>
                <w:kern w:val="0"/>
                <w:sz w:val="29"/>
                <w:szCs w:val="29"/>
              </w:rPr>
              <w:t>第三方针</w:t>
            </w:r>
            <w:proofErr w:type="gramEnd"/>
            <w:r w:rsidRPr="006A1F33">
              <w:rPr>
                <w:rFonts w:ascii="宋体" w:eastAsia="宋体" w:hAnsi="宋体" w:cs="宋体" w:hint="eastAsia"/>
                <w:kern w:val="0"/>
                <w:sz w:val="29"/>
                <w:szCs w:val="29"/>
              </w:rPr>
              <w:t>对用人单位、家长或社区居民，对师德师风、办学行为、</w:t>
            </w:r>
            <w:proofErr w:type="gramStart"/>
            <w:r w:rsidRPr="006A1F33">
              <w:rPr>
                <w:rFonts w:ascii="宋体" w:eastAsia="宋体" w:hAnsi="宋体" w:cs="宋体" w:hint="eastAsia"/>
                <w:kern w:val="0"/>
                <w:sz w:val="29"/>
                <w:szCs w:val="29"/>
              </w:rPr>
              <w:t>德技双修</w:t>
            </w:r>
            <w:proofErr w:type="gramEnd"/>
            <w:r w:rsidRPr="006A1F33">
              <w:rPr>
                <w:rFonts w:ascii="宋体" w:eastAsia="宋体" w:hAnsi="宋体" w:cs="宋体" w:hint="eastAsia"/>
                <w:kern w:val="0"/>
                <w:sz w:val="29"/>
                <w:szCs w:val="29"/>
              </w:rPr>
              <w:t>、校企合作、</w:t>
            </w:r>
            <w:proofErr w:type="gramStart"/>
            <w:r w:rsidRPr="006A1F33">
              <w:rPr>
                <w:rFonts w:ascii="宋体" w:eastAsia="宋体" w:hAnsi="宋体" w:cs="宋体" w:hint="eastAsia"/>
                <w:kern w:val="0"/>
                <w:sz w:val="29"/>
                <w:szCs w:val="29"/>
              </w:rPr>
              <w:t>育训结合</w:t>
            </w:r>
            <w:proofErr w:type="gramEnd"/>
            <w:r w:rsidRPr="006A1F33">
              <w:rPr>
                <w:rFonts w:ascii="宋体" w:eastAsia="宋体" w:hAnsi="宋体" w:cs="宋体" w:hint="eastAsia"/>
                <w:kern w:val="0"/>
                <w:sz w:val="29"/>
                <w:szCs w:val="29"/>
              </w:rPr>
              <w:t>、就业质量等工作的满意</w:t>
            </w:r>
            <w:proofErr w:type="gramStart"/>
            <w:r w:rsidRPr="006A1F33">
              <w:rPr>
                <w:rFonts w:ascii="宋体" w:eastAsia="宋体" w:hAnsi="宋体" w:cs="宋体" w:hint="eastAsia"/>
                <w:kern w:val="0"/>
                <w:sz w:val="29"/>
                <w:szCs w:val="29"/>
              </w:rPr>
              <w:t>度开展</w:t>
            </w:r>
            <w:proofErr w:type="gramEnd"/>
            <w:r w:rsidRPr="006A1F33">
              <w:rPr>
                <w:rFonts w:ascii="宋体" w:eastAsia="宋体" w:hAnsi="宋体" w:cs="宋体" w:hint="eastAsia"/>
                <w:kern w:val="0"/>
                <w:sz w:val="29"/>
                <w:szCs w:val="29"/>
              </w:rPr>
              <w:t>电话调查或实地访谈。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1F33" w:rsidRPr="006A1F33" w:rsidRDefault="006A1F33" w:rsidP="006A1F33">
            <w:pPr>
              <w:widowControl/>
              <w:jc w:val="left"/>
              <w:rPr>
                <w:rFonts w:ascii="宋体" w:eastAsia="宋体" w:hAnsi="宋体" w:cs="宋体"/>
                <w:kern w:val="0"/>
                <w:sz w:val="29"/>
                <w:szCs w:val="29"/>
              </w:rPr>
            </w:pPr>
          </w:p>
        </w:tc>
      </w:tr>
    </w:tbl>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五、评价步骤</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1．学校自评（10月8日——10月31日）。各中小学和幼儿园对照内涵发展质量综合评价体系中学校治理质量评价，按照相应类别全面梳理、总结和提炼。</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2．科室评价（11月1日——11月14日）。科室对照基本线指标，结合年度重点工作确定督导任务，组织督学开展实地交叉督导。科室根据学校自评情况，结合日常工作实际情况，对督导结果</w:t>
      </w:r>
      <w:proofErr w:type="gramStart"/>
      <w:r w:rsidRPr="006A1F33">
        <w:rPr>
          <w:rFonts w:ascii="宋体" w:eastAsia="宋体" w:hAnsi="宋体" w:cs="宋体" w:hint="eastAsia"/>
          <w:kern w:val="0"/>
          <w:sz w:val="29"/>
          <w:szCs w:val="29"/>
        </w:rPr>
        <w:t>作出</w:t>
      </w:r>
      <w:proofErr w:type="gramEnd"/>
      <w:r w:rsidRPr="006A1F33">
        <w:rPr>
          <w:rFonts w:ascii="宋体" w:eastAsia="宋体" w:hAnsi="宋体" w:cs="宋体" w:hint="eastAsia"/>
          <w:kern w:val="0"/>
          <w:sz w:val="29"/>
          <w:szCs w:val="29"/>
        </w:rPr>
        <w:t>客观认定。督导评估中心对学生学业质量</w:t>
      </w:r>
      <w:proofErr w:type="gramStart"/>
      <w:r w:rsidRPr="006A1F33">
        <w:rPr>
          <w:rFonts w:ascii="宋体" w:eastAsia="宋体" w:hAnsi="宋体" w:cs="宋体" w:hint="eastAsia"/>
          <w:kern w:val="0"/>
          <w:sz w:val="29"/>
          <w:szCs w:val="29"/>
        </w:rPr>
        <w:t>作出</w:t>
      </w:r>
      <w:proofErr w:type="gramEnd"/>
      <w:r w:rsidRPr="006A1F33">
        <w:rPr>
          <w:rFonts w:ascii="宋体" w:eastAsia="宋体" w:hAnsi="宋体" w:cs="宋体" w:hint="eastAsia"/>
          <w:kern w:val="0"/>
          <w:sz w:val="29"/>
          <w:szCs w:val="29"/>
        </w:rPr>
        <w:t>评价。委托第三方机构对学校的办学满意度情况</w:t>
      </w:r>
      <w:proofErr w:type="gramStart"/>
      <w:r w:rsidRPr="006A1F33">
        <w:rPr>
          <w:rFonts w:ascii="宋体" w:eastAsia="宋体" w:hAnsi="宋体" w:cs="宋体" w:hint="eastAsia"/>
          <w:kern w:val="0"/>
          <w:sz w:val="29"/>
          <w:szCs w:val="29"/>
        </w:rPr>
        <w:t>作出</w:t>
      </w:r>
      <w:proofErr w:type="gramEnd"/>
      <w:r w:rsidRPr="006A1F33">
        <w:rPr>
          <w:rFonts w:ascii="宋体" w:eastAsia="宋体" w:hAnsi="宋体" w:cs="宋体" w:hint="eastAsia"/>
          <w:kern w:val="0"/>
          <w:sz w:val="29"/>
          <w:szCs w:val="29"/>
        </w:rPr>
        <w:t>评价。</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lastRenderedPageBreak/>
        <w:t>3．区级评价（11月15日——11月30日）。督导评估中心，填报学校学业质量评价结果，对学校《自查报告》进行评估，并综合学校自评情况和科室评价情况，撰写全区内涵发展质量综合评价报告。区政府教育督导室汇总数据、形成内涵发展质量综合评价总分，报送党政办作为校（园）级干部年度考核的重要依据。</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六、评价结果</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学校治理质量评价警戒线指标属于否决性指标，科室针对三级指标就是否违规进行评价，在区级评价中违规2项降一等，违规3项降至末等，违规4项及以上无等级并将根据情节轻重启动</w:t>
      </w:r>
      <w:proofErr w:type="gramStart"/>
      <w:r w:rsidRPr="006A1F33">
        <w:rPr>
          <w:rFonts w:ascii="宋体" w:eastAsia="宋体" w:hAnsi="宋体" w:cs="宋体" w:hint="eastAsia"/>
          <w:kern w:val="0"/>
          <w:sz w:val="29"/>
          <w:szCs w:val="29"/>
        </w:rPr>
        <w:t>督导问</w:t>
      </w:r>
      <w:proofErr w:type="gramEnd"/>
      <w:r w:rsidRPr="006A1F33">
        <w:rPr>
          <w:rFonts w:ascii="宋体" w:eastAsia="宋体" w:hAnsi="宋体" w:cs="宋体" w:hint="eastAsia"/>
          <w:kern w:val="0"/>
          <w:sz w:val="29"/>
          <w:szCs w:val="29"/>
        </w:rPr>
        <w:t>责程序。基本线指标属于达标性指标，突出方向性、基础性、描述性，引导学校坚持底线、主动作为、切实创新，在督学实地督导并提出评价建议的基础上，科室针对三级指标进行评价，对应达标、基本达标和尚未达标三种判断分别扣0分、0.5分、1.0分。发展线指标属于效益性指标，科室结合督学自评和实地评价情况赋分。</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学校治理质量评价分值50分，按照实际得分计分；学业质量评价分值40分，义务教育阶段考虑随迁人员子女占比等因素赋权折算计分；办学满意度评价分值10分，按照实际得分计分，</w:t>
      </w:r>
      <w:proofErr w:type="gramStart"/>
      <w:r w:rsidRPr="006A1F33">
        <w:rPr>
          <w:rFonts w:ascii="宋体" w:eastAsia="宋体" w:hAnsi="宋体" w:cs="宋体" w:hint="eastAsia"/>
          <w:kern w:val="0"/>
          <w:sz w:val="29"/>
          <w:szCs w:val="29"/>
        </w:rPr>
        <w:t>加总即为</w:t>
      </w:r>
      <w:proofErr w:type="gramEnd"/>
      <w:r w:rsidRPr="006A1F33">
        <w:rPr>
          <w:rFonts w:ascii="宋体" w:eastAsia="宋体" w:hAnsi="宋体" w:cs="宋体" w:hint="eastAsia"/>
          <w:kern w:val="0"/>
          <w:sz w:val="29"/>
          <w:szCs w:val="29"/>
        </w:rPr>
        <w:t>综合评价总分。党政办把内涵发展质量综合评价总分作为校（园）级干部年度考核的重要依据，在校（园）级干部年度考核中占70％的权重，并与超额绩效发放挂钩。</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lastRenderedPageBreak/>
        <w:t>七、评价要求</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1．各中小学和幼儿园要认真学习文件，严格自查自评，撰写《自查报告》。在自评中：基本线指标，针对三级指标评分，并做简要陈述；发展线指标，针对三级指标填写得分依据（具体格式见附件），获奖等按照党委、政府类对标评分，党委、政府部门类降标20％评分，教育研修机构、教育学</w:t>
      </w:r>
      <w:proofErr w:type="gramStart"/>
      <w:r w:rsidRPr="006A1F33">
        <w:rPr>
          <w:rFonts w:ascii="宋体" w:eastAsia="宋体" w:hAnsi="宋体" w:cs="宋体" w:hint="eastAsia"/>
          <w:kern w:val="0"/>
          <w:sz w:val="29"/>
          <w:szCs w:val="29"/>
        </w:rPr>
        <w:t>会类降标</w:t>
      </w:r>
      <w:proofErr w:type="gramEnd"/>
      <w:r w:rsidRPr="006A1F33">
        <w:rPr>
          <w:rFonts w:ascii="宋体" w:eastAsia="宋体" w:hAnsi="宋体" w:cs="宋体" w:hint="eastAsia"/>
          <w:kern w:val="0"/>
          <w:sz w:val="29"/>
          <w:szCs w:val="29"/>
        </w:rPr>
        <w:t>50％评分，其他学会类不予认定；警戒线指标，不进行自评。</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2．各中小学和幼儿园要把握时间节点，据实填报、认真填报，并于11月1日18：00前上传《＊＊学校自查报告》</w:t>
      </w:r>
      <w:proofErr w:type="gramStart"/>
      <w:r w:rsidRPr="006A1F33">
        <w:rPr>
          <w:rFonts w:ascii="宋体" w:eastAsia="宋体" w:hAnsi="宋体" w:cs="宋体" w:hint="eastAsia"/>
          <w:kern w:val="0"/>
          <w:sz w:val="29"/>
          <w:szCs w:val="29"/>
        </w:rPr>
        <w:t>电子件至阴恕</w:t>
      </w:r>
      <w:proofErr w:type="gramEnd"/>
      <w:r w:rsidRPr="006A1F33">
        <w:rPr>
          <w:rFonts w:ascii="宋体" w:eastAsia="宋体" w:hAnsi="宋体" w:cs="宋体" w:hint="eastAsia"/>
          <w:kern w:val="0"/>
          <w:sz w:val="29"/>
          <w:szCs w:val="29"/>
        </w:rPr>
        <w:t>老师钉钉邮箱，《＊＊学校自查报告》纸质件、发展线指标各类印证材料及其统计表的纸质</w:t>
      </w:r>
      <w:proofErr w:type="gramStart"/>
      <w:r w:rsidRPr="006A1F33">
        <w:rPr>
          <w:rFonts w:ascii="宋体" w:eastAsia="宋体" w:hAnsi="宋体" w:cs="宋体" w:hint="eastAsia"/>
          <w:kern w:val="0"/>
          <w:sz w:val="29"/>
          <w:szCs w:val="29"/>
        </w:rPr>
        <w:t>件同时</w:t>
      </w:r>
      <w:proofErr w:type="gramEnd"/>
      <w:r w:rsidRPr="006A1F33">
        <w:rPr>
          <w:rFonts w:ascii="宋体" w:eastAsia="宋体" w:hAnsi="宋体" w:cs="宋体" w:hint="eastAsia"/>
          <w:kern w:val="0"/>
          <w:sz w:val="29"/>
          <w:szCs w:val="29"/>
        </w:rPr>
        <w:t>上交至督导室阴恕老师处。</w:t>
      </w:r>
    </w:p>
    <w:p w:rsidR="006A1F33" w:rsidRPr="006A1F33" w:rsidRDefault="006A1F33" w:rsidP="006A1F33">
      <w:pPr>
        <w:widowControl/>
        <w:spacing w:before="100" w:beforeAutospacing="1" w:after="100" w:afterAutospacing="1" w:line="360" w:lineRule="atLeast"/>
        <w:ind w:firstLine="480"/>
        <w:jc w:val="left"/>
        <w:rPr>
          <w:rFonts w:ascii="宋体" w:eastAsia="宋体" w:hAnsi="宋体" w:cs="宋体" w:hint="eastAsia"/>
          <w:kern w:val="0"/>
          <w:sz w:val="29"/>
          <w:szCs w:val="29"/>
        </w:rPr>
      </w:pPr>
      <w:r w:rsidRPr="006A1F33">
        <w:rPr>
          <w:rFonts w:ascii="宋体" w:eastAsia="宋体" w:hAnsi="宋体" w:cs="宋体" w:hint="eastAsia"/>
          <w:kern w:val="0"/>
          <w:sz w:val="29"/>
          <w:szCs w:val="29"/>
        </w:rPr>
        <w:t>3．内涵发展质量综合评价坚持客观评价、公正评价、廉洁评价，严格评价标准、严格审核把关。各中小学和幼儿园不需另行制作专题档案资料，更不得弄虚作假伪造资料卷宗。</w:t>
      </w:r>
    </w:p>
    <w:p w:rsidR="00D8656F" w:rsidRPr="006A1F33" w:rsidRDefault="00D8656F" w:rsidP="009210FC"/>
    <w:sectPr w:rsidR="00D8656F" w:rsidRPr="006A1F33" w:rsidSect="009049D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73" w:rsidRDefault="00A94B73" w:rsidP="00AE2FCD">
      <w:r>
        <w:separator/>
      </w:r>
    </w:p>
  </w:endnote>
  <w:endnote w:type="continuationSeparator" w:id="0">
    <w:p w:rsidR="00A94B73" w:rsidRDefault="00A94B73" w:rsidP="00A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MRID">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FZKTK--GBK1-0">
    <w:altName w:val="华文仿宋"/>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F" w:rsidRDefault="00D8656F">
    <w:pPr>
      <w:snapToGrid w:val="0"/>
      <w:spacing w:line="580" w:lineRule="exact"/>
      <w:jc w:val="center"/>
      <w:textAlignment w:val="baseline"/>
      <w:rPr>
        <w:rFonts w:ascii="Times New Roman" w:eastAsia="方正仿宋_GBK" w:hAnsi="Times New Roman"/>
        <w:sz w:val="18"/>
        <w:szCs w:val="18"/>
      </w:rPr>
    </w:pPr>
    <w:r>
      <w:rPr>
        <w:noProof/>
        <w:sz w:val="18"/>
      </w:rPr>
      <mc:AlternateContent>
        <mc:Choice Requires="wps">
          <w:drawing>
            <wp:anchor distT="0" distB="0" distL="114300" distR="114300" simplePos="0" relativeHeight="251659264" behindDoc="0" locked="0" layoutInCell="1" allowOverlap="1" wp14:anchorId="38645A64" wp14:editId="7CEC835F">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8300"/>
                      </a:xfrm>
                      <a:prstGeom prst="rect">
                        <a:avLst/>
                      </a:prstGeom>
                      <a:noFill/>
                      <a:ln>
                        <a:noFill/>
                      </a:ln>
                      <a:effectLst/>
                    </wps:spPr>
                    <wps:txbx>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6A1F33" w:rsidRPr="006A1F33">
                            <w:rPr>
                              <w:rFonts w:ascii="Times New Roman" w:eastAsia="方正仿宋_GBK" w:hAnsi="Times New Roman"/>
                              <w:noProof/>
                              <w:sz w:val="28"/>
                              <w:szCs w:val="28"/>
                              <w:lang w:val="zh-CN"/>
                            </w:rPr>
                            <w:t>-</w:t>
                          </w:r>
                          <w:r w:rsidR="006A1F33">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9pt;width:53.25pt;height:2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" filled="f" stroked="f">
              <v:textbox style="mso-fit-shape-to-text:t" inset="0,0,0,0">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6A1F33" w:rsidRPr="006A1F33">
                      <w:rPr>
                        <w:rFonts w:ascii="Times New Roman" w:eastAsia="方正仿宋_GBK" w:hAnsi="Times New Roman"/>
                        <w:noProof/>
                        <w:sz w:val="28"/>
                        <w:szCs w:val="28"/>
                        <w:lang w:val="zh-CN"/>
                      </w:rPr>
                      <w:t>-</w:t>
                    </w:r>
                    <w:r w:rsidR="006A1F33">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73" w:rsidRDefault="00A94B73" w:rsidP="00AE2FCD">
      <w:r>
        <w:separator/>
      </w:r>
    </w:p>
  </w:footnote>
  <w:footnote w:type="continuationSeparator" w:id="0">
    <w:p w:rsidR="00A94B73" w:rsidRDefault="00A94B73" w:rsidP="00AE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989E"/>
    <w:multiLevelType w:val="singleLevel"/>
    <w:tmpl w:val="C103989E"/>
    <w:lvl w:ilvl="0">
      <w:start w:val="1"/>
      <w:numFmt w:val="chineseCounting"/>
      <w:suff w:val="space"/>
      <w:lvlText w:val="第%1节"/>
      <w:lvlJc w:val="left"/>
      <w:rPr>
        <w:rFonts w:hint="eastAsia"/>
      </w:rPr>
    </w:lvl>
  </w:abstractNum>
  <w:abstractNum w:abstractNumId="1">
    <w:nsid w:val="DCE3FCE5"/>
    <w:multiLevelType w:val="singleLevel"/>
    <w:tmpl w:val="DCE3FCE5"/>
    <w:lvl w:ilvl="0">
      <w:start w:val="2"/>
      <w:numFmt w:val="decimal"/>
      <w:suff w:val="nothing"/>
      <w:lvlText w:val="%1．"/>
      <w:lvlJc w:val="left"/>
      <w:pPr>
        <w:tabs>
          <w:tab w:val="left" w:pos="0"/>
        </w:tabs>
        <w:ind w:left="936" w:firstLine="0"/>
      </w:pPr>
      <w:rPr>
        <w:rFonts w:hint="default"/>
      </w:rPr>
    </w:lvl>
  </w:abstractNum>
  <w:abstractNum w:abstractNumId="2">
    <w:nsid w:val="F52B109B"/>
    <w:multiLevelType w:val="singleLevel"/>
    <w:tmpl w:val="F52B109B"/>
    <w:lvl w:ilvl="0">
      <w:start w:val="5"/>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704" w:hanging="420"/>
      </w:pPr>
      <w:rPr>
        <w:rFonts w:hint="eastAsia"/>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nsid w:val="00000005"/>
    <w:multiLevelType w:val="multilevel"/>
    <w:tmpl w:val="000000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278A83"/>
    <w:multiLevelType w:val="singleLevel"/>
    <w:tmpl w:val="20278A83"/>
    <w:lvl w:ilvl="0">
      <w:start w:val="2"/>
      <w:numFmt w:val="chineseCounting"/>
      <w:suff w:val="nothing"/>
      <w:lvlText w:val="（%1）"/>
      <w:lvlJc w:val="left"/>
      <w:rPr>
        <w:rFonts w:hint="eastAsia"/>
      </w:rPr>
    </w:lvl>
  </w:abstractNum>
  <w:abstractNum w:abstractNumId="6">
    <w:nsid w:val="25AA27CE"/>
    <w:multiLevelType w:val="multilevel"/>
    <w:tmpl w:val="25AA2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5258"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95CF4"/>
    <w:rsid w:val="000B5A3E"/>
    <w:rsid w:val="000F7CC5"/>
    <w:rsid w:val="00187B97"/>
    <w:rsid w:val="0026506A"/>
    <w:rsid w:val="002D2450"/>
    <w:rsid w:val="002E6EC1"/>
    <w:rsid w:val="0030647A"/>
    <w:rsid w:val="0033461D"/>
    <w:rsid w:val="003F1341"/>
    <w:rsid w:val="0043394F"/>
    <w:rsid w:val="004A78EE"/>
    <w:rsid w:val="004B744B"/>
    <w:rsid w:val="004E7DDA"/>
    <w:rsid w:val="00512FEA"/>
    <w:rsid w:val="0052508C"/>
    <w:rsid w:val="00526211"/>
    <w:rsid w:val="00573A43"/>
    <w:rsid w:val="006A1F33"/>
    <w:rsid w:val="006F6907"/>
    <w:rsid w:val="0078541A"/>
    <w:rsid w:val="007869A0"/>
    <w:rsid w:val="00802902"/>
    <w:rsid w:val="00802F6A"/>
    <w:rsid w:val="00823C18"/>
    <w:rsid w:val="008322EC"/>
    <w:rsid w:val="009049D4"/>
    <w:rsid w:val="009210FC"/>
    <w:rsid w:val="00960423"/>
    <w:rsid w:val="00A6568D"/>
    <w:rsid w:val="00A94B73"/>
    <w:rsid w:val="00AA1AB4"/>
    <w:rsid w:val="00AE2FCD"/>
    <w:rsid w:val="00BA3862"/>
    <w:rsid w:val="00BB12EE"/>
    <w:rsid w:val="00BE2BBA"/>
    <w:rsid w:val="00C36856"/>
    <w:rsid w:val="00C66131"/>
    <w:rsid w:val="00D8656F"/>
    <w:rsid w:val="00DB2702"/>
    <w:rsid w:val="00DC4FBE"/>
    <w:rsid w:val="00E4202D"/>
    <w:rsid w:val="00EC046C"/>
    <w:rsid w:val="00F6017C"/>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7412">
      <w:bodyDiv w:val="1"/>
      <w:marLeft w:val="0"/>
      <w:marRight w:val="0"/>
      <w:marTop w:val="0"/>
      <w:marBottom w:val="0"/>
      <w:divBdr>
        <w:top w:val="none" w:sz="0" w:space="0" w:color="auto"/>
        <w:left w:val="none" w:sz="0" w:space="0" w:color="auto"/>
        <w:bottom w:val="none" w:sz="0" w:space="0" w:color="auto"/>
        <w:right w:val="none" w:sz="0" w:space="0" w:color="auto"/>
      </w:divBdr>
    </w:div>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297953462">
      <w:bodyDiv w:val="1"/>
      <w:marLeft w:val="0"/>
      <w:marRight w:val="0"/>
      <w:marTop w:val="0"/>
      <w:marBottom w:val="0"/>
      <w:divBdr>
        <w:top w:val="none" w:sz="0" w:space="0" w:color="auto"/>
        <w:left w:val="none" w:sz="0" w:space="0" w:color="auto"/>
        <w:bottom w:val="none" w:sz="0" w:space="0" w:color="auto"/>
        <w:right w:val="none" w:sz="0" w:space="0" w:color="auto"/>
      </w:divBdr>
    </w:div>
    <w:div w:id="608005315">
      <w:bodyDiv w:val="1"/>
      <w:marLeft w:val="0"/>
      <w:marRight w:val="0"/>
      <w:marTop w:val="0"/>
      <w:marBottom w:val="0"/>
      <w:divBdr>
        <w:top w:val="none" w:sz="0" w:space="0" w:color="auto"/>
        <w:left w:val="none" w:sz="0" w:space="0" w:color="auto"/>
        <w:bottom w:val="none" w:sz="0" w:space="0" w:color="auto"/>
        <w:right w:val="none" w:sz="0" w:space="0" w:color="auto"/>
      </w:divBdr>
    </w:div>
    <w:div w:id="735319731">
      <w:bodyDiv w:val="1"/>
      <w:marLeft w:val="0"/>
      <w:marRight w:val="0"/>
      <w:marTop w:val="0"/>
      <w:marBottom w:val="0"/>
      <w:divBdr>
        <w:top w:val="none" w:sz="0" w:space="0" w:color="auto"/>
        <w:left w:val="none" w:sz="0" w:space="0" w:color="auto"/>
        <w:bottom w:val="none" w:sz="0" w:space="0" w:color="auto"/>
        <w:right w:val="none" w:sz="0" w:space="0" w:color="auto"/>
      </w:divBdr>
    </w:div>
    <w:div w:id="792751541">
      <w:bodyDiv w:val="1"/>
      <w:marLeft w:val="0"/>
      <w:marRight w:val="0"/>
      <w:marTop w:val="0"/>
      <w:marBottom w:val="0"/>
      <w:divBdr>
        <w:top w:val="none" w:sz="0" w:space="0" w:color="auto"/>
        <w:left w:val="none" w:sz="0" w:space="0" w:color="auto"/>
        <w:bottom w:val="none" w:sz="0" w:space="0" w:color="auto"/>
        <w:right w:val="none" w:sz="0" w:space="0" w:color="auto"/>
      </w:divBdr>
    </w:div>
    <w:div w:id="803232847">
      <w:bodyDiv w:val="1"/>
      <w:marLeft w:val="0"/>
      <w:marRight w:val="0"/>
      <w:marTop w:val="0"/>
      <w:marBottom w:val="0"/>
      <w:divBdr>
        <w:top w:val="none" w:sz="0" w:space="0" w:color="auto"/>
        <w:left w:val="none" w:sz="0" w:space="0" w:color="auto"/>
        <w:bottom w:val="none" w:sz="0" w:space="0" w:color="auto"/>
        <w:right w:val="none" w:sz="0" w:space="0" w:color="auto"/>
      </w:divBdr>
    </w:div>
    <w:div w:id="849295395">
      <w:bodyDiv w:val="1"/>
      <w:marLeft w:val="0"/>
      <w:marRight w:val="0"/>
      <w:marTop w:val="0"/>
      <w:marBottom w:val="0"/>
      <w:divBdr>
        <w:top w:val="none" w:sz="0" w:space="0" w:color="auto"/>
        <w:left w:val="none" w:sz="0" w:space="0" w:color="auto"/>
        <w:bottom w:val="none" w:sz="0" w:space="0" w:color="auto"/>
        <w:right w:val="none" w:sz="0" w:space="0" w:color="auto"/>
      </w:divBdr>
    </w:div>
    <w:div w:id="963998887">
      <w:bodyDiv w:val="1"/>
      <w:marLeft w:val="0"/>
      <w:marRight w:val="0"/>
      <w:marTop w:val="0"/>
      <w:marBottom w:val="0"/>
      <w:divBdr>
        <w:top w:val="none" w:sz="0" w:space="0" w:color="auto"/>
        <w:left w:val="none" w:sz="0" w:space="0" w:color="auto"/>
        <w:bottom w:val="none" w:sz="0" w:space="0" w:color="auto"/>
        <w:right w:val="none" w:sz="0" w:space="0" w:color="auto"/>
      </w:divBdr>
    </w:div>
    <w:div w:id="1111438595">
      <w:bodyDiv w:val="1"/>
      <w:marLeft w:val="0"/>
      <w:marRight w:val="0"/>
      <w:marTop w:val="0"/>
      <w:marBottom w:val="0"/>
      <w:divBdr>
        <w:top w:val="none" w:sz="0" w:space="0" w:color="auto"/>
        <w:left w:val="none" w:sz="0" w:space="0" w:color="auto"/>
        <w:bottom w:val="none" w:sz="0" w:space="0" w:color="auto"/>
        <w:right w:val="none" w:sz="0" w:space="0" w:color="auto"/>
      </w:divBdr>
    </w:div>
    <w:div w:id="1486968606">
      <w:bodyDiv w:val="1"/>
      <w:marLeft w:val="0"/>
      <w:marRight w:val="0"/>
      <w:marTop w:val="0"/>
      <w:marBottom w:val="0"/>
      <w:divBdr>
        <w:top w:val="none" w:sz="0" w:space="0" w:color="auto"/>
        <w:left w:val="none" w:sz="0" w:space="0" w:color="auto"/>
        <w:bottom w:val="none" w:sz="0" w:space="0" w:color="auto"/>
        <w:right w:val="none" w:sz="0" w:space="0" w:color="auto"/>
      </w:divBdr>
    </w:div>
    <w:div w:id="1639068895">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906062059">
      <w:bodyDiv w:val="1"/>
      <w:marLeft w:val="0"/>
      <w:marRight w:val="0"/>
      <w:marTop w:val="0"/>
      <w:marBottom w:val="0"/>
      <w:divBdr>
        <w:top w:val="none" w:sz="0" w:space="0" w:color="auto"/>
        <w:left w:val="none" w:sz="0" w:space="0" w:color="auto"/>
        <w:bottom w:val="none" w:sz="0" w:space="0" w:color="auto"/>
        <w:right w:val="none" w:sz="0" w:space="0" w:color="auto"/>
      </w:divBdr>
    </w:div>
    <w:div w:id="210175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dcterms:created xsi:type="dcterms:W3CDTF">2021-12-31T08:08:00Z</dcterms:created>
  <dcterms:modified xsi:type="dcterms:W3CDTF">2021-12-31T08:31:00Z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