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Times New Roman"/>
          <w:bCs/>
          <w:color w:val="000000" w:themeColor="text1"/>
          <w:sz w:val="44"/>
          <w:szCs w:val="44"/>
          <w:shd w:val="clear" w:color="auto" w:fill="FFFFFF"/>
          <w14:textFill>
            <w14:solidFill>
              <w14:schemeClr w14:val="tx1"/>
            </w14:solidFill>
          </w14:textFill>
        </w:rPr>
      </w:pPr>
      <w:r>
        <w:rPr>
          <w:rFonts w:ascii="Times New Roman" w:hAnsi="Times New Roman" w:eastAsia="方正小标宋_GBK" w:cs="Times New Roman"/>
          <w:bCs/>
          <w:color w:val="000000" w:themeColor="text1"/>
          <w:sz w:val="44"/>
          <w:szCs w:val="44"/>
          <w:shd w:val="clear" w:color="auto" w:fill="FFFFFF"/>
          <w14:textFill>
            <w14:solidFill>
              <w14:schemeClr w14:val="tx1"/>
            </w14:solidFill>
          </w14:textFill>
        </w:rPr>
        <w:t>重庆市沙坪坝区科学技术局</w:t>
      </w:r>
    </w:p>
    <w:p>
      <w:pPr>
        <w:spacing w:line="594" w:lineRule="exact"/>
        <w:jc w:val="center"/>
        <w:rPr>
          <w:rFonts w:ascii="Times New Roman" w:hAnsi="Times New Roman" w:eastAsia="方正小标宋_GBK" w:cs="Times New Roman"/>
          <w:bCs/>
          <w:color w:val="000000" w:themeColor="text1"/>
          <w:sz w:val="44"/>
          <w:szCs w:val="44"/>
          <w:shd w:val="clear" w:color="auto" w:fill="FFFFFF"/>
          <w14:textFill>
            <w14:solidFill>
              <w14:schemeClr w14:val="tx1"/>
            </w14:solidFill>
          </w14:textFill>
        </w:rPr>
      </w:pPr>
      <w:r>
        <w:rPr>
          <w:rFonts w:ascii="Times New Roman" w:hAnsi="Times New Roman" w:eastAsia="方正小标宋_GBK" w:cs="Times New Roman"/>
          <w:bCs/>
          <w:color w:val="000000" w:themeColor="text1"/>
          <w:sz w:val="44"/>
          <w:szCs w:val="44"/>
          <w:shd w:val="clear" w:color="auto" w:fill="FFFFFF"/>
          <w14:textFill>
            <w14:solidFill>
              <w14:schemeClr w14:val="tx1"/>
            </w14:solidFill>
          </w14:textFill>
        </w:rPr>
        <w:t>关于2021年度法治政府建设情况的报告</w:t>
      </w:r>
    </w:p>
    <w:p>
      <w:pPr>
        <w:spacing w:line="594" w:lineRule="exact"/>
        <w:jc w:val="center"/>
        <w:rPr>
          <w:rFonts w:ascii="Times New Roman" w:hAnsi="Times New Roman" w:eastAsia="方正小标宋_GBK" w:cs="Times New Roman"/>
          <w:bCs/>
          <w:color w:val="000000" w:themeColor="text1"/>
          <w:sz w:val="44"/>
          <w:szCs w:val="44"/>
          <w:shd w:val="clear" w:color="auto" w:fill="FFFFFF"/>
          <w14:textFill>
            <w14:solidFill>
              <w14:schemeClr w14:val="tx1"/>
            </w14:solidFill>
          </w14:textFill>
        </w:rPr>
      </w:pP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2021年，区科技局深入贯彻习近平总书记关于法治政府建设的重要讲话和指示、批示精神，全面落实党中央、国务院、重庆市、沙坪坝区关于推进依法行政、建设法治政府的要求，从科技工作实际出发，强化全面依法履职，切实开展普法活动，全面加强法治政府建设。</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按照有关规定，现将区科技局2021年度法治政府建设推进情况报告如下。</w:t>
      </w:r>
      <w:bookmarkStart w:id="0" w:name="_GoBack"/>
      <w:bookmarkEnd w:id="0"/>
    </w:p>
    <w:p>
      <w:pPr>
        <w:spacing w:line="594" w:lineRule="exact"/>
        <w:ind w:firstLine="640" w:firstLineChars="200"/>
        <w:rPr>
          <w:rFonts w:ascii="Times New Roman" w:hAnsi="Times New Roman" w:eastAsia="方正黑体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bCs/>
          <w:color w:val="000000" w:themeColor="text1"/>
          <w:sz w:val="32"/>
          <w:szCs w:val="32"/>
          <w:shd w:val="clear" w:color="auto" w:fill="FFFFFF"/>
          <w14:textFill>
            <w14:solidFill>
              <w14:schemeClr w14:val="tx1"/>
            </w14:solidFill>
          </w14:textFill>
        </w:rPr>
        <w:t>一、2021年推进法治政府建设主要举措和成效</w:t>
      </w:r>
    </w:p>
    <w:p>
      <w:pPr>
        <w:spacing w:line="594" w:lineRule="exact"/>
        <w:ind w:firstLine="640" w:firstLineChars="200"/>
        <w:rPr>
          <w:rFonts w:ascii="Times New Roman" w:hAnsi="Times New Roman" w:eastAsia="方正楷体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楷体_GBK" w:cs="Times New Roman"/>
          <w:bCs/>
          <w:color w:val="000000" w:themeColor="text1"/>
          <w:sz w:val="32"/>
          <w:szCs w:val="32"/>
          <w:shd w:val="clear" w:color="auto" w:fill="FFFFFF"/>
          <w14:textFill>
            <w14:solidFill>
              <w14:schemeClr w14:val="tx1"/>
            </w14:solidFill>
          </w14:textFill>
        </w:rPr>
        <w:t>（一）深入学习宣传贯彻习近平法治思想</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1.</w:t>
      </w: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 xml:space="preserve"> </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扎实开展学习宣传</w:t>
      </w: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把学习宣传贯彻习近平法治思想与党史学习教育紧密结合，加强对习近平法治思想的宣传、宣讲。通过理论学习中心组、党员大会、机关干部大会等专题学习，组织全体机关干部认真学习习近平新时代中国特色社会主义思想、习近平总书记依法治国新理念新思想新战略，重点学习《习近平谈治国理政》中为新时代坚持和发展中国特色社会主义提供宪法保障等章节，专题学习民法典、统计法、审计法等，增强依法行政意识。面向服务对象积极开展普法工作。结合科技活动周、科普讲解大赛、“三下乡”等活动，通过悬挂横幅、展示宣传展板、现场（咨询）讲解、发放宣传资料等形式，向群众宣传科技成果、科学普及相关法律知识。</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2.</w:t>
      </w: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 xml:space="preserve"> </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积极推动贯彻落实</w:t>
      </w: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严格贯彻落实中央依法治国委2021年工作要点和中央依法治国委关于疫情防控有关文件精神，党政主要负责人履行推进法治建设第一责任人职责，落实“述法”要求，在年度述职述廉中专门“述法”。在推进法治建设，运用法治思维和法治方式深化改革、推动发展、化解矛盾、维护稳定、应对风险。</w:t>
      </w:r>
    </w:p>
    <w:p>
      <w:pPr>
        <w:spacing w:line="594" w:lineRule="exact"/>
        <w:ind w:firstLine="640" w:firstLineChars="200"/>
        <w:rPr>
          <w:rFonts w:ascii="Times New Roman" w:hAnsi="Times New Roman" w:eastAsia="方正楷体_GBK"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方正楷体_GBK" w:cs="Times New Roman"/>
          <w:bCs/>
          <w:color w:val="000000" w:themeColor="text1"/>
          <w:sz w:val="32"/>
          <w:szCs w:val="32"/>
          <w:shd w:val="clear" w:color="auto" w:fill="FFFFFF"/>
          <w14:textFill>
            <w14:solidFill>
              <w14:schemeClr w14:val="tx1"/>
            </w14:solidFill>
          </w14:textFill>
        </w:rPr>
        <w:t>（二）依法全面履行政府职能</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1.</w:t>
      </w: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 xml:space="preserve"> </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持续推进科技体制改革。按照党中央、国务院和市委、市政府机构改革部署以及区委、区政府的工作安排，依法关闭区生产力促进中心及其子公司新伯乐公司，全力推进注销工作；推进重庆大学国家大学科技园体制机制改革，撤销区方重庆大学科技园办，妥善解决机构撤销中的各类遗留问题，减少对市场经济的干预，切实转变政府职能。</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2. 全面依法履行部门职能。一是坚持高标准，着力推进科学城建设，全面加强与高新区协同协调，全面系统梳理涉及沙坪坝片区的重点任务，出台沙坪坝片区建设的指导性纲要文件；二是坚持高质量，着力培育创新主体，增强研发实力，归集、核定企业、高校、院所三大主体，新培育高新技术企业47家，建成10家研发机构，依托重庆吉芯科技有限公司等5家企业组建企业创新联合体；三是坚持促融合，着力加强校地联动，按照“图新图变图强”新要求，调查分析全区科创资源，编制4个环大学创新生态圈建设方案及环大学创新生态圈高质量发展十条措施。启动陆军医大器官智能生物工程中心、拾光格数字创新港、四平科创孵化园建设；四是坚持强协同，着力深化科技合作，招商落地西部区块链产业技术研究院等5家研发机构，西太深海量子、奥普提科技等63个高新技术项目。推动“一区两群”协调发展深化奉沙科技合作，举办中国高校（成渝）校友经济高峰论坛，承办“沙磁杯”西部科学城创新创业大赛；五是坚持高品质，着力优化创新生态，修订扶持科技企业发展“十条举措”，完善科技创新政策体系，转化科技成果300余项，完成技术交易27亿元。向90家企业发放知识价值信用贷款1.3亿元。遴选10名科技特派员服务乡村振兴，新增3家市级科普基地，6家区级科普基地。</w:t>
      </w:r>
    </w:p>
    <w:p>
      <w:pPr>
        <w:spacing w:line="594" w:lineRule="exact"/>
        <w:ind w:firstLine="640" w:firstLineChars="200"/>
        <w:rPr>
          <w:rFonts w:ascii="方正楷体_GBK" w:hAnsi="方正楷体_GBK" w:eastAsia="方正楷体_GBK" w:cs="方正楷体_GBK"/>
          <w:bCs/>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Cs/>
          <w:color w:val="000000" w:themeColor="text1"/>
          <w:sz w:val="32"/>
          <w:szCs w:val="32"/>
          <w:shd w:val="clear" w:color="auto" w:fill="FFFFFF"/>
          <w14:textFill>
            <w14:solidFill>
              <w14:schemeClr w14:val="tx1"/>
            </w14:solidFill>
          </w14:textFill>
        </w:rPr>
        <w:t>（三）完善依法行政制度体系</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坚持党对行政规范性文件制定工作的领导，制度建设突出针对性、适用性、可操作性；加强合法性审查，行政规范性文件不增加法律法规外的行政权力或者减少职责，没有违规设定行政许可、行政处罚、行政强制，未发生违法减损公民、法人和其他组织合法权益或增加义务的情况。及时对区科技局出台的行政规范性文件进行清理，按程序废止了《重庆市沙坪坝区新型研发机构培育引进实施办法》等3个规范性文件；健全完善行政权力制约监督的制度机制，实行政务公开清单管理，自觉接受各方面监督。制定政务公开实施方案，加强局内政务信息的统筹力度，已形成政务公开工作机制，所有信息资源集中到区政府门户网，便于服务对象查阅。</w:t>
      </w:r>
    </w:p>
    <w:p>
      <w:pPr>
        <w:spacing w:line="594" w:lineRule="exact"/>
        <w:ind w:firstLine="640" w:firstLineChars="200"/>
        <w:rPr>
          <w:rFonts w:ascii="方正楷体_GBK" w:hAnsi="方正楷体_GBK" w:eastAsia="方正楷体_GBK" w:cs="方正楷体_GBK"/>
          <w:bCs/>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Cs/>
          <w:color w:val="000000" w:themeColor="text1"/>
          <w:sz w:val="32"/>
          <w:szCs w:val="32"/>
          <w:shd w:val="clear" w:color="auto" w:fill="FFFFFF"/>
          <w14:textFill>
            <w14:solidFill>
              <w14:schemeClr w14:val="tx1"/>
            </w14:solidFill>
          </w14:textFill>
        </w:rPr>
        <w:t>（四）推进行政决策科学化、民主化、法治化</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重大行政决策集体讨论，行政机关主要负责人在集体讨论基础上作出决定。主动接受大人、政协等各类监督，全面落实法律顾问制度，对涉法问题一律听取律师意见后再行处置。凡重大行政事项和规范性文件，按规定落实征求律师法律意见、司法局合法性审查作为规范性文件制定的必经程序。</w:t>
      </w:r>
    </w:p>
    <w:p>
      <w:pPr>
        <w:spacing w:line="594" w:lineRule="exact"/>
        <w:ind w:firstLine="640" w:firstLineChars="200"/>
        <w:rPr>
          <w:rFonts w:ascii="Times New Roman" w:hAnsi="Times New Roman" w:eastAsia="方正黑体_GBK"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方正黑体_GBK" w:cs="Times New Roman"/>
          <w:bCs/>
          <w:color w:val="000000" w:themeColor="text1"/>
          <w:sz w:val="32"/>
          <w:szCs w:val="32"/>
          <w:shd w:val="clear" w:color="auto" w:fill="FFFFFF"/>
          <w14:textFill>
            <w14:solidFill>
              <w14:schemeClr w14:val="tx1"/>
            </w14:solidFill>
          </w14:textFill>
        </w:rPr>
        <w:t>二、履行推进法治建设第一责任人职责情况</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局党政主要负责人坚决履行推进法治政府建设第一责任人职责，坚持把法治政府建设作为一项重要专项工作推进落实。召开会议学习贯彻、研究部署法治相关工作，对依法行政类工作事项在研究深、研究透的基础上实施决策。坚决贯彻法治素养和法治能力的用人导向，积极主动支持相关部门依法依章程履行职能、开展工作，督促领导班子其他成员依法办事，没有违规干预司法活动、插手具体案件处理的问题发生。</w:t>
      </w:r>
    </w:p>
    <w:p>
      <w:pPr>
        <w:spacing w:line="594" w:lineRule="exact"/>
        <w:ind w:firstLine="640" w:firstLineChars="200"/>
        <w:rPr>
          <w:rFonts w:ascii="Times New Roman" w:hAnsi="Times New Roman" w:eastAsia="方正黑体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bCs/>
          <w:color w:val="000000" w:themeColor="text1"/>
          <w:sz w:val="32"/>
          <w:szCs w:val="32"/>
          <w:shd w:val="clear" w:color="auto" w:fill="FFFFFF"/>
          <w14:textFill>
            <w14:solidFill>
              <w14:schemeClr w14:val="tx1"/>
            </w14:solidFill>
          </w14:textFill>
        </w:rPr>
        <w:t>三、存在问题</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一是</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对积极推进法治政府建设的认识还有待进一步提高；</w:t>
      </w: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二是</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对法治专业知识的学习还有待进一加强；</w:t>
      </w: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三是</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法治政府建设的成效还不够明显。</w:t>
      </w:r>
    </w:p>
    <w:p>
      <w:pPr>
        <w:spacing w:line="594" w:lineRule="exact"/>
        <w:ind w:firstLine="640" w:firstLineChars="200"/>
        <w:rPr>
          <w:rFonts w:ascii="Times New Roman" w:hAnsi="Times New Roman" w:eastAsia="方正黑体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bCs/>
          <w:color w:val="000000" w:themeColor="text1"/>
          <w:sz w:val="32"/>
          <w:szCs w:val="32"/>
          <w:shd w:val="clear" w:color="auto" w:fill="FFFFFF"/>
          <w14:textFill>
            <w14:solidFill>
              <w14:schemeClr w14:val="tx1"/>
            </w14:solidFill>
          </w14:textFill>
        </w:rPr>
        <w:t>四、2022年工作计划</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1.加强学习交流。进一步将法治政府建设相关内容统筹纳入区科技局党组中心组和机关干部集体学习中，对习近平总书记关于法治政府建设的重要指示批示精神重点学习。</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2.加强制度建设。进一步建立完善法律顾问咨询制度，全局凡有可能涉法的事项、规范性文件出台以及重大决策事项在提交党组、办公会审议前，必须拿出法律意见书。</w:t>
      </w:r>
    </w:p>
    <w:p>
      <w:pPr>
        <w:spacing w:line="594" w:lineRule="exact"/>
        <w:ind w:firstLine="640" w:firstLineChars="20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3.强化政务公开。按要求制定年度政务公开方案，对科技局政务工作内容进行全面梳理：涉及服务对象、关系全区科技创新事业的必须公开；对因涉及国家秘密暂时不能公开的，做好解释说明。</w:t>
      </w:r>
    </w:p>
    <w:p>
      <w:pPr>
        <w:pStyle w:val="2"/>
        <w:ind w:firstLine="320"/>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Cs/>
          <w:color w:val="000000" w:themeColor="text1"/>
          <w:sz w:val="32"/>
          <w:szCs w:val="32"/>
          <w:shd w:val="clear" w:color="auto" w:fill="FFFFFF"/>
          <w14:textFill>
            <w14:solidFill>
              <w14:schemeClr w14:val="tx1"/>
            </w14:solidFill>
          </w14:textFil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07"/>
    <w:rsid w:val="00593620"/>
    <w:rsid w:val="00F97B07"/>
    <w:rsid w:val="27B1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7"/>
    <w:unhideWhenUsed/>
    <w:qFormat/>
    <w:uiPriority w:val="99"/>
    <w:pPr>
      <w:ind w:firstLine="420" w:firstLineChars="100"/>
    </w:pPr>
  </w:style>
  <w:style w:type="paragraph" w:styleId="3">
    <w:name w:val="Body Text"/>
    <w:basedOn w:val="1"/>
    <w:link w:val="6"/>
    <w:semiHidden/>
    <w:unhideWhenUsed/>
    <w:uiPriority w:val="99"/>
    <w:pPr>
      <w:spacing w:after="120"/>
    </w:pPr>
  </w:style>
  <w:style w:type="character" w:customStyle="1" w:styleId="6">
    <w:name w:val="正文文本 Char"/>
    <w:basedOn w:val="4"/>
    <w:link w:val="3"/>
    <w:semiHidden/>
    <w:uiPriority w:val="99"/>
    <w:rPr>
      <w:szCs w:val="24"/>
    </w:rPr>
  </w:style>
  <w:style w:type="character" w:customStyle="1" w:styleId="7">
    <w:name w:val="正文首行缩进 Char"/>
    <w:basedOn w:val="6"/>
    <w:link w:val="2"/>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333</Words>
  <Characters>1904</Characters>
  <Lines>15</Lines>
  <Paragraphs>4</Paragraphs>
  <TotalTime>5</TotalTime>
  <ScaleCrop>false</ScaleCrop>
  <LinksUpToDate>false</LinksUpToDate>
  <CharactersWithSpaces>2233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2022-03-02T03:09:00Z</dcterms:created>
  <dc:creator>xb21cn</dc:creator>
  <cp:lastModifiedBy>李子</cp:lastModifiedBy>
  <dcterms:modified xsi:type="dcterms:W3CDTF">2022-04-14T07:00:13Z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