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pPr>
      <w:r>
        <w:rPr>
          <w:rFonts w:hint="eastAsia"/>
        </w:rPr>
        <w:t>重庆市沙坪坝区科学技术局</w:t>
      </w:r>
    </w:p>
    <w:p>
      <w:pPr>
        <w:pStyle w:val="2"/>
        <w:ind w:firstLine="0" w:firstLineChars="0"/>
        <w:jc w:val="center"/>
      </w:pPr>
      <w:r>
        <w:rPr>
          <w:rFonts w:hint="eastAsia"/>
        </w:rPr>
        <w:t>关于2022年法治政府建设情况的报告</w:t>
      </w:r>
    </w:p>
    <w:p>
      <w:pPr>
        <w:ind w:firstLine="640"/>
        <w:rPr>
          <w:rFonts w:hint="eastAsia" w:cs="Times New Roman"/>
          <w:color w:val="000000"/>
        </w:rPr>
      </w:pPr>
    </w:p>
    <w:p>
      <w:pPr>
        <w:ind w:firstLine="640"/>
        <w:rPr>
          <w:rFonts w:cs="Times New Roman"/>
          <w:color w:val="000000"/>
        </w:rPr>
      </w:pPr>
      <w:r>
        <w:rPr>
          <w:rFonts w:hint="eastAsia" w:cs="Times New Roman"/>
          <w:color w:val="000000"/>
        </w:rPr>
        <w:t>2022年，区科技局坚持以习近平新时代中国特色社会主义思想为指导，深入学习贯彻党的二十大精神、习近平法治思想和习近平总书记关于科技创新工作的重要指示精神，认真对照《法治政府建设实施纲要（2021—2025年）》任务要求，扎实推进法治政府建设。现将区科技局2022年法治政府建设工作情况报告如下。</w:t>
      </w:r>
    </w:p>
    <w:p>
      <w:pPr>
        <w:pStyle w:val="3"/>
        <w:ind w:firstLine="640"/>
      </w:pPr>
      <w:r>
        <w:rPr>
          <w:rFonts w:hint="eastAsia"/>
        </w:rPr>
        <w:t>一、2022年推进法治政府建设的主要举措和成效</w:t>
      </w:r>
    </w:p>
    <w:p>
      <w:pPr>
        <w:ind w:firstLine="640"/>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（一）深入学习习近平法治思想</w:t>
      </w:r>
    </w:p>
    <w:p>
      <w:pPr>
        <w:ind w:firstLine="640"/>
        <w:rPr>
          <w:rFonts w:cs="Times New Roman"/>
          <w:color w:val="000000"/>
        </w:rPr>
      </w:pPr>
      <w:r>
        <w:rPr>
          <w:rFonts w:hint="eastAsia" w:cs="Times New Roman"/>
          <w:color w:val="000000"/>
        </w:rPr>
        <w:t>将加强法治理论学习摆在做好法治政府建设工作的突出位置，严格落实领导干部带头学法制度，将学习习近平法治思想作为局党组理论学习中心组学习和全局干部教育培训的重要内容，通过局党组理论中心组学习、主题党日活动、组织参加专题培训等形式，全面提升党员干部“学法、知法、懂法、用法”水平。结合科技活动周、科普讲解大赛、企业走访等活动，通过现场（咨询）讲解、发放宣传资料等形式，面向服务对象积极开展普法工作。</w:t>
      </w:r>
    </w:p>
    <w:p>
      <w:pPr>
        <w:ind w:firstLine="640"/>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（二）依法全面履行政府职能</w:t>
      </w:r>
    </w:p>
    <w:p>
      <w:pPr>
        <w:ind w:firstLine="653"/>
        <w:rPr>
          <w:rFonts w:cs="Times New Roman"/>
          <w:color w:val="000000"/>
        </w:rPr>
      </w:pPr>
      <w:r>
        <w:rPr>
          <w:rFonts w:hint="eastAsia" w:cs="Times New Roman"/>
          <w:b/>
          <w:bCs/>
          <w:color w:val="000000"/>
        </w:rPr>
        <w:t>一是深入推进“放管服”改革</w:t>
      </w:r>
      <w:r>
        <w:rPr>
          <w:rFonts w:hint="eastAsia" w:cs="Times New Roman"/>
          <w:color w:val="000000"/>
        </w:rPr>
        <w:t>。深入开展“互联网+政务服务”，配合区政务服务办优化我局承担的科普基地创建、技术合同登记等2项政务服务事项网上办理工作，提升服务质效。</w:t>
      </w:r>
    </w:p>
    <w:p>
      <w:pPr>
        <w:ind w:firstLine="653"/>
        <w:rPr>
          <w:rFonts w:cs="Times New Roman"/>
        </w:rPr>
      </w:pPr>
      <w:r>
        <w:rPr>
          <w:rFonts w:hint="eastAsia" w:cs="Times New Roman"/>
          <w:b/>
          <w:bCs/>
          <w:color w:val="000000"/>
        </w:rPr>
        <w:t>二是持续优化法治化营商环境</w:t>
      </w:r>
      <w:r>
        <w:rPr>
          <w:rFonts w:hint="eastAsia" w:cs="Times New Roman"/>
          <w:color w:val="000000"/>
        </w:rPr>
        <w:t>。深入贯彻落实《优化营商环境条例》，全面落实市场准入负面清单制度，依法平等保护各种所有制企业产权和自主经营权。强化公平竞争审查制度刚性约束，及时整改1项涉嫌违反《公平竞争审查制度实施细则》的政策措施，切实防止滥用行政权力排除、限制竞争行为。加强政企沟通，制定修改行政规范性文件过程中均充分听取企业和行业协会商会意见。加大助企纾困力度，完成创业种子基金组建，持续推进知识价值信用贷款工作，</w:t>
      </w:r>
      <w:r>
        <w:rPr>
          <w:rFonts w:hint="eastAsia" w:cs="Times New Roman"/>
        </w:rPr>
        <w:t>全年向86家企业发放科信贷12179万元，引导试点银行发放商业贷款3515万元，严格落实《重庆市沙坪坝区支持科技企业发展壮大十条举措》及其实施细则，向重大建筑设计总院、中铁十一局五公司等25家企业及时兑付国家高新技术企业、市级新型研发机构、重庆市科学技术奖励等区级奖补经费165万元，全力支持科技企业发展。</w:t>
      </w:r>
    </w:p>
    <w:p>
      <w:pPr>
        <w:ind w:firstLine="640"/>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（三）完善依法行政制度体系</w:t>
      </w:r>
    </w:p>
    <w:p>
      <w:pPr>
        <w:ind w:firstLine="640"/>
        <w:rPr>
          <w:rFonts w:cs="Times New Roman"/>
          <w:color w:val="000000"/>
        </w:rPr>
      </w:pPr>
      <w:r>
        <w:rPr>
          <w:rFonts w:hint="eastAsia" w:cs="Times New Roman"/>
          <w:color w:val="000000"/>
        </w:rPr>
        <w:t>严格按照《重庆市行政规范性文件管理办法》（第329号令）等文件规定，制定《重庆市沙坪坝区支持科技企业发展壮大十条举措》（沙科局发〔2022〕15号）等2个行政规范性文件，清理废止《重庆市沙坪坝区人民政府办公室关于印发沙坪坝区促进科技型企业发展扶持办法的通知》（沙府办发〔2019〕119号）等2个以区政府名义印发的规范性文件，全面落实行政规范性文件合法性审核机制和备案审查制度。健全行政规范性文件动态清理工作机制，不断推动规范性文件管理制度化规范化。</w:t>
      </w:r>
    </w:p>
    <w:p>
      <w:pPr>
        <w:ind w:firstLine="640"/>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（四）着力推进行政决策法治化</w:t>
      </w:r>
    </w:p>
    <w:p>
      <w:pPr>
        <w:ind w:firstLine="640"/>
        <w:rPr>
          <w:rFonts w:cs="Times New Roman"/>
          <w:color w:val="000000"/>
        </w:rPr>
      </w:pPr>
      <w:r>
        <w:rPr>
          <w:rFonts w:hint="eastAsia" w:cs="Times New Roman"/>
          <w:color w:val="000000"/>
        </w:rPr>
        <w:t>严格依法依规决策，充分发挥局党组领导核心作用，在研究“三重一大”事项时，对决策事项均召开局党组会议集体研究决定，防止个人或少数人决定。严格执行《重大行政决策程序暂行条例》《重庆市重大行政决策程序规定》，完善重大行政决策案卷，建立健全决策过程记录和材料归档制度。坚持落实政府法律顾问制度，部门全年制定的重大行政决策、规范性文件、合同等均按要求由法律顾问进行合法性审查。</w:t>
      </w:r>
    </w:p>
    <w:p>
      <w:pPr>
        <w:ind w:firstLine="640"/>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（五）完善行政权力制约和监督体系</w:t>
      </w:r>
    </w:p>
    <w:p>
      <w:pPr>
        <w:ind w:firstLine="653"/>
        <w:rPr>
          <w:rFonts w:cs="Times New Roman"/>
          <w:color w:val="000000"/>
        </w:rPr>
      </w:pPr>
      <w:r>
        <w:rPr>
          <w:rFonts w:hint="eastAsia" w:cs="Times New Roman"/>
          <w:b/>
          <w:bCs/>
          <w:color w:val="000000"/>
        </w:rPr>
        <w:t>一是自觉接受各方监督</w:t>
      </w:r>
      <w:r>
        <w:rPr>
          <w:rFonts w:hint="eastAsia" w:cs="Times New Roman"/>
          <w:color w:val="000000"/>
        </w:rPr>
        <w:t>。主动接受人大依法监督、政协民主监督，及时向区人大报告创新驱动示范区基础能力建设年工作推进情况，认真完成9件区人大代表建议和6件区政协提案办理工作。自觉接受纪检监察、审计、社会和舆论监督，制定重大行政决策事项和规范性文件等政策措施时均按相关规定公开征求意见，主动听取民主党派、工商联、无党派人士和各人民团体意见，确保权力在阳光下运行。</w:t>
      </w:r>
    </w:p>
    <w:p>
      <w:pPr>
        <w:ind w:firstLine="653"/>
        <w:rPr>
          <w:rFonts w:cs="Times New Roman"/>
          <w:color w:val="000000"/>
        </w:rPr>
      </w:pPr>
      <w:r>
        <w:rPr>
          <w:rFonts w:hint="eastAsia" w:cs="Times New Roman"/>
          <w:b/>
          <w:bCs/>
          <w:color w:val="000000"/>
        </w:rPr>
        <w:t>二是强化政务诚信建设</w:t>
      </w:r>
      <w:r>
        <w:rPr>
          <w:rFonts w:hint="eastAsia" w:cs="Times New Roman"/>
          <w:color w:val="000000"/>
        </w:rPr>
        <w:t>。严格兑现向行政相对人依法作出的政策承诺，认真履行在招商引资、政府与社会资本合作等活动中与投资主体签订的各类合同，不存在以政府换届、领导人员更替、行政区划调整、机构职能调整等理由违约毁约的情形。</w:t>
      </w:r>
    </w:p>
    <w:p>
      <w:pPr>
        <w:ind w:firstLine="653"/>
        <w:rPr>
          <w:rFonts w:cs="Times New Roman"/>
          <w:color w:val="000000"/>
        </w:rPr>
      </w:pPr>
      <w:r>
        <w:rPr>
          <w:rFonts w:hint="eastAsia" w:cs="Times New Roman"/>
          <w:b/>
          <w:bCs/>
          <w:color w:val="000000"/>
        </w:rPr>
        <w:t>三是加大政务公开力度</w:t>
      </w:r>
      <w:r>
        <w:rPr>
          <w:rFonts w:hint="eastAsia" w:cs="Times New Roman"/>
          <w:color w:val="000000"/>
        </w:rPr>
        <w:t>。全面贯彻落实《中华人民共和国政府信息公开条例》，将法定主动公开内容全部公开。配合区政府办完成区政府门户网“科技创新”主题板块升级改版以及部门门户网站政务公开标准目录专栏设置等工作，常态化推进基层政务公开和重点领域信息公开，全年通过门户网站、新闻媒体等渠道发布政策文件、政策解读材料、科技工作动态等政务信息280余条，</w:t>
      </w:r>
      <w:r>
        <w:rPr>
          <w:rFonts w:hint="eastAsia" w:cs="Times New Roman"/>
          <w:color w:val="000000"/>
          <w:lang w:val="en-US" w:eastAsia="zh-CN"/>
        </w:rPr>
        <w:t>并按要求</w:t>
      </w:r>
      <w:r>
        <w:rPr>
          <w:rFonts w:hint="eastAsia" w:cs="Times New Roman"/>
          <w:color w:val="000000"/>
        </w:rPr>
        <w:t>及时公开法治政府建设年度报告、政府信息公开年度报告以及单位预决算情况等信息。依法规范受理政府信息公开申请，全年共收到政府信息公开申请1条，并严格按照相关要求办理，依法保障人民群众合理信息需求。</w:t>
      </w:r>
    </w:p>
    <w:p>
      <w:pPr>
        <w:ind w:firstLine="640"/>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（六）坚持依法应对突发事件</w:t>
      </w:r>
    </w:p>
    <w:p>
      <w:pPr>
        <w:ind w:firstLine="640"/>
        <w:rPr>
          <w:rFonts w:cs="Times New Roman"/>
          <w:color w:val="000000"/>
        </w:rPr>
      </w:pPr>
      <w:r>
        <w:rPr>
          <w:rFonts w:hint="eastAsia" w:cs="Times New Roman"/>
          <w:color w:val="000000"/>
        </w:rPr>
        <w:t>一是落实常态化疫情防控和应急处置机制，“8·16”沙坪坝疫情和“11·01”沙坪坝疫情发生后，第一时间组织领导干部下沉一线支援沙坪坝区疫情防控工作，同时积极向科技企业推送防疫信息，指导科技企业、双创平台落实好疫情防控主体责任，为打赢疫情防控阻击战贡献科技力量。二是贯彻落实《全国政府系统值班工作规范》，严格落实节假日分级分类值班带班和24小时值班值守要求，全力做好值班值守和突发事件信息报告工作。三是深入开展全局办公场所和对口联系企业安全生产检查，紧盯问题整改落实，及时消除问题隐患，提升应急处置能力。</w:t>
      </w:r>
    </w:p>
    <w:p>
      <w:pPr>
        <w:pStyle w:val="3"/>
        <w:ind w:firstLine="640"/>
      </w:pPr>
      <w:r>
        <w:rPr>
          <w:rFonts w:hint="eastAsia"/>
        </w:rPr>
        <w:t>二、党政主要负责人履行推进法治建设第一责任人职责情况</w:t>
      </w:r>
    </w:p>
    <w:p>
      <w:pPr>
        <w:ind w:firstLine="640"/>
        <w:rPr>
          <w:rFonts w:cs="Times New Roman"/>
          <w:color w:val="000000"/>
        </w:rPr>
      </w:pPr>
      <w:r>
        <w:rPr>
          <w:rFonts w:hint="eastAsia" w:cs="Times New Roman"/>
          <w:color w:val="000000"/>
        </w:rPr>
        <w:t>区科技局党政主要负责人认真履行法治建设第一责任人职责，把法治建设摆在全局工作的重要位置，与科技创新工作同规划、同部署、同落实。</w:t>
      </w:r>
    </w:p>
    <w:p>
      <w:pPr>
        <w:ind w:firstLine="653"/>
        <w:rPr>
          <w:rFonts w:cs="Times New Roman"/>
          <w:color w:val="000000"/>
        </w:rPr>
      </w:pPr>
      <w:r>
        <w:rPr>
          <w:rFonts w:hint="eastAsia" w:cs="Times New Roman"/>
          <w:b/>
          <w:bCs/>
          <w:color w:val="000000"/>
        </w:rPr>
        <w:t>一是加强组织领导</w:t>
      </w:r>
      <w:r>
        <w:rPr>
          <w:rFonts w:hint="eastAsia" w:cs="Times New Roman"/>
          <w:color w:val="000000"/>
        </w:rPr>
        <w:t>。党政主要负责人坚持把法治政府建设作为一项重要政治任务，牵头统筹全局法治建设工作，严格贯彻落实习近平总书记关于法治建设的重要指示精神，全面落实党中央关于全面依法治国的重大决策部署、市委关于全面依法治市、区委关于全面依法治区工作要求，多次召开专题会议，研究部署区科技局协同配合创建全国法治政府建设示范区和落实中央依法治国办督察反馈意见整改工作。</w:t>
      </w:r>
    </w:p>
    <w:p>
      <w:pPr>
        <w:ind w:firstLine="653"/>
        <w:rPr>
          <w:rFonts w:cs="Times New Roman"/>
          <w:color w:val="000000"/>
        </w:rPr>
      </w:pPr>
      <w:r>
        <w:rPr>
          <w:rFonts w:hint="eastAsia" w:cs="Times New Roman"/>
          <w:b/>
          <w:bCs/>
          <w:color w:val="000000"/>
        </w:rPr>
        <w:t>二是坚持依法行政</w:t>
      </w:r>
      <w:r>
        <w:rPr>
          <w:rFonts w:hint="eastAsia" w:cs="Times New Roman"/>
          <w:color w:val="000000"/>
        </w:rPr>
        <w:t>。严格依法依规决策，充分发挥法律顾问参谋作用，加强对各类政策措施的合法合规性审查，全面推进政务公开。支持区人大、区纪委监委等依法依章程履行职能、开展工作，并督促领导班子其他成员和各科室主要负责人依法办事，不得违规干预司法活动、插手具体案件处理。</w:t>
      </w:r>
    </w:p>
    <w:p>
      <w:pPr>
        <w:ind w:firstLine="653"/>
        <w:rPr>
          <w:rFonts w:cs="Times New Roman"/>
          <w:color w:val="000000"/>
        </w:rPr>
      </w:pPr>
      <w:r>
        <w:rPr>
          <w:rFonts w:hint="eastAsia" w:cs="Times New Roman"/>
          <w:b/>
          <w:bCs/>
          <w:color w:val="000000"/>
        </w:rPr>
        <w:t>三是强化年终述职</w:t>
      </w:r>
      <w:r>
        <w:rPr>
          <w:rFonts w:hint="eastAsia" w:cs="Times New Roman"/>
          <w:color w:val="000000"/>
        </w:rPr>
        <w:t>。党政主要负责人将履行推进法治建设第一责任人职责情况列入年终述职内容，作为个人年度述职报告的重要组成部分，按照《述法清单》要求，突出述法重点、细化述法内容。</w:t>
      </w:r>
    </w:p>
    <w:p>
      <w:pPr>
        <w:ind w:firstLine="653"/>
        <w:rPr>
          <w:rFonts w:cs="Times New Roman"/>
          <w:color w:val="000000"/>
        </w:rPr>
      </w:pPr>
      <w:r>
        <w:rPr>
          <w:rFonts w:hint="eastAsia" w:cs="Times New Roman"/>
          <w:b/>
          <w:bCs/>
          <w:color w:val="000000"/>
        </w:rPr>
        <w:t>四是推进宣传教育</w:t>
      </w:r>
      <w:r>
        <w:rPr>
          <w:rFonts w:hint="eastAsia" w:cs="Times New Roman"/>
          <w:color w:val="000000"/>
        </w:rPr>
        <w:t>。主持局党组理论学习中心组学习会，集体学习研讨《习近平法治思想学习纲要》，带头学习贯彻习近平法治思想和中央全面依法治国工作会议精神。组织全体干部职工参加集体学法活动、专题培训，持续推进法治工作人才队伍建设。组织1名领导干部参加2022年度全市法治理论知识学习考试抽考，23名干部职工参加区级法治理论考试，参考率、合格率均为100%。</w:t>
      </w:r>
    </w:p>
    <w:p>
      <w:pPr>
        <w:pStyle w:val="3"/>
        <w:ind w:firstLine="640"/>
      </w:pPr>
      <w:r>
        <w:rPr>
          <w:rFonts w:hint="eastAsia"/>
        </w:rPr>
        <w:t>三、2022年推进法治政府建设存在的不足和原因</w:t>
      </w:r>
    </w:p>
    <w:p>
      <w:pPr>
        <w:ind w:firstLine="640"/>
        <w:rPr>
          <w:rFonts w:cs="Times New Roman"/>
          <w:color w:val="000000"/>
        </w:rPr>
      </w:pPr>
      <w:r>
        <w:rPr>
          <w:rFonts w:hint="eastAsia" w:cs="Times New Roman"/>
          <w:color w:val="000000"/>
        </w:rPr>
        <w:t>一是学习宣传习近平法治思想还需深入，开展专题式、研讨式学习较少，干部职工读原著、学原文、悟原理的意识还需提升。</w:t>
      </w:r>
    </w:p>
    <w:p>
      <w:pPr>
        <w:ind w:firstLine="640"/>
        <w:rPr>
          <w:rFonts w:cs="Times New Roman"/>
          <w:color w:val="000000"/>
        </w:rPr>
      </w:pPr>
      <w:r>
        <w:rPr>
          <w:rFonts w:hint="eastAsia" w:cs="Times New Roman"/>
          <w:color w:val="000000"/>
        </w:rPr>
        <w:t>二是针对合法性审查、公平竞争审查和公文公开属性认定工作的培训不够，导致部分工作人员对开展相关工作的重要性意识不足，能力有待提高。</w:t>
      </w:r>
    </w:p>
    <w:p>
      <w:pPr>
        <w:pStyle w:val="3"/>
        <w:ind w:firstLine="640"/>
      </w:pPr>
      <w:r>
        <w:rPr>
          <w:rFonts w:hint="eastAsia"/>
        </w:rPr>
        <w:t>四、2023年推进法治政府建设的工作思路目标举措</w:t>
      </w:r>
    </w:p>
    <w:p>
      <w:pPr>
        <w:ind w:firstLine="640"/>
        <w:rPr>
          <w:rFonts w:cs="Times New Roman"/>
          <w:color w:val="000000"/>
        </w:rPr>
      </w:pPr>
      <w:r>
        <w:rPr>
          <w:rFonts w:hint="eastAsia" w:cs="Times New Roman"/>
          <w:color w:val="000000"/>
        </w:rPr>
        <w:t>2023年，区科技局将继续深入学习贯彻党的二十大精神，领会新时代推进法治中国建设战略部署的重要意义，深入学习宣传习近平法治思想，持续推动落实法治政府建设各项工作任务。</w:t>
      </w:r>
    </w:p>
    <w:p>
      <w:pPr>
        <w:ind w:firstLine="653"/>
        <w:rPr>
          <w:rFonts w:cs="Times New Roman"/>
          <w:color w:val="000000"/>
        </w:rPr>
      </w:pPr>
      <w:r>
        <w:rPr>
          <w:rFonts w:hint="eastAsia" w:cs="Times New Roman"/>
          <w:b/>
          <w:bCs/>
          <w:color w:val="000000"/>
        </w:rPr>
        <w:t>一是压实责任，加强组织领导</w:t>
      </w:r>
      <w:r>
        <w:rPr>
          <w:rFonts w:hint="eastAsia" w:cs="Times New Roman"/>
          <w:color w:val="000000"/>
        </w:rPr>
        <w:t>。强化党政主要负责人履行推进法治建设第一责任人职责，加强对全局法治工作的计划安排和统筹协调，落实法治政府建设有关重大问题和督察反馈问题整改，促进法治建设与中心工作、部门工作相结合。</w:t>
      </w:r>
    </w:p>
    <w:p>
      <w:pPr>
        <w:ind w:firstLine="653"/>
        <w:rPr>
          <w:rFonts w:cs="Times New Roman"/>
          <w:color w:val="000000"/>
        </w:rPr>
      </w:pPr>
      <w:r>
        <w:rPr>
          <w:rFonts w:hint="eastAsia" w:cs="Times New Roman"/>
          <w:b/>
          <w:bCs/>
          <w:color w:val="000000"/>
        </w:rPr>
        <w:t>二是以学促用，提升法治素养</w:t>
      </w:r>
      <w:r>
        <w:rPr>
          <w:rFonts w:hint="eastAsia" w:cs="Times New Roman"/>
          <w:color w:val="000000"/>
        </w:rPr>
        <w:t>。坚持把深入学习宣传贯彻党的二十大精神和习近平法治思想作为当前和今后一个时期的首要政治任务，不断丰富学习方式方法，引导和推动全体干部认认真真、全面系统地学习习近平法治思想，确保其走深走实、入脑入心。</w:t>
      </w:r>
    </w:p>
    <w:p>
      <w:pPr>
        <w:ind w:firstLine="653"/>
        <w:rPr>
          <w:rFonts w:cs="Times New Roman"/>
          <w:color w:val="000000"/>
        </w:rPr>
      </w:pPr>
      <w:r>
        <w:rPr>
          <w:rFonts w:hint="eastAsia" w:cs="Times New Roman"/>
          <w:b/>
          <w:bCs/>
          <w:color w:val="000000"/>
        </w:rPr>
        <w:t>三是加强培训，提高能力素质</w:t>
      </w:r>
      <w:r>
        <w:rPr>
          <w:rFonts w:hint="eastAsia" w:cs="Times New Roman"/>
          <w:color w:val="000000"/>
        </w:rPr>
        <w:t>。组织开展合法性审查、公平竞争审查、公文公开属性认定等业务培训工作，增强相关工作人员对规范性文件、招标文件、合同以及“一事一议”形式的具体政策措施开展合法性审查和公平竞争审查的意识和能力，充分发挥法律顾问作用，保证行政行为的合法性。</w:t>
      </w:r>
    </w:p>
    <w:p>
      <w:pPr>
        <w:ind w:firstLine="640"/>
        <w:rPr>
          <w:rFonts w:cs="Times New Roman"/>
          <w:color w:val="000000"/>
        </w:rPr>
      </w:pPr>
    </w:p>
    <w:p>
      <w:pPr>
        <w:wordWrap w:val="0"/>
        <w:ind w:firstLine="0" w:firstLineChars="0"/>
        <w:jc w:val="right"/>
        <w:rPr>
          <w:rFonts w:cs="Times New Roman"/>
          <w:color w:val="000000"/>
        </w:rPr>
      </w:pPr>
      <w:r>
        <w:rPr>
          <w:rFonts w:hint="eastAsia" w:cs="Times New Roman"/>
          <w:color w:val="000000"/>
          <w:spacing w:val="-6"/>
        </w:rPr>
        <w:t xml:space="preserve"> 重庆市沙坪坝区科学技术局 </w:t>
      </w:r>
    </w:p>
    <w:p>
      <w:pPr>
        <w:ind w:firstLine="0" w:firstLineChars="0"/>
        <w:jc w:val="left"/>
        <w:rPr>
          <w:rFonts w:hint="eastAsia" w:cs="Times New Roman"/>
          <w:color w:val="000000"/>
        </w:rPr>
      </w:pPr>
      <w:r>
        <w:rPr>
          <w:rFonts w:hint="eastAsia" w:cs="Times New Roman"/>
          <w:color w:val="000000"/>
        </w:rPr>
        <w:t xml:space="preserve">                                     2023年2月2日    </w:t>
      </w:r>
      <w:bookmarkStart w:id="0" w:name="_GoBack"/>
      <w:bookmarkEnd w:id="0"/>
    </w:p>
    <w:sectPr>
      <w:footerReference r:id="rId3" w:type="default"/>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西文正文">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4077035B"/>
    <w:rsid w:val="001F6197"/>
    <w:rsid w:val="0038208A"/>
    <w:rsid w:val="004334F9"/>
    <w:rsid w:val="00BE064C"/>
    <w:rsid w:val="00C12E40"/>
    <w:rsid w:val="0237149A"/>
    <w:rsid w:val="043B4097"/>
    <w:rsid w:val="046B4C31"/>
    <w:rsid w:val="04E04CF1"/>
    <w:rsid w:val="063F3451"/>
    <w:rsid w:val="07F71E4B"/>
    <w:rsid w:val="08E138E4"/>
    <w:rsid w:val="0A037E00"/>
    <w:rsid w:val="0B236C25"/>
    <w:rsid w:val="11492288"/>
    <w:rsid w:val="13CF49A2"/>
    <w:rsid w:val="14CE42BE"/>
    <w:rsid w:val="15702586"/>
    <w:rsid w:val="19121DDC"/>
    <w:rsid w:val="1BAE0C48"/>
    <w:rsid w:val="1ECD71E3"/>
    <w:rsid w:val="20C548DE"/>
    <w:rsid w:val="20F814B3"/>
    <w:rsid w:val="215A55A8"/>
    <w:rsid w:val="24275AF3"/>
    <w:rsid w:val="25882225"/>
    <w:rsid w:val="2BCF4240"/>
    <w:rsid w:val="2EF0519A"/>
    <w:rsid w:val="3A161983"/>
    <w:rsid w:val="3BFF055A"/>
    <w:rsid w:val="3C973445"/>
    <w:rsid w:val="3E7F0655"/>
    <w:rsid w:val="4077035B"/>
    <w:rsid w:val="40C52626"/>
    <w:rsid w:val="42FD2BE4"/>
    <w:rsid w:val="43A46A6D"/>
    <w:rsid w:val="452152C9"/>
    <w:rsid w:val="48C537E5"/>
    <w:rsid w:val="4CC0604C"/>
    <w:rsid w:val="4E396F95"/>
    <w:rsid w:val="51190556"/>
    <w:rsid w:val="53F474B7"/>
    <w:rsid w:val="5592596E"/>
    <w:rsid w:val="57754F3E"/>
    <w:rsid w:val="58E07638"/>
    <w:rsid w:val="58F44E84"/>
    <w:rsid w:val="5B3F5D28"/>
    <w:rsid w:val="5DFD7A47"/>
    <w:rsid w:val="64074F32"/>
    <w:rsid w:val="64C14BD9"/>
    <w:rsid w:val="64EB3DE4"/>
    <w:rsid w:val="69631331"/>
    <w:rsid w:val="6C990A86"/>
    <w:rsid w:val="6D174730"/>
    <w:rsid w:val="6DE8733D"/>
    <w:rsid w:val="6F935D73"/>
    <w:rsid w:val="6FCE55DF"/>
    <w:rsid w:val="73334D77"/>
    <w:rsid w:val="751537E9"/>
    <w:rsid w:val="75A85035"/>
    <w:rsid w:val="7995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880"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outlineLvl w:val="0"/>
    </w:pPr>
    <w:rPr>
      <w:rFonts w:eastAsia="方正小标宋_GBK"/>
      <w:kern w:val="44"/>
      <w:sz w:val="44"/>
    </w:rPr>
  </w:style>
  <w:style w:type="paragraph" w:styleId="3">
    <w:name w:val="heading 2"/>
    <w:basedOn w:val="1"/>
    <w:next w:val="1"/>
    <w:unhideWhenUsed/>
    <w:qFormat/>
    <w:uiPriority w:val="0"/>
    <w:pPr>
      <w:keepNext/>
      <w:keepLines/>
      <w:outlineLvl w:val="1"/>
    </w:pPr>
    <w:rPr>
      <w:rFonts w:eastAsia="方正黑体_GBK"/>
    </w:rPr>
  </w:style>
  <w:style w:type="paragraph" w:styleId="4">
    <w:name w:val="heading 3"/>
    <w:basedOn w:val="1"/>
    <w:next w:val="1"/>
    <w:unhideWhenUsed/>
    <w:qFormat/>
    <w:uiPriority w:val="0"/>
    <w:pPr>
      <w:keepNext/>
      <w:keepLines/>
      <w:outlineLvl w:val="2"/>
    </w:pPr>
    <w:rPr>
      <w:rFonts w:eastAsia="方正楷体_GBK"/>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page number"/>
    <w:basedOn w:val="7"/>
    <w:qFormat/>
    <w:uiPriority w:val="0"/>
  </w:style>
  <w:style w:type="paragraph" w:customStyle="1" w:styleId="10">
    <w:name w:val="Char Char1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3400</Words>
  <Characters>229</Characters>
  <Lines>1</Lines>
  <Paragraphs>7</Paragraphs>
  <TotalTime>39</TotalTime>
  <ScaleCrop>false</ScaleCrop>
  <LinksUpToDate>false</LinksUpToDate>
  <CharactersWithSpaces>3622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2023-02-03T03:55:00Z</dcterms:created>
  <dc:creator>gxf</dc:creator>
  <cp:lastModifiedBy>gxf</cp:lastModifiedBy>
  <cp:lastPrinted>2023-02-03T06:37:00Z</cp:lastPrinted>
  <dcterms:modified xsi:type="dcterms:W3CDTF">2023-02-07T01:58:13Z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B95B060122AD42DF80287EC1EB0064BA</vt:lpwstr>
  </property>
</Properties>
</file>