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重庆市沙坪坝区科学技术局</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关于2024年法治政府建设情况的报告</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default"/>
        </w:rPr>
      </w:pP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default"/>
        </w:rPr>
      </w:pPr>
      <w:r>
        <w:rPr>
          <w:rFonts w:hint="default"/>
        </w:rPr>
        <w:t>2024年，区科技局坚持以习近平新时代中国特色社会主义思想为指导，深入学习贯彻习近平法治思想，全面贯彻落实党的二十大</w:t>
      </w:r>
      <w:r>
        <w:rPr>
          <w:rFonts w:hint="eastAsia"/>
          <w:lang w:val="en-US" w:eastAsia="zh-CN"/>
        </w:rPr>
        <w:t>和</w:t>
      </w:r>
      <w:r>
        <w:rPr>
          <w:rFonts w:hint="default"/>
        </w:rPr>
        <w:t>二十届二中</w:t>
      </w:r>
      <w:r>
        <w:rPr>
          <w:rFonts w:hint="eastAsia"/>
          <w:lang w:eastAsia="zh-CN"/>
        </w:rPr>
        <w:t>、</w:t>
      </w:r>
      <w:r>
        <w:rPr>
          <w:rFonts w:hint="eastAsia"/>
          <w:lang w:val="en-US" w:eastAsia="zh-CN"/>
        </w:rPr>
        <w:t>三中</w:t>
      </w:r>
      <w:r>
        <w:rPr>
          <w:rFonts w:hint="default"/>
        </w:rPr>
        <w:t>全会精神，认真落实市委</w:t>
      </w:r>
      <w:r>
        <w:rPr>
          <w:rFonts w:hint="eastAsia"/>
          <w:lang w:eastAsia="zh-CN"/>
        </w:rPr>
        <w:t>、</w:t>
      </w:r>
      <w:r>
        <w:rPr>
          <w:rFonts w:hint="eastAsia"/>
          <w:lang w:val="en-US" w:eastAsia="zh-CN"/>
        </w:rPr>
        <w:t>区委</w:t>
      </w:r>
      <w:r>
        <w:rPr>
          <w:rFonts w:hint="default"/>
        </w:rPr>
        <w:t>各项工作部署，全面加强法治政府建设。按照有关规定，现将区科技局2024年法治政府建设工作情况报告如下。</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一、2024年推进法治政府建设的主要举措和成效</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（一）深入学习宣传贯彻习近平法治思想</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default"/>
        </w:rPr>
      </w:pPr>
      <w:r>
        <w:rPr>
          <w:rFonts w:hint="default"/>
        </w:rPr>
        <w:t>始终把学习贯彻习近平法治思想作为重要政治任务，认真贯彻习近平总书记关于法治政府建设的重要讲话及指示、批示精神以及中央全面依法治国委员会系列会议精神。严格落实领导干部带头学法制度，充分用好理论学习中心组学习、</w:t>
      </w:r>
      <w:r>
        <w:rPr>
          <w:rFonts w:hint="eastAsia"/>
          <w:lang w:eastAsia="zh-CN"/>
        </w:rPr>
        <w:t>“</w:t>
      </w:r>
      <w:r>
        <w:rPr>
          <w:rFonts w:hint="default"/>
        </w:rPr>
        <w:t>三会一课</w:t>
      </w:r>
      <w:r>
        <w:rPr>
          <w:rFonts w:hint="eastAsia"/>
          <w:lang w:eastAsia="zh-CN"/>
        </w:rPr>
        <w:t>”</w:t>
      </w:r>
      <w:r>
        <w:rPr>
          <w:rFonts w:hint="default"/>
        </w:rPr>
        <w:t>、专题培训等途径，组织班子成员、各科室负责人及时学习贯彻中央、市、区重要会议、重要法规文件精神，深刻领会习近平法治思想</w:t>
      </w:r>
      <w:r>
        <w:rPr>
          <w:rFonts w:hint="eastAsia"/>
          <w:lang w:eastAsia="zh-CN"/>
        </w:rPr>
        <w:t>“</w:t>
      </w:r>
      <w:r>
        <w:rPr>
          <w:rFonts w:hint="default"/>
        </w:rPr>
        <w:t>十一个坚持</w:t>
      </w:r>
      <w:r>
        <w:rPr>
          <w:rFonts w:hint="eastAsia"/>
          <w:lang w:eastAsia="zh-CN"/>
        </w:rPr>
        <w:t>”</w:t>
      </w:r>
      <w:r>
        <w:rPr>
          <w:rFonts w:hint="default"/>
        </w:rPr>
        <w:t>的丰富内涵和实践要求，不断增强运用法治思维和法治方式解决科技创新发展问题能力。局领导带头认真参与法治理论考试、庭审旁听，机关干部法治理论考试参考率、合格率均为100%，不断增强干部职工依法行政意识。组织全体干部职工，结合</w:t>
      </w:r>
      <w:r>
        <w:rPr>
          <w:rFonts w:hint="eastAsia"/>
          <w:lang w:eastAsia="zh-CN"/>
        </w:rPr>
        <w:t>“</w:t>
      </w:r>
      <w:r>
        <w:rPr>
          <w:rFonts w:hint="default"/>
        </w:rPr>
        <w:t>一企一专班</w:t>
      </w:r>
      <w:r>
        <w:rPr>
          <w:rFonts w:hint="eastAsia"/>
          <w:lang w:eastAsia="zh-CN"/>
        </w:rPr>
        <w:t>”</w:t>
      </w:r>
      <w:r>
        <w:rPr>
          <w:rFonts w:hint="default"/>
        </w:rPr>
        <w:t>、助企服务等工作，推动安全生产、宪法、涉企惠企政策、行业规定等内容法规深入企业一线，不断扩大法治宣传教育的覆盖面和影响力。</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（二）认真履行部门职能职责</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default"/>
        </w:rPr>
      </w:pPr>
      <w:r>
        <w:rPr>
          <w:rFonts w:hint="default"/>
          <w:b/>
          <w:bCs/>
        </w:rPr>
        <w:t>一是加快打造创新平台</w:t>
      </w:r>
      <w:r>
        <w:rPr>
          <w:rFonts w:hint="default"/>
        </w:rPr>
        <w:t>。加快校地融合，组建</w:t>
      </w:r>
      <w:r>
        <w:rPr>
          <w:rFonts w:hint="eastAsia"/>
          <w:lang w:eastAsia="zh-CN"/>
        </w:rPr>
        <w:t>“</w:t>
      </w:r>
      <w:r>
        <w:rPr>
          <w:rFonts w:hint="default"/>
        </w:rPr>
        <w:t>一高校一专班</w:t>
      </w:r>
      <w:r>
        <w:rPr>
          <w:rFonts w:hint="eastAsia"/>
          <w:lang w:eastAsia="zh-CN"/>
        </w:rPr>
        <w:t>”</w:t>
      </w:r>
      <w:r>
        <w:rPr>
          <w:rFonts w:hint="default"/>
        </w:rPr>
        <w:t>校地合作招商专班，实现16所高校对接全覆盖，推进教师、高年级学生和校友创新创业。建成器官智能生物制造工程研究中心，挂牌成立数智科技、信息技术、创新生物制品概念验证中心，提质未来科技、生命科技等创新园区，孵化AIGC创新基地等企业110家。环重大、重师生态圈通过市科技局验收，获得中央引导资金697万元，同比增长112%。</w:t>
      </w:r>
      <w:r>
        <w:rPr>
          <w:rFonts w:hint="default"/>
          <w:b/>
          <w:bCs/>
        </w:rPr>
        <w:t>二是加快培育创新主体</w:t>
      </w:r>
      <w:r>
        <w:rPr>
          <w:rFonts w:hint="default"/>
        </w:rPr>
        <w:t>。落实《沙坪坝区支持科技企业发展壮大十条举措》等政策，建成高能级企业梯度培育智慧平台，新入库科技型企业427家，新增高新技术企业52家，提前三年完成市级高新技术企业和科技型企业</w:t>
      </w:r>
      <w:r>
        <w:rPr>
          <w:rFonts w:hint="eastAsia"/>
          <w:lang w:eastAsia="zh-CN"/>
        </w:rPr>
        <w:t>“</w:t>
      </w:r>
      <w:r>
        <w:rPr>
          <w:rFonts w:hint="default"/>
        </w:rPr>
        <w:t>双倍增</w:t>
      </w:r>
      <w:r>
        <w:rPr>
          <w:rFonts w:hint="eastAsia"/>
          <w:lang w:eastAsia="zh-CN"/>
        </w:rPr>
        <w:t>”</w:t>
      </w:r>
      <w:r>
        <w:rPr>
          <w:rFonts w:hint="default"/>
        </w:rPr>
        <w:t>任务目标。签约重庆联仁健康医疗大数据等项目7个，签约金额4.6亿元，任务完成率131%。</w:t>
      </w:r>
      <w:r>
        <w:rPr>
          <w:rFonts w:hint="eastAsia"/>
          <w:lang w:eastAsia="zh-CN"/>
        </w:rPr>
        <w:t>“</w:t>
      </w:r>
      <w:r>
        <w:rPr>
          <w:rFonts w:hint="default"/>
        </w:rPr>
        <w:t>一企一策</w:t>
      </w:r>
      <w:r>
        <w:rPr>
          <w:rFonts w:hint="eastAsia"/>
          <w:lang w:eastAsia="zh-CN"/>
        </w:rPr>
        <w:t>”</w:t>
      </w:r>
      <w:r>
        <w:rPr>
          <w:rFonts w:hint="default"/>
        </w:rPr>
        <w:t>服务17家规上企业，协调企业解决问题70余项。</w:t>
      </w:r>
      <w:r>
        <w:rPr>
          <w:rFonts w:hint="default"/>
          <w:b/>
          <w:bCs/>
        </w:rPr>
        <w:t>三是加快推动成果转化</w:t>
      </w:r>
      <w:r>
        <w:rPr>
          <w:rFonts w:hint="default"/>
        </w:rPr>
        <w:t>。落实《沙坪坝区科研项目管理办法》《沙坪坝区科技攻关重大（重点）专项管理实施细则》等政策，实施科技项目</w:t>
      </w:r>
      <w:r>
        <w:rPr>
          <w:rFonts w:hint="eastAsia"/>
          <w:lang w:eastAsia="zh-CN"/>
        </w:rPr>
        <w:t>“</w:t>
      </w:r>
      <w:r>
        <w:rPr>
          <w:rFonts w:hint="default"/>
        </w:rPr>
        <w:t>揭榜挂帅</w:t>
      </w:r>
      <w:r>
        <w:rPr>
          <w:rFonts w:hint="eastAsia"/>
          <w:lang w:eastAsia="zh-CN"/>
        </w:rPr>
        <w:t>”</w:t>
      </w:r>
      <w:r>
        <w:rPr>
          <w:rFonts w:hint="default"/>
        </w:rPr>
        <w:t>，遴选增程新能源动力系统关键技术等</w:t>
      </w:r>
      <w:r>
        <w:rPr>
          <w:rFonts w:hint="eastAsia"/>
          <w:lang w:eastAsia="zh-CN"/>
        </w:rPr>
        <w:t>“</w:t>
      </w:r>
      <w:r>
        <w:rPr>
          <w:rFonts w:hint="default"/>
        </w:rPr>
        <w:t>揭榜挂帅</w:t>
      </w:r>
      <w:r>
        <w:rPr>
          <w:rFonts w:hint="eastAsia"/>
          <w:lang w:eastAsia="zh-CN"/>
        </w:rPr>
        <w:t>”</w:t>
      </w:r>
      <w:r>
        <w:rPr>
          <w:rFonts w:hint="default"/>
        </w:rPr>
        <w:t>项目9个，助推声景大数据等10余项成果在区转化，实现技术合同成交额超4</w:t>
      </w:r>
      <w:r>
        <w:rPr>
          <w:rFonts w:hint="eastAsia"/>
          <w:lang w:val="en-US" w:eastAsia="zh-CN"/>
        </w:rPr>
        <w:t>9</w:t>
      </w:r>
      <w:r>
        <w:rPr>
          <w:rFonts w:hint="default"/>
        </w:rPr>
        <w:t>亿元。与重庆电子科技职业大学共建数智重电科技园，会同工投公司打造大学城科技创新孵化基地，投入200万元概念验证资金，投资高性能电驱系统等6个硬科技项目。</w:t>
      </w:r>
      <w:r>
        <w:rPr>
          <w:rFonts w:hint="default"/>
          <w:b/>
          <w:bCs/>
        </w:rPr>
        <w:t>四是加快优化创新生态</w:t>
      </w:r>
      <w:r>
        <w:rPr>
          <w:rFonts w:hint="default"/>
        </w:rPr>
        <w:t>。联合重庆大学举办技术经理人高级研修培训班，推荐4家企业申报重庆市企业科技特派员团试点，服务科技人才立项区级科技项目182个。与中信银行重庆分行签订科技金融项目合作协议，推动</w:t>
      </w:r>
      <w:r>
        <w:rPr>
          <w:rFonts w:hint="eastAsia"/>
          <w:lang w:eastAsia="zh-CN"/>
        </w:rPr>
        <w:t>“</w:t>
      </w:r>
      <w:r>
        <w:rPr>
          <w:rFonts w:hint="default"/>
        </w:rPr>
        <w:t>创新积分贷</w:t>
      </w:r>
      <w:r>
        <w:rPr>
          <w:rFonts w:hint="eastAsia"/>
          <w:lang w:eastAsia="zh-CN"/>
        </w:rPr>
        <w:t>”</w:t>
      </w:r>
      <w:r>
        <w:rPr>
          <w:rFonts w:hint="default"/>
        </w:rPr>
        <w:t>应用，向48家企业发放知识价值信用贷款6529万元。举办重庆市科技活动周、首届器官智能生物制造转化医学大会等活动10余次，进一步提升科技创新影响力。</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（三）全面推进法治政府建设重点任务</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default"/>
        </w:rPr>
      </w:pPr>
      <w:r>
        <w:rPr>
          <w:rFonts w:hint="default"/>
          <w:b/>
          <w:bCs/>
        </w:rPr>
        <w:t>一是完善制度体系</w:t>
      </w:r>
      <w:r>
        <w:rPr>
          <w:rFonts w:hint="default"/>
        </w:rPr>
        <w:t>。</w:t>
      </w:r>
      <w:r>
        <w:rPr>
          <w:rFonts w:hint="eastAsia"/>
          <w:lang w:val="en-US" w:eastAsia="zh-CN"/>
        </w:rPr>
        <w:t>修订</w:t>
      </w:r>
      <w:r>
        <w:rPr>
          <w:rFonts w:hint="default"/>
        </w:rPr>
        <w:t>《党组会议事规则》《采购管理暂行办法》等5项制度，推动权力规范运行。加强行政规范性文件管理，严格执行规范性文件调研起草、公开征求意见、合法性审查、集体讨论决定、公布、备案等基本程序，健全行政规范性文件动态清理工作机制，2024年修订行政规范性文件2个。</w:t>
      </w:r>
      <w:r>
        <w:rPr>
          <w:rFonts w:hint="default"/>
          <w:b/>
          <w:bCs/>
        </w:rPr>
        <w:t>二是提高依法行政质量</w:t>
      </w:r>
      <w:r>
        <w:rPr>
          <w:rFonts w:hint="default"/>
        </w:rPr>
        <w:t>。严格依法依规决策，坚决执行民主集中制，健全完善党组会议事规则，充分发挥局党组领导核心作用，强化对</w:t>
      </w:r>
      <w:r>
        <w:rPr>
          <w:rFonts w:hint="eastAsia"/>
          <w:lang w:eastAsia="zh-CN"/>
        </w:rPr>
        <w:t>“</w:t>
      </w:r>
      <w:r>
        <w:rPr>
          <w:rFonts w:hint="default"/>
        </w:rPr>
        <w:t>三重一大</w:t>
      </w:r>
      <w:r>
        <w:rPr>
          <w:rFonts w:hint="eastAsia"/>
          <w:lang w:eastAsia="zh-CN"/>
        </w:rPr>
        <w:t>”</w:t>
      </w:r>
      <w:r>
        <w:rPr>
          <w:rFonts w:hint="default"/>
        </w:rPr>
        <w:t>事项决策、执行过程的监管，对决策事项均召开局党组会议集体研究决定。坚持落实政府法律顾问制度，部门全年制定的重大行政决策、规范性文件、合同等均按要求由法律顾问进行合法性审查。</w:t>
      </w:r>
      <w:r>
        <w:rPr>
          <w:rFonts w:hint="default"/>
          <w:b/>
          <w:bCs/>
        </w:rPr>
        <w:t>三是强化政务公开</w:t>
      </w:r>
      <w:r>
        <w:rPr>
          <w:rFonts w:hint="default"/>
        </w:rPr>
        <w:t>。严格落实《中华人民共和国政府信息公开条例》，依法及时公开相关法律法规、政策措施、工作动态等法定主动公开内容，持续推动政府信息公开工作规范化、标准化，提高工作透明度。门户网站全年公开发布各类信息201条，其中围绕全区科技创新工作发布工作动态和科技资讯163条，发布相关政策问答2条。</w:t>
      </w:r>
      <w:r>
        <w:rPr>
          <w:rFonts w:hint="default"/>
          <w:b/>
          <w:bCs/>
        </w:rPr>
        <w:t>四是自觉接受监督</w:t>
      </w:r>
      <w:r>
        <w:rPr>
          <w:rFonts w:hint="default"/>
        </w:rPr>
        <w:t>。主动接受人大依法监督、政协民主监督，认真完成25件人大建议、政协提案办理。自觉接受纪检监察、审计、社会和舆论监督，制定重大行政决策事项和规范性文件等政策措施时均按相关规定公开征求意见，主动听取民主党派、工商联、无党派人士和各人民团体意见，确保权力在阳光下运行。</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二、党政主要负责人履行推进法治建设第一责任人职责情况</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default"/>
        </w:rPr>
      </w:pPr>
      <w:r>
        <w:rPr>
          <w:rFonts w:hint="default"/>
        </w:rPr>
        <w:t>局党政主要负责人坚决履行推进法治政府建设第一责任人职责，坚持把法治政府建设作为一项重要专项工作推进落实，把法治建设与业务工作一体谋划、一同部署、一并推进，压实工作责任、建强法治队伍，切实形成上下贯通、左右联动、同频共振的法治工作格局，确保各项工作任务落到实处。坚持全面从严治党、依规治党，将履行推进法治建设第一责任人职责情况列入年终述职内容，并督促领导班子其他成员认真履行</w:t>
      </w:r>
      <w:r>
        <w:rPr>
          <w:rFonts w:hint="eastAsia"/>
          <w:lang w:eastAsia="zh-CN"/>
        </w:rPr>
        <w:t>“</w:t>
      </w:r>
      <w:r>
        <w:rPr>
          <w:rFonts w:hint="default"/>
        </w:rPr>
        <w:t>一岗双责</w:t>
      </w:r>
      <w:r>
        <w:rPr>
          <w:rFonts w:hint="eastAsia"/>
          <w:lang w:eastAsia="zh-CN"/>
        </w:rPr>
        <w:t>”</w:t>
      </w:r>
      <w:r>
        <w:rPr>
          <w:rFonts w:hint="default"/>
        </w:rPr>
        <w:t>，按规定述责述廉述法，接受评议。积极主动支持相关部门依法依章程履行职能、开展工作，并督促领导班子其他成员和各科室主要负责人依法办事，不得违规干预司法活动、插手具体案件处理。</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三、2024年推进法治政府建设存在的不足和原因</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default"/>
        </w:rPr>
      </w:pPr>
      <w:r>
        <w:rPr>
          <w:rFonts w:hint="default"/>
        </w:rPr>
        <w:t>一是法治工作专业性有所不足。运用法治思维和方法推动工作的惯性和敏锐度有待提升，法治建设与科技创新工作有效衔接、协同推进做的还不够。二是法治宣传教育仍需推进。普法宣传过程中缺乏运用互动性、理论性、吸引力强的方式，宣传广度还不够，宣传实效不突出，宣传影响力不大。</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四、2025年推进法治政府建设的工作思路目标举措</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default"/>
        </w:rPr>
      </w:pPr>
      <w:r>
        <w:rPr>
          <w:rFonts w:hint="default"/>
          <w:b/>
          <w:bCs/>
        </w:rPr>
        <w:t>一是不断增强法治意识</w:t>
      </w:r>
      <w:r>
        <w:rPr>
          <w:rFonts w:hint="default"/>
        </w:rPr>
        <w:t>。继续深入学习贯彻习近平法治思想和党的二十大精神，全面落实中央全面依法治国要求，教育引导全体干部职工牢固树立法治理念，系统学习国家有关法律法规、党内法规，跟踪学习习近平总书记对法治建设的重要讲话、重要指示批示精神，深入学习科技创新相关法律法规，提高依法行政、依法办事水平。</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default"/>
        </w:rPr>
      </w:pPr>
      <w:r>
        <w:rPr>
          <w:rFonts w:hint="default"/>
          <w:b/>
          <w:bCs/>
        </w:rPr>
        <w:t>二是持续完善工作机制</w:t>
      </w:r>
      <w:r>
        <w:rPr>
          <w:rFonts w:hint="default"/>
        </w:rPr>
        <w:t>。主要负责人亲自统筹，系统考虑加强自身学习、强化普法宣传、依法履行职责等工作内容，科学合理制定年度工作计划，发挥全局干部职工作用，深入推进法治建设。</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default"/>
        </w:rPr>
      </w:pPr>
      <w:r>
        <w:rPr>
          <w:rFonts w:hint="default"/>
          <w:b/>
          <w:bCs/>
        </w:rPr>
        <w:t>三是严格履行职能职责</w:t>
      </w:r>
      <w:r>
        <w:rPr>
          <w:rFonts w:hint="default"/>
        </w:rPr>
        <w:t>。严格按照法定的权限和程序行使权力、履行职责。在法律法规的框架下，以科技进步法、科技成果转化法等为基本支撑，着力建设环大学创新生态圈，积极培育创新主体、不断打造创新平台、加快转化创新成果、持续优化创新生态。</w:t>
      </w:r>
    </w:p>
    <w:p>
      <w:pPr>
        <w:keepNext w:val="0"/>
        <w:keepLines w:val="0"/>
        <w:pageBreakBefore w:val="0"/>
        <w:widowControl w:val="0"/>
        <w:kinsoku/>
        <w:overflowPunct/>
        <w:topLinePunct w:val="0"/>
        <w:autoSpaceDE/>
        <w:autoSpaceDN/>
        <w:bidi w:val="0"/>
        <w:adjustRightInd/>
        <w:snapToGrid/>
        <w:spacing w:line="570" w:lineRule="exact"/>
        <w:ind w:left="0" w:leftChars="0" w:right="0" w:rightChars="0"/>
        <w:textAlignment w:val="auto"/>
        <w:outlineLvl w:val="9"/>
        <w:rPr>
          <w:rFonts w:hint="default"/>
        </w:rPr>
      </w:pPr>
      <w:r>
        <w:rPr>
          <w:rFonts w:hint="default"/>
          <w:b/>
          <w:bCs/>
        </w:rPr>
        <w:t>四是深入开展普法宣传</w:t>
      </w:r>
      <w:r>
        <w:rPr>
          <w:rFonts w:hint="default"/>
        </w:rPr>
        <w:t>。创新普法形式，全方位多形式开展科技创新法律法规和政策宣传，重点做好《宪法》《民法典》以及《科学技术进步法》等法律法规的宣传，以科技普法激发创新发展新动能，为科技创新发展营造良好的法治氛围。</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right"/>
        <w:textAlignment w:val="auto"/>
        <w:outlineLvl w:val="9"/>
        <w:rPr>
          <w:rFonts w:hint="default"/>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right"/>
        <w:textAlignment w:val="auto"/>
        <w:outlineLvl w:val="9"/>
        <w:rPr>
          <w:rFonts w:hint="default"/>
        </w:rPr>
      </w:pP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right"/>
        <w:textAlignment w:val="auto"/>
        <w:outlineLvl w:val="9"/>
        <w:rPr>
          <w:rFonts w:hint="default"/>
        </w:rPr>
      </w:pPr>
      <w:r>
        <w:rPr>
          <w:rFonts w:hint="default"/>
        </w:rPr>
        <w:t xml:space="preserve">重庆市沙坪坝区科学技术局    </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right"/>
        <w:textAlignment w:val="auto"/>
        <w:outlineLvl w:val="9"/>
        <w:rPr>
          <w:rFonts w:hint="default"/>
        </w:rPr>
      </w:pPr>
      <w:r>
        <w:rPr>
          <w:rFonts w:hint="default"/>
        </w:rPr>
        <w:t>2025年2月5日</w:t>
      </w:r>
      <w:r>
        <w:rPr>
          <w:rFonts w:hint="eastAsia"/>
          <w:lang w:val="en-US" w:eastAsia="zh-CN"/>
        </w:rPr>
        <w:t xml:space="preserve">       </w:t>
      </w:r>
    </w:p>
    <w:sectPr>
      <w:footerReference r:id="rId3" w:type="default"/>
      <w:pgSz w:w="11906" w:h="16838"/>
      <w:pgMar w:top="1984"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西文正文">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4077035B"/>
    <w:rsid w:val="001F6197"/>
    <w:rsid w:val="0038208A"/>
    <w:rsid w:val="004334F9"/>
    <w:rsid w:val="008D3EB1"/>
    <w:rsid w:val="00BE064C"/>
    <w:rsid w:val="00C12E40"/>
    <w:rsid w:val="0237149A"/>
    <w:rsid w:val="02632C67"/>
    <w:rsid w:val="043B4097"/>
    <w:rsid w:val="046B4C31"/>
    <w:rsid w:val="04E04CF1"/>
    <w:rsid w:val="063F3451"/>
    <w:rsid w:val="07F71E4B"/>
    <w:rsid w:val="08E138E4"/>
    <w:rsid w:val="0A037E00"/>
    <w:rsid w:val="0B236C25"/>
    <w:rsid w:val="0C7969AD"/>
    <w:rsid w:val="11492288"/>
    <w:rsid w:val="13400A5D"/>
    <w:rsid w:val="13CF49A2"/>
    <w:rsid w:val="14CE42BE"/>
    <w:rsid w:val="15702586"/>
    <w:rsid w:val="19121DDC"/>
    <w:rsid w:val="1BAE0C48"/>
    <w:rsid w:val="1ECD71E3"/>
    <w:rsid w:val="20C548DE"/>
    <w:rsid w:val="20F814B3"/>
    <w:rsid w:val="215A55A8"/>
    <w:rsid w:val="24275AF3"/>
    <w:rsid w:val="24427A60"/>
    <w:rsid w:val="25037D6B"/>
    <w:rsid w:val="25882225"/>
    <w:rsid w:val="259C08D1"/>
    <w:rsid w:val="2BCF4240"/>
    <w:rsid w:val="2DE35FE5"/>
    <w:rsid w:val="2EF0519A"/>
    <w:rsid w:val="320B6AEF"/>
    <w:rsid w:val="3A161983"/>
    <w:rsid w:val="3BFF055A"/>
    <w:rsid w:val="3C973445"/>
    <w:rsid w:val="3D4D37F9"/>
    <w:rsid w:val="3E7F0655"/>
    <w:rsid w:val="4077035B"/>
    <w:rsid w:val="40C52626"/>
    <w:rsid w:val="414B7383"/>
    <w:rsid w:val="42FD2BE4"/>
    <w:rsid w:val="43A46A6D"/>
    <w:rsid w:val="452152C9"/>
    <w:rsid w:val="48C537E5"/>
    <w:rsid w:val="4B18175F"/>
    <w:rsid w:val="4CC0604C"/>
    <w:rsid w:val="4E396F95"/>
    <w:rsid w:val="51190556"/>
    <w:rsid w:val="53F474B7"/>
    <w:rsid w:val="54CD4F8E"/>
    <w:rsid w:val="5592596E"/>
    <w:rsid w:val="57754F3E"/>
    <w:rsid w:val="58E07638"/>
    <w:rsid w:val="58F44E84"/>
    <w:rsid w:val="5B3F5D28"/>
    <w:rsid w:val="5C015A27"/>
    <w:rsid w:val="5DFD7A47"/>
    <w:rsid w:val="5F860B37"/>
    <w:rsid w:val="64074F32"/>
    <w:rsid w:val="64C14BD9"/>
    <w:rsid w:val="64EB3DE4"/>
    <w:rsid w:val="690762A2"/>
    <w:rsid w:val="69631331"/>
    <w:rsid w:val="6A7E5530"/>
    <w:rsid w:val="6C990A86"/>
    <w:rsid w:val="6D174730"/>
    <w:rsid w:val="6DE8733D"/>
    <w:rsid w:val="6F935D73"/>
    <w:rsid w:val="6FCE55DF"/>
    <w:rsid w:val="73334D77"/>
    <w:rsid w:val="73E35EC6"/>
    <w:rsid w:val="751537E9"/>
    <w:rsid w:val="75A85035"/>
    <w:rsid w:val="79951893"/>
    <w:rsid w:val="7A116BEB"/>
    <w:rsid w:val="7D0F2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880" w:firstLineChars="200"/>
      <w:jc w:val="both"/>
    </w:pPr>
    <w:rPr>
      <w:rFonts w:ascii="Times New Roman" w:hAnsi="Times New Roman" w:eastAsia="方正仿宋_GBK" w:cstheme="minorBidi"/>
      <w:kern w:val="2"/>
      <w:sz w:val="32"/>
      <w:szCs w:val="32"/>
      <w:lang w:val="en-US" w:eastAsia="zh-CN" w:bidi="ar-SA"/>
    </w:rPr>
  </w:style>
  <w:style w:type="paragraph" w:styleId="3">
    <w:name w:val="heading 1"/>
    <w:basedOn w:val="1"/>
    <w:next w:val="1"/>
    <w:qFormat/>
    <w:uiPriority w:val="0"/>
    <w:pPr>
      <w:keepNext/>
      <w:keepLines/>
      <w:outlineLvl w:val="0"/>
    </w:pPr>
    <w:rPr>
      <w:rFonts w:eastAsia="方正小标宋_GBK"/>
      <w:kern w:val="44"/>
      <w:sz w:val="44"/>
    </w:rPr>
  </w:style>
  <w:style w:type="paragraph" w:styleId="4">
    <w:name w:val="heading 2"/>
    <w:basedOn w:val="1"/>
    <w:next w:val="1"/>
    <w:unhideWhenUsed/>
    <w:qFormat/>
    <w:uiPriority w:val="0"/>
    <w:pPr>
      <w:keepNext/>
      <w:keepLines/>
      <w:outlineLvl w:val="1"/>
    </w:pPr>
    <w:rPr>
      <w:rFonts w:eastAsia="方正黑体_GBK"/>
    </w:rPr>
  </w:style>
  <w:style w:type="paragraph" w:styleId="2">
    <w:name w:val="heading 3"/>
    <w:basedOn w:val="1"/>
    <w:next w:val="1"/>
    <w:unhideWhenUsed/>
    <w:qFormat/>
    <w:uiPriority w:val="0"/>
    <w:pPr>
      <w:keepNext/>
      <w:keepLines/>
      <w:outlineLvl w:val="2"/>
    </w:pPr>
    <w:rPr>
      <w:rFonts w:eastAsia="方正楷体_GBK"/>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qFormat/>
    <w:uiPriority w:val="0"/>
    <w:pPr>
      <w:ind w:firstLine="880" w:firstLineChars="200"/>
    </w:pPr>
    <w:rPr>
      <w:rFonts w:ascii="Times New Roman" w:hAnsi="Times New Roman"/>
    </w:r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10">
    <w:name w:val="page number"/>
    <w:basedOn w:val="9"/>
    <w:qFormat/>
    <w:uiPriority w:val="0"/>
  </w:style>
  <w:style w:type="paragraph" w:customStyle="1" w:styleId="12">
    <w:name w:val="Char Char1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3400</Words>
  <Characters>229</Characters>
  <Lines>1</Lines>
  <Paragraphs>7</Paragraphs>
  <TotalTime>231</TotalTime>
  <ScaleCrop>false</ScaleCrop>
  <LinksUpToDate>false</LinksUpToDate>
  <CharactersWithSpaces>3622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2023-02-03T03:55:00Z</dcterms:created>
  <dc:creator>gxf</dc:creator>
  <cp:lastModifiedBy>WZN</cp:lastModifiedBy>
  <cp:lastPrinted>2023-02-03T06:37:00Z</cp:lastPrinted>
  <dcterms:modified xsi:type="dcterms:W3CDTF">2025-02-08T07:01:03Z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B95B060122AD42DF80287EC1EB0064BA</vt:lpwstr>
  </property>
</Properties>
</file>