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09"/>
          <w:tab w:val="left" w:pos="8398"/>
          <w:tab w:val="left" w:pos="8610"/>
        </w:tabs>
        <w:kinsoku w:val="0"/>
        <w:wordWrap/>
        <w:topLinePunct w:val="0"/>
        <w:autoSpaceDE w:val="0"/>
        <w:autoSpaceDN w:val="0"/>
        <w:bidi w:val="0"/>
        <w:adjustRightIn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09"/>
          <w:tab w:val="left" w:pos="8398"/>
          <w:tab w:val="left" w:pos="8610"/>
        </w:tabs>
        <w:kinsoku w:val="0"/>
        <w:wordWrap/>
        <w:topLinePunct w:val="0"/>
        <w:autoSpaceDE w:val="0"/>
        <w:autoSpaceDN w:val="0"/>
        <w:bidi w:val="0"/>
        <w:adjustRightIn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1" w:name="_GoBack"/>
      <w:r>
        <w:rPr>
          <w:rFonts w:hint="default" w:ascii="Times New Roman" w:hAnsi="Times New Roman" w:eastAsia="方正仿宋_GBK" w:cs="Times New Roman"/>
          <w:sz w:val="32"/>
          <w:szCs w:val="32"/>
        </w:rPr>
        <w:t>沙民政发〔202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bookmarkEnd w:id="1"/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70" w:lineRule="exact"/>
        <w:jc w:val="left"/>
        <w:textAlignment w:val="auto"/>
        <w:rPr>
          <w:rFonts w:hint="default" w:ascii="Times New Roman" w:hAnsi="Times New Roman" w:eastAsia="方正小标宋_GBK" w:cs="Times New Roman"/>
          <w:kern w:val="3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7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kern w:val="3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32"/>
          <w:sz w:val="44"/>
          <w:szCs w:val="44"/>
        </w:rPr>
        <w:t>重庆市</w:t>
      </w:r>
      <w:r>
        <w:rPr>
          <w:rFonts w:hint="default" w:ascii="Times New Roman" w:hAnsi="Times New Roman" w:eastAsia="方正小标宋_GBK" w:cs="Times New Roman"/>
          <w:kern w:val="32"/>
          <w:sz w:val="44"/>
          <w:szCs w:val="44"/>
          <w:lang w:eastAsia="zh-CN"/>
        </w:rPr>
        <w:t>沙坪坝区</w:t>
      </w:r>
      <w:r>
        <w:rPr>
          <w:rFonts w:hint="default" w:ascii="Times New Roman" w:hAnsi="Times New Roman" w:eastAsia="方正小标宋_GBK" w:cs="Times New Roman"/>
          <w:kern w:val="32"/>
          <w:sz w:val="44"/>
          <w:szCs w:val="44"/>
        </w:rPr>
        <w:t>民政局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240" w:lineRule="auto"/>
        <w:ind w:firstLine="0" w:firstLineChars="0"/>
        <w:jc w:val="center"/>
        <w:textAlignment w:val="auto"/>
        <w:rPr>
          <w:rStyle w:val="12"/>
          <w:rFonts w:hint="default" w:ascii="Times New Roman" w:hAnsi="Times New Roman" w:eastAsia="方正小标宋_GBK" w:cs="Times New Roman"/>
          <w:b w:val="0"/>
          <w:kern w:val="32"/>
          <w:sz w:val="44"/>
          <w:szCs w:val="44"/>
          <w:lang w:val="en-US" w:eastAsia="zh-CN"/>
        </w:rPr>
      </w:pPr>
      <w:r>
        <w:rPr>
          <w:rStyle w:val="12"/>
          <w:rFonts w:hint="default" w:ascii="Times New Roman" w:hAnsi="Times New Roman" w:eastAsia="方正小标宋_GBK" w:cs="Times New Roman"/>
          <w:b w:val="0"/>
          <w:kern w:val="32"/>
          <w:sz w:val="44"/>
          <w:szCs w:val="44"/>
        </w:rPr>
        <w:t>关于开展</w:t>
      </w:r>
      <w:r>
        <w:rPr>
          <w:rStyle w:val="12"/>
          <w:rFonts w:hint="default" w:ascii="Times New Roman" w:hAnsi="Times New Roman" w:eastAsia="方正小标宋_GBK" w:cs="Times New Roman"/>
          <w:b w:val="0"/>
          <w:kern w:val="32"/>
          <w:sz w:val="44"/>
          <w:szCs w:val="44"/>
          <w:lang w:eastAsia="zh-CN"/>
        </w:rPr>
        <w:t>全区性</w:t>
      </w:r>
      <w:r>
        <w:rPr>
          <w:rStyle w:val="12"/>
          <w:rFonts w:hint="default" w:ascii="Times New Roman" w:hAnsi="Times New Roman" w:eastAsia="方正小标宋_GBK" w:cs="Times New Roman"/>
          <w:b w:val="0"/>
          <w:kern w:val="32"/>
          <w:sz w:val="44"/>
          <w:szCs w:val="44"/>
        </w:rPr>
        <w:t>民办非企业单位202</w:t>
      </w:r>
      <w:r>
        <w:rPr>
          <w:rStyle w:val="12"/>
          <w:rFonts w:hint="eastAsia" w:eastAsia="方正小标宋_GBK" w:cs="Times New Roman"/>
          <w:b w:val="0"/>
          <w:kern w:val="32"/>
          <w:sz w:val="44"/>
          <w:szCs w:val="44"/>
          <w:lang w:val="en-US" w:eastAsia="zh-CN"/>
        </w:rPr>
        <w:t>4</w:t>
      </w:r>
      <w:r>
        <w:rPr>
          <w:rStyle w:val="12"/>
          <w:rFonts w:hint="default" w:ascii="Times New Roman" w:hAnsi="Times New Roman" w:eastAsia="方正小标宋_GBK" w:cs="Times New Roman"/>
          <w:b w:val="0"/>
          <w:kern w:val="32"/>
          <w:sz w:val="44"/>
          <w:szCs w:val="44"/>
        </w:rPr>
        <w:t>年度</w:t>
      </w:r>
      <w:r>
        <w:rPr>
          <w:rStyle w:val="12"/>
          <w:rFonts w:hint="default" w:ascii="Times New Roman" w:hAnsi="Times New Roman" w:eastAsia="方正小标宋_GBK" w:cs="Times New Roman"/>
          <w:b w:val="0"/>
          <w:kern w:val="32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240" w:lineRule="auto"/>
        <w:ind w:firstLine="0" w:firstLineChars="0"/>
        <w:jc w:val="center"/>
        <w:textAlignment w:val="auto"/>
        <w:rPr>
          <w:rStyle w:val="12"/>
          <w:rFonts w:hint="default" w:ascii="Times New Roman" w:hAnsi="Times New Roman" w:eastAsia="方正小标宋_GBK" w:cs="Times New Roman"/>
          <w:b w:val="0"/>
          <w:bCs w:val="0"/>
          <w:kern w:val="32"/>
          <w:sz w:val="44"/>
          <w:szCs w:val="44"/>
        </w:rPr>
      </w:pPr>
      <w:r>
        <w:rPr>
          <w:rStyle w:val="12"/>
          <w:rFonts w:hint="default" w:ascii="Times New Roman" w:hAnsi="Times New Roman" w:eastAsia="方正小标宋_GBK" w:cs="Times New Roman"/>
          <w:b w:val="0"/>
          <w:kern w:val="32"/>
          <w:sz w:val="44"/>
          <w:szCs w:val="44"/>
        </w:rPr>
        <w:t>检查工作的通知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overflowPunct w:val="0"/>
        <w:spacing w:line="579" w:lineRule="exact"/>
        <w:rPr>
          <w:rFonts w:eastAsia="方正仿宋_GBK"/>
          <w:color w:val="000000"/>
          <w:kern w:val="32"/>
          <w:sz w:val="32"/>
          <w:szCs w:val="21"/>
        </w:rPr>
      </w:pPr>
      <w:r>
        <w:rPr>
          <w:rFonts w:hint="eastAsia" w:eastAsia="方正仿宋_GBK"/>
          <w:color w:val="000000"/>
          <w:kern w:val="32"/>
          <w:sz w:val="32"/>
          <w:szCs w:val="21"/>
        </w:rPr>
        <w:t>各全</w:t>
      </w:r>
      <w:r>
        <w:rPr>
          <w:rFonts w:hint="eastAsia" w:eastAsia="方正仿宋_GBK"/>
          <w:color w:val="000000"/>
          <w:kern w:val="32"/>
          <w:sz w:val="32"/>
          <w:szCs w:val="21"/>
          <w:lang w:eastAsia="zh-CN"/>
        </w:rPr>
        <w:t>区</w:t>
      </w:r>
      <w:r>
        <w:rPr>
          <w:rFonts w:hint="eastAsia" w:eastAsia="方正仿宋_GBK"/>
          <w:color w:val="000000"/>
          <w:kern w:val="32"/>
          <w:sz w:val="32"/>
          <w:szCs w:val="21"/>
        </w:rPr>
        <w:t>性民办非企业单位业务主管单位，</w:t>
      </w:r>
      <w:r>
        <w:rPr>
          <w:rFonts w:eastAsia="方正仿宋_GBK"/>
          <w:color w:val="000000"/>
          <w:kern w:val="32"/>
          <w:sz w:val="32"/>
          <w:szCs w:val="21"/>
        </w:rPr>
        <w:t>各全</w:t>
      </w:r>
      <w:r>
        <w:rPr>
          <w:rFonts w:hint="eastAsia" w:eastAsia="方正仿宋_GBK"/>
          <w:color w:val="000000"/>
          <w:kern w:val="32"/>
          <w:sz w:val="32"/>
          <w:szCs w:val="21"/>
          <w:lang w:eastAsia="zh-CN"/>
        </w:rPr>
        <w:t>区</w:t>
      </w:r>
      <w:r>
        <w:rPr>
          <w:rFonts w:eastAsia="方正仿宋_GBK"/>
          <w:color w:val="000000"/>
          <w:kern w:val="32"/>
          <w:sz w:val="32"/>
          <w:szCs w:val="21"/>
        </w:rPr>
        <w:t>性民办非企业单位：</w:t>
      </w:r>
    </w:p>
    <w:p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根据国务院《民办非企业单位登记管理暂行条例》和民政部《民办非企业单位年度检查办法》规定，我局将对全</w:t>
      </w:r>
      <w:r>
        <w:rPr>
          <w:rFonts w:hint="eastAsia" w:eastAsia="方正仿宋_GBK"/>
          <w:color w:val="000000"/>
          <w:kern w:val="32"/>
          <w:sz w:val="32"/>
          <w:szCs w:val="32"/>
          <w:lang w:eastAsia="zh-CN"/>
        </w:rPr>
        <w:t>区</w:t>
      </w:r>
      <w:r>
        <w:rPr>
          <w:rFonts w:eastAsia="方正仿宋_GBK"/>
          <w:color w:val="000000"/>
          <w:kern w:val="32"/>
          <w:sz w:val="32"/>
          <w:szCs w:val="32"/>
        </w:rPr>
        <w:t>性民办非企业单位实施20</w:t>
      </w:r>
      <w:r>
        <w:rPr>
          <w:rFonts w:hint="eastAsia" w:eastAsia="方正仿宋_GBK"/>
          <w:color w:val="000000"/>
          <w:kern w:val="32"/>
          <w:sz w:val="32"/>
          <w:szCs w:val="32"/>
        </w:rPr>
        <w:t>24</w:t>
      </w:r>
      <w:r>
        <w:rPr>
          <w:rFonts w:eastAsia="方正仿宋_GBK"/>
          <w:color w:val="000000"/>
          <w:kern w:val="32"/>
          <w:sz w:val="32"/>
          <w:szCs w:val="32"/>
        </w:rPr>
        <w:t>年度检查（以下简称年检）</w:t>
      </w:r>
      <w:r>
        <w:rPr>
          <w:rFonts w:hint="eastAsia" w:eastAsia="方正仿宋_GBK"/>
          <w:color w:val="000000"/>
          <w:kern w:val="32"/>
          <w:sz w:val="32"/>
          <w:szCs w:val="32"/>
        </w:rPr>
        <w:t>。</w:t>
      </w:r>
      <w:r>
        <w:rPr>
          <w:rFonts w:eastAsia="方正仿宋_GBK"/>
          <w:color w:val="000000"/>
          <w:kern w:val="32"/>
          <w:sz w:val="32"/>
          <w:szCs w:val="32"/>
        </w:rPr>
        <w:t>现将有关事项通知如下</w:t>
      </w:r>
      <w:r>
        <w:rPr>
          <w:rFonts w:hint="eastAsia" w:eastAsia="方正仿宋_GBK"/>
          <w:color w:val="000000"/>
          <w:kern w:val="32"/>
          <w:sz w:val="32"/>
          <w:szCs w:val="32"/>
        </w:rPr>
        <w:t>。</w:t>
      </w:r>
    </w:p>
    <w:p>
      <w:pPr>
        <w:overflowPunct w:val="0"/>
        <w:spacing w:line="579" w:lineRule="exact"/>
        <w:ind w:firstLine="640" w:firstLineChars="200"/>
        <w:rPr>
          <w:rFonts w:eastAsia="方正黑体_GBK"/>
          <w:color w:val="000000"/>
          <w:kern w:val="32"/>
          <w:sz w:val="32"/>
          <w:szCs w:val="32"/>
        </w:rPr>
      </w:pPr>
      <w:r>
        <w:rPr>
          <w:rFonts w:eastAsia="方正黑体_GBK"/>
          <w:color w:val="000000"/>
          <w:kern w:val="32"/>
          <w:sz w:val="32"/>
          <w:szCs w:val="32"/>
        </w:rPr>
        <w:t>一、年检对象</w:t>
      </w:r>
    </w:p>
    <w:p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20</w:t>
      </w:r>
      <w:r>
        <w:rPr>
          <w:rFonts w:hint="eastAsia" w:eastAsia="方正仿宋_GBK"/>
          <w:color w:val="000000"/>
          <w:kern w:val="32"/>
          <w:sz w:val="32"/>
          <w:szCs w:val="32"/>
        </w:rPr>
        <w:t>24</w:t>
      </w:r>
      <w:r>
        <w:rPr>
          <w:rFonts w:eastAsia="方正仿宋_GBK"/>
          <w:color w:val="000000"/>
          <w:kern w:val="32"/>
          <w:sz w:val="32"/>
          <w:szCs w:val="32"/>
        </w:rPr>
        <w:t>年6月30日</w:t>
      </w:r>
      <w:r>
        <w:rPr>
          <w:rFonts w:hint="eastAsia" w:eastAsia="方正仿宋_GBK"/>
          <w:color w:val="000000"/>
          <w:kern w:val="32"/>
          <w:sz w:val="32"/>
          <w:szCs w:val="32"/>
        </w:rPr>
        <w:t>前</w:t>
      </w:r>
      <w:r>
        <w:rPr>
          <w:rFonts w:eastAsia="方正仿宋_GBK"/>
          <w:color w:val="000000"/>
          <w:kern w:val="32"/>
          <w:sz w:val="32"/>
          <w:szCs w:val="32"/>
        </w:rPr>
        <w:t>经</w:t>
      </w:r>
      <w:r>
        <w:rPr>
          <w:rFonts w:hint="eastAsia" w:eastAsia="方正仿宋_GBK"/>
          <w:color w:val="000000"/>
          <w:kern w:val="32"/>
          <w:sz w:val="32"/>
          <w:szCs w:val="32"/>
          <w:lang w:eastAsia="zh-CN"/>
        </w:rPr>
        <w:t>区</w:t>
      </w:r>
      <w:r>
        <w:rPr>
          <w:rFonts w:eastAsia="方正仿宋_GBK"/>
          <w:color w:val="000000"/>
          <w:kern w:val="32"/>
          <w:sz w:val="32"/>
          <w:szCs w:val="32"/>
        </w:rPr>
        <w:t>民政局依法登记的</w:t>
      </w:r>
      <w:r>
        <w:rPr>
          <w:rFonts w:hint="eastAsia" w:eastAsia="方正仿宋_GBK"/>
          <w:color w:val="000000"/>
          <w:kern w:val="32"/>
          <w:sz w:val="32"/>
          <w:szCs w:val="32"/>
        </w:rPr>
        <w:t>全</w:t>
      </w:r>
      <w:r>
        <w:rPr>
          <w:rFonts w:hint="eastAsia" w:eastAsia="方正仿宋_GBK"/>
          <w:color w:val="000000"/>
          <w:kern w:val="32"/>
          <w:sz w:val="32"/>
          <w:szCs w:val="32"/>
          <w:lang w:eastAsia="zh-CN"/>
        </w:rPr>
        <w:t>区</w:t>
      </w:r>
      <w:r>
        <w:rPr>
          <w:rFonts w:hint="eastAsia" w:eastAsia="方正仿宋_GBK"/>
          <w:color w:val="000000"/>
          <w:kern w:val="32"/>
          <w:sz w:val="32"/>
          <w:szCs w:val="32"/>
        </w:rPr>
        <w:t>性</w:t>
      </w:r>
      <w:r>
        <w:rPr>
          <w:rFonts w:eastAsia="方正仿宋_GBK"/>
          <w:color w:val="000000"/>
          <w:kern w:val="32"/>
          <w:sz w:val="32"/>
          <w:szCs w:val="32"/>
        </w:rPr>
        <w:t>民办非企业单位</w:t>
      </w:r>
      <w:r>
        <w:rPr>
          <w:rFonts w:hint="eastAsia" w:eastAsia="方正仿宋_GBK"/>
          <w:color w:val="000000"/>
          <w:kern w:val="32"/>
          <w:sz w:val="32"/>
          <w:szCs w:val="32"/>
        </w:rPr>
        <w:t>（以下简称参检单位）</w:t>
      </w:r>
      <w:r>
        <w:rPr>
          <w:rFonts w:eastAsia="方正仿宋_GBK"/>
          <w:color w:val="000000"/>
          <w:kern w:val="32"/>
          <w:sz w:val="32"/>
          <w:szCs w:val="32"/>
        </w:rPr>
        <w:t>。</w:t>
      </w:r>
    </w:p>
    <w:p>
      <w:pPr>
        <w:overflowPunct w:val="0"/>
        <w:spacing w:line="579" w:lineRule="exact"/>
        <w:ind w:firstLine="640" w:firstLineChars="200"/>
        <w:rPr>
          <w:rFonts w:eastAsia="方正黑体_GBK"/>
          <w:color w:val="000000"/>
          <w:kern w:val="32"/>
          <w:sz w:val="32"/>
          <w:szCs w:val="32"/>
        </w:rPr>
      </w:pPr>
      <w:r>
        <w:rPr>
          <w:rFonts w:eastAsia="方正黑体_GBK"/>
          <w:color w:val="000000"/>
          <w:kern w:val="32"/>
          <w:sz w:val="32"/>
          <w:szCs w:val="32"/>
        </w:rPr>
        <w:t>二、年检主要内容</w:t>
      </w:r>
    </w:p>
    <w:p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</w:rPr>
      </w:pPr>
      <w:r>
        <w:rPr>
          <w:rFonts w:eastAsia="方正仿宋_GBK"/>
          <w:color w:val="000000"/>
          <w:kern w:val="32"/>
          <w:sz w:val="32"/>
        </w:rPr>
        <w:t>主要是对</w:t>
      </w:r>
      <w:r>
        <w:rPr>
          <w:rFonts w:hint="eastAsia" w:eastAsia="方正仿宋_GBK"/>
          <w:color w:val="000000"/>
          <w:kern w:val="32"/>
          <w:sz w:val="32"/>
        </w:rPr>
        <w:t>参检</w:t>
      </w:r>
      <w:r>
        <w:rPr>
          <w:rFonts w:eastAsia="方正仿宋_GBK"/>
          <w:color w:val="000000"/>
          <w:kern w:val="32"/>
          <w:sz w:val="32"/>
        </w:rPr>
        <w:t>单位</w:t>
      </w:r>
      <w:r>
        <w:rPr>
          <w:rFonts w:hint="eastAsia" w:eastAsia="方正仿宋_GBK"/>
          <w:color w:val="000000"/>
          <w:kern w:val="32"/>
          <w:sz w:val="32"/>
        </w:rPr>
        <w:t>2024</w:t>
      </w:r>
      <w:r>
        <w:rPr>
          <w:rFonts w:eastAsia="方正仿宋_GBK"/>
          <w:color w:val="000000"/>
          <w:kern w:val="32"/>
          <w:sz w:val="32"/>
        </w:rPr>
        <w:t>年度遵守宪法和法规政策、党建工作</w:t>
      </w:r>
      <w:r>
        <w:rPr>
          <w:rFonts w:hint="eastAsia" w:eastAsia="方正仿宋_GBK"/>
          <w:color w:val="000000"/>
          <w:kern w:val="32"/>
          <w:sz w:val="32"/>
        </w:rPr>
        <w:t>、</w:t>
      </w:r>
      <w:r>
        <w:rPr>
          <w:rFonts w:eastAsia="方正仿宋_GBK"/>
          <w:color w:val="000000"/>
          <w:kern w:val="32"/>
          <w:sz w:val="32"/>
        </w:rPr>
        <w:t>履行法人治</w:t>
      </w:r>
      <w:r>
        <w:rPr>
          <w:rFonts w:hint="eastAsia" w:eastAsia="方正仿宋_GBK"/>
          <w:color w:val="000000"/>
          <w:kern w:val="32"/>
          <w:sz w:val="32"/>
        </w:rPr>
        <w:t>理</w:t>
      </w:r>
      <w:r>
        <w:rPr>
          <w:rFonts w:eastAsia="方正仿宋_GBK"/>
          <w:color w:val="000000"/>
          <w:kern w:val="32"/>
          <w:sz w:val="32"/>
        </w:rPr>
        <w:t>、机构管理、人事和财务管理、业务活动、承接政府职能转移和购买服务、</w:t>
      </w:r>
      <w:r>
        <w:rPr>
          <w:rFonts w:hint="eastAsia" w:eastAsia="方正仿宋_GBK"/>
          <w:color w:val="000000"/>
          <w:kern w:val="32"/>
          <w:sz w:val="32"/>
        </w:rPr>
        <w:t>公益活动、</w:t>
      </w:r>
      <w:r>
        <w:rPr>
          <w:rFonts w:eastAsia="方正仿宋_GBK"/>
          <w:color w:val="000000"/>
          <w:kern w:val="32"/>
          <w:sz w:val="32"/>
        </w:rPr>
        <w:t>信息公开、涉外活动、</w:t>
      </w:r>
      <w:r>
        <w:rPr>
          <w:rFonts w:hint="eastAsia" w:eastAsia="方正仿宋_GBK"/>
          <w:color w:val="000000"/>
          <w:kern w:val="32"/>
          <w:sz w:val="32"/>
        </w:rPr>
        <w:t>开展成渝地区双城经济圈建设、东西部协作</w:t>
      </w:r>
      <w:r>
        <w:rPr>
          <w:rFonts w:hint="eastAsia" w:eastAsia="方正仿宋_GBK"/>
          <w:kern w:val="32"/>
          <w:sz w:val="32"/>
        </w:rPr>
        <w:t>情况</w:t>
      </w:r>
      <w:r>
        <w:rPr>
          <w:rFonts w:hint="eastAsia" w:eastAsia="方正仿宋_GBK"/>
          <w:color w:val="000000"/>
          <w:kern w:val="32"/>
          <w:sz w:val="32"/>
        </w:rPr>
        <w:t>和自身存在的风险隐患及防范化解措施</w:t>
      </w:r>
      <w:r>
        <w:rPr>
          <w:rFonts w:eastAsia="方正仿宋_GBK"/>
          <w:color w:val="000000"/>
          <w:kern w:val="32"/>
          <w:sz w:val="32"/>
        </w:rPr>
        <w:t>等方面事项进行检查，具体内容详见《民办非企业单位年</w:t>
      </w:r>
      <w:r>
        <w:rPr>
          <w:rFonts w:hint="eastAsia" w:eastAsia="方正仿宋_GBK"/>
          <w:color w:val="000000"/>
          <w:kern w:val="32"/>
          <w:sz w:val="32"/>
        </w:rPr>
        <w:t>度工作</w:t>
      </w:r>
      <w:r>
        <w:rPr>
          <w:rFonts w:eastAsia="方正仿宋_GBK"/>
          <w:color w:val="000000"/>
          <w:kern w:val="32"/>
          <w:sz w:val="32"/>
        </w:rPr>
        <w:t>报告书》（以下简称《</w:t>
      </w:r>
      <w:r>
        <w:rPr>
          <w:rFonts w:hint="eastAsia" w:eastAsia="方正仿宋_GBK"/>
          <w:color w:val="000000"/>
          <w:kern w:val="32"/>
          <w:sz w:val="32"/>
        </w:rPr>
        <w:t>工作</w:t>
      </w:r>
      <w:r>
        <w:rPr>
          <w:rFonts w:eastAsia="方正仿宋_GBK"/>
          <w:color w:val="000000"/>
          <w:kern w:val="32"/>
          <w:sz w:val="32"/>
        </w:rPr>
        <w:t>报告书》）。</w:t>
      </w:r>
    </w:p>
    <w:p>
      <w:pPr>
        <w:pStyle w:val="2"/>
        <w:ind w:firstLine="643"/>
        <w:rPr>
          <w:rFonts w:hint="eastAsia" w:eastAsia="方正仿宋_GBK"/>
          <w:color w:val="0070C0"/>
          <w:kern w:val="32"/>
          <w:sz w:val="32"/>
        </w:rPr>
      </w:pPr>
      <w:r>
        <w:rPr>
          <w:rFonts w:hint="eastAsia" w:eastAsia="方正仿宋_GBK"/>
          <w:b/>
          <w:color w:val="000000"/>
          <w:kern w:val="32"/>
          <w:sz w:val="32"/>
          <w:szCs w:val="32"/>
        </w:rPr>
        <w:t>特别提醒：</w:t>
      </w:r>
      <w:r>
        <w:rPr>
          <w:rFonts w:hint="eastAsia" w:eastAsia="方正仿宋_GBK"/>
          <w:color w:val="000000"/>
          <w:kern w:val="32"/>
          <w:sz w:val="32"/>
        </w:rPr>
        <w:t>为深化</w:t>
      </w:r>
      <w:r>
        <w:rPr>
          <w:rFonts w:hint="eastAsia" w:eastAsia="方正仿宋_GBK"/>
          <w:color w:val="000000"/>
          <w:kern w:val="32"/>
          <w:sz w:val="32"/>
          <w:szCs w:val="32"/>
        </w:rPr>
        <w:t>“放管服”改革，减轻社会组织负担，</w:t>
      </w:r>
      <w:r>
        <w:rPr>
          <w:rFonts w:hint="eastAsia" w:eastAsia="方正仿宋_GBK"/>
          <w:color w:val="000000"/>
          <w:kern w:val="32"/>
          <w:sz w:val="32"/>
        </w:rPr>
        <w:t>本次年检</w:t>
      </w:r>
      <w:r>
        <w:rPr>
          <w:rFonts w:hint="eastAsia" w:eastAsia="方正仿宋_GBK"/>
          <w:b/>
          <w:bCs/>
          <w:color w:val="000000"/>
          <w:kern w:val="32"/>
          <w:sz w:val="32"/>
        </w:rPr>
        <w:t>取消网上初审环节，参检单位网上提交后即可打印《工作报告书》，并</w:t>
      </w:r>
      <w:r>
        <w:rPr>
          <w:rFonts w:hint="eastAsia" w:eastAsia="方正仿宋_GBK"/>
          <w:b/>
          <w:bCs/>
          <w:color w:val="000000"/>
          <w:kern w:val="32"/>
          <w:sz w:val="32"/>
          <w:szCs w:val="32"/>
        </w:rPr>
        <w:t>将“三年一审计”调整为“五年一审计”</w:t>
      </w:r>
      <w:r>
        <w:rPr>
          <w:rFonts w:hint="eastAsia" w:eastAsia="方正仿宋_GBK"/>
          <w:b/>
          <w:bCs/>
          <w:color w:val="000000"/>
          <w:kern w:val="32"/>
          <w:sz w:val="32"/>
        </w:rPr>
        <w:t>。</w:t>
      </w:r>
      <w:r>
        <w:rPr>
          <w:rFonts w:hint="eastAsia" w:eastAsia="方正仿宋_GBK"/>
          <w:color w:val="000000"/>
          <w:kern w:val="32"/>
          <w:sz w:val="32"/>
        </w:rPr>
        <w:t>年检以参检单位提交材料作为年检结论的基准材料。参检单位应高度重视年检工作，安排专人具体负责并如实填报《工作报告书》，法定代表人及有关负责人应当严格审查，对填报内容真实性负责。如网上填报内容与纸质报送材料不一致，将作为虚假填报情况处理。请各民办非企业单位务必按规定要求和时限报送年检材料，按程序完成年度检查工作。</w:t>
      </w:r>
    </w:p>
    <w:p>
      <w:pPr>
        <w:overflowPunct w:val="0"/>
        <w:spacing w:line="579" w:lineRule="exact"/>
        <w:ind w:firstLine="640" w:firstLineChars="200"/>
        <w:rPr>
          <w:rFonts w:eastAsia="方正黑体_GBK"/>
          <w:color w:val="000000"/>
          <w:kern w:val="32"/>
          <w:sz w:val="32"/>
          <w:szCs w:val="32"/>
        </w:rPr>
      </w:pPr>
      <w:r>
        <w:rPr>
          <w:rFonts w:hint="eastAsia" w:eastAsia="方正黑体_GBK"/>
          <w:color w:val="000000"/>
          <w:kern w:val="32"/>
          <w:sz w:val="32"/>
          <w:szCs w:val="32"/>
        </w:rPr>
        <w:t>三、</w:t>
      </w:r>
      <w:r>
        <w:rPr>
          <w:rFonts w:eastAsia="方正黑体_GBK"/>
          <w:color w:val="000000"/>
          <w:kern w:val="32"/>
          <w:sz w:val="32"/>
          <w:szCs w:val="32"/>
        </w:rPr>
        <w:t>年检时限</w:t>
      </w:r>
    </w:p>
    <w:p>
      <w:pPr>
        <w:pStyle w:val="2"/>
        <w:ind w:firstLine="640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2025年</w:t>
      </w:r>
      <w:r>
        <w:rPr>
          <w:rFonts w:hint="eastAsia" w:eastAsia="方正仿宋_GBK"/>
          <w:kern w:val="32"/>
          <w:sz w:val="32"/>
          <w:szCs w:val="32"/>
        </w:rPr>
        <w:t>3月</w:t>
      </w:r>
      <w:r>
        <w:rPr>
          <w:rFonts w:hint="eastAsia" w:eastAsia="方正仿宋_GBK"/>
          <w:color w:val="auto"/>
          <w:kern w:val="32"/>
          <w:sz w:val="32"/>
          <w:szCs w:val="32"/>
          <w:lang w:val="en-US" w:eastAsia="zh-CN"/>
        </w:rPr>
        <w:t>12</w:t>
      </w:r>
      <w:r>
        <w:rPr>
          <w:rFonts w:hint="eastAsia" w:eastAsia="方正仿宋_GBK"/>
          <w:kern w:val="32"/>
          <w:sz w:val="32"/>
          <w:szCs w:val="32"/>
        </w:rPr>
        <w:t>日</w:t>
      </w:r>
      <w:r>
        <w:rPr>
          <w:rFonts w:hint="eastAsia" w:eastAsia="方正仿宋_GBK"/>
          <w:color w:val="000000"/>
          <w:sz w:val="32"/>
          <w:szCs w:val="32"/>
        </w:rPr>
        <w:t>起至</w:t>
      </w:r>
      <w:r>
        <w:rPr>
          <w:rFonts w:eastAsia="方正仿宋_GBK"/>
          <w:color w:val="000000"/>
          <w:sz w:val="32"/>
          <w:szCs w:val="32"/>
        </w:rPr>
        <w:t>20</w:t>
      </w:r>
      <w:r>
        <w:rPr>
          <w:rFonts w:hint="eastAsia" w:eastAsia="方正仿宋_GBK"/>
          <w:color w:val="000000"/>
          <w:sz w:val="32"/>
          <w:szCs w:val="32"/>
        </w:rPr>
        <w:t>25年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6</w:t>
      </w:r>
      <w:r>
        <w:rPr>
          <w:rFonts w:hint="eastAsia" w:eastAsia="方正仿宋_GBK"/>
          <w:color w:val="000000"/>
          <w:sz w:val="32"/>
          <w:szCs w:val="32"/>
        </w:rPr>
        <w:t>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30</w:t>
      </w:r>
      <w:r>
        <w:rPr>
          <w:rFonts w:hint="eastAsia" w:eastAsia="方正仿宋_GBK"/>
          <w:color w:val="000000"/>
          <w:sz w:val="32"/>
          <w:szCs w:val="32"/>
        </w:rPr>
        <w:t>日止，各参检单位完成网上填报和业务主管单位初审后，报送纸质文本材料的起止时限。超过截止时间网上年检系统将自动关闭，逾期不再受理本次年检，</w:t>
      </w:r>
      <w:r>
        <w:rPr>
          <w:rFonts w:hint="eastAsia" w:eastAsia="方正仿宋_GBK"/>
          <w:color w:val="000000"/>
          <w:kern w:val="32"/>
          <w:sz w:val="32"/>
        </w:rPr>
        <w:t>凡未按规定报送年检材料的参检单位，年检结论将被确定为“未参检”，并列入社会组织异常名录。</w:t>
      </w:r>
    </w:p>
    <w:p>
      <w:pPr>
        <w:overflowPunct w:val="0"/>
        <w:spacing w:line="579" w:lineRule="exact"/>
        <w:ind w:firstLine="640" w:firstLineChars="200"/>
        <w:rPr>
          <w:rFonts w:eastAsia="方正黑体_GBK"/>
          <w:color w:val="000000"/>
          <w:kern w:val="32"/>
          <w:sz w:val="32"/>
          <w:szCs w:val="32"/>
        </w:rPr>
      </w:pPr>
      <w:r>
        <w:rPr>
          <w:rFonts w:eastAsia="方正黑体_GBK"/>
          <w:color w:val="000000"/>
          <w:kern w:val="32"/>
          <w:sz w:val="32"/>
          <w:szCs w:val="32"/>
        </w:rPr>
        <w:t>四、年检应提交的材料</w:t>
      </w:r>
    </w:p>
    <w:p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（一）《</w:t>
      </w:r>
      <w:r>
        <w:rPr>
          <w:rFonts w:hint="eastAsia" w:eastAsia="方正仿宋_GBK"/>
          <w:kern w:val="32"/>
          <w:sz w:val="32"/>
          <w:szCs w:val="32"/>
        </w:rPr>
        <w:t>工作</w:t>
      </w:r>
      <w:r>
        <w:rPr>
          <w:rFonts w:eastAsia="方正仿宋_GBK"/>
          <w:kern w:val="32"/>
          <w:sz w:val="32"/>
          <w:szCs w:val="32"/>
        </w:rPr>
        <w:t>报告书</w:t>
      </w:r>
      <w:r>
        <w:rPr>
          <w:rFonts w:eastAsia="方正仿宋_GBK"/>
          <w:color w:val="000000"/>
          <w:kern w:val="32"/>
          <w:sz w:val="32"/>
          <w:szCs w:val="32"/>
        </w:rPr>
        <w:t>》一式三份（直接登记的单位一式两份）；</w:t>
      </w:r>
    </w:p>
    <w:p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（二）财务审计报告</w:t>
      </w:r>
      <w:r>
        <w:rPr>
          <w:rFonts w:hint="eastAsia" w:eastAsia="方正仿宋_GBK"/>
          <w:color w:val="000000"/>
          <w:kern w:val="32"/>
          <w:sz w:val="32"/>
          <w:szCs w:val="32"/>
        </w:rPr>
        <w:t>原件一份，符合以下条件的参检</w:t>
      </w:r>
      <w:r>
        <w:rPr>
          <w:rFonts w:eastAsia="方正仿宋_GBK"/>
          <w:color w:val="000000"/>
          <w:kern w:val="32"/>
          <w:sz w:val="32"/>
          <w:szCs w:val="32"/>
        </w:rPr>
        <w:t>单位</w:t>
      </w:r>
      <w:r>
        <w:rPr>
          <w:rFonts w:hint="eastAsia" w:eastAsia="方正仿宋_GBK"/>
          <w:color w:val="000000"/>
          <w:kern w:val="32"/>
          <w:sz w:val="32"/>
          <w:szCs w:val="32"/>
        </w:rPr>
        <w:t>须</w:t>
      </w:r>
      <w:r>
        <w:rPr>
          <w:rFonts w:eastAsia="方正仿宋_GBK"/>
          <w:color w:val="000000"/>
          <w:kern w:val="32"/>
          <w:sz w:val="32"/>
          <w:szCs w:val="32"/>
        </w:rPr>
        <w:t>提供有资质的会计师事务所出具的</w:t>
      </w:r>
      <w:r>
        <w:rPr>
          <w:rFonts w:hint="eastAsia" w:eastAsia="方正仿宋_GBK"/>
          <w:color w:val="000000"/>
          <w:kern w:val="32"/>
          <w:sz w:val="32"/>
          <w:szCs w:val="32"/>
        </w:rPr>
        <w:t>相关</w:t>
      </w:r>
      <w:r>
        <w:rPr>
          <w:rFonts w:eastAsia="方正仿宋_GBK"/>
          <w:color w:val="000000"/>
          <w:kern w:val="32"/>
          <w:sz w:val="32"/>
          <w:szCs w:val="32"/>
        </w:rPr>
        <w:t>年度</w:t>
      </w:r>
      <w:r>
        <w:rPr>
          <w:rFonts w:hint="eastAsia" w:eastAsia="方正仿宋_GBK"/>
          <w:color w:val="000000"/>
          <w:kern w:val="32"/>
          <w:sz w:val="32"/>
          <w:szCs w:val="32"/>
        </w:rPr>
        <w:t>财务审计报告</w:t>
      </w:r>
      <w:r>
        <w:rPr>
          <w:rFonts w:eastAsia="方正仿宋_GBK"/>
          <w:color w:val="000000"/>
          <w:kern w:val="32"/>
          <w:sz w:val="32"/>
          <w:szCs w:val="32"/>
        </w:rPr>
        <w:t>：</w:t>
      </w:r>
    </w:p>
    <w:p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1.原登记证书尾号为“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3</w:t>
      </w:r>
      <w:r>
        <w:rPr>
          <w:rFonts w:eastAsia="方正仿宋_GBK"/>
          <w:kern w:val="32"/>
          <w:sz w:val="32"/>
          <w:szCs w:val="32"/>
        </w:rPr>
        <w:t>、8</w:t>
      </w:r>
      <w:r>
        <w:rPr>
          <w:rFonts w:hint="eastAsia" w:eastAsia="方正仿宋_GBK"/>
          <w:kern w:val="32"/>
          <w:sz w:val="32"/>
          <w:szCs w:val="32"/>
        </w:rPr>
        <w:t>”</w:t>
      </w:r>
      <w:r>
        <w:rPr>
          <w:rFonts w:hint="eastAsia" w:eastAsia="方正仿宋_GBK"/>
          <w:color w:val="000000"/>
          <w:kern w:val="32"/>
          <w:sz w:val="32"/>
          <w:szCs w:val="32"/>
        </w:rPr>
        <w:t>的参检单位，须提供2024年度财务审计报告。（其中，获得3A、4A、5A评估等级且在有效期内的参检单位，可免于提交审计报告）。</w:t>
      </w:r>
    </w:p>
    <w:p>
      <w:pPr>
        <w:overflowPunct w:val="0"/>
        <w:spacing w:line="579" w:lineRule="exact"/>
        <w:ind w:firstLine="645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2.</w:t>
      </w:r>
      <w:r>
        <w:rPr>
          <w:rFonts w:eastAsia="方正仿宋_GBK"/>
          <w:color w:val="000000"/>
          <w:kern w:val="32"/>
          <w:sz w:val="32"/>
          <w:szCs w:val="32"/>
        </w:rPr>
        <w:t>20</w:t>
      </w:r>
      <w:r>
        <w:rPr>
          <w:rFonts w:hint="eastAsia" w:eastAsia="方正仿宋_GBK"/>
          <w:color w:val="000000"/>
          <w:kern w:val="32"/>
          <w:sz w:val="32"/>
          <w:szCs w:val="32"/>
        </w:rPr>
        <w:t>23年度</w:t>
      </w:r>
      <w:r>
        <w:rPr>
          <w:rFonts w:eastAsia="方正仿宋_GBK"/>
          <w:color w:val="000000"/>
          <w:kern w:val="32"/>
          <w:sz w:val="32"/>
          <w:szCs w:val="32"/>
        </w:rPr>
        <w:t>年检结论为</w:t>
      </w:r>
      <w:r>
        <w:rPr>
          <w:rFonts w:hint="eastAsia" w:eastAsia="方正仿宋_GBK"/>
          <w:color w:val="000000"/>
          <w:kern w:val="32"/>
          <w:sz w:val="32"/>
          <w:szCs w:val="32"/>
        </w:rPr>
        <w:t>“基本合格”和“</w:t>
      </w:r>
      <w:r>
        <w:rPr>
          <w:rFonts w:hint="eastAsia" w:eastAsia="方正仿宋_GBK"/>
          <w:kern w:val="32"/>
          <w:sz w:val="32"/>
          <w:szCs w:val="32"/>
        </w:rPr>
        <w:t>不合格”</w:t>
      </w:r>
      <w:r>
        <w:rPr>
          <w:rFonts w:eastAsia="方正仿宋_GBK"/>
          <w:kern w:val="32"/>
          <w:sz w:val="32"/>
          <w:szCs w:val="32"/>
        </w:rPr>
        <w:t>的</w:t>
      </w:r>
      <w:r>
        <w:rPr>
          <w:rFonts w:hint="eastAsia" w:eastAsia="方正仿宋_GBK"/>
          <w:kern w:val="32"/>
          <w:sz w:val="32"/>
          <w:szCs w:val="32"/>
        </w:rPr>
        <w:t>参检</w:t>
      </w:r>
      <w:r>
        <w:rPr>
          <w:rFonts w:eastAsia="方正仿宋_GBK"/>
          <w:kern w:val="32"/>
          <w:sz w:val="32"/>
          <w:szCs w:val="32"/>
        </w:rPr>
        <w:t>单位</w:t>
      </w:r>
      <w:r>
        <w:rPr>
          <w:rFonts w:hint="eastAsia" w:eastAsia="方正仿宋_GBK"/>
          <w:color w:val="000000"/>
          <w:kern w:val="32"/>
          <w:sz w:val="32"/>
          <w:szCs w:val="32"/>
        </w:rPr>
        <w:t>，须提交2024年度财务审计报告。</w:t>
      </w:r>
    </w:p>
    <w:p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3.</w:t>
      </w:r>
      <w:r>
        <w:rPr>
          <w:rFonts w:eastAsia="方正仿宋_GBK"/>
          <w:kern w:val="32"/>
          <w:sz w:val="32"/>
          <w:szCs w:val="32"/>
        </w:rPr>
        <w:t>20</w:t>
      </w:r>
      <w:r>
        <w:rPr>
          <w:rFonts w:hint="eastAsia" w:eastAsia="方正仿宋_GBK"/>
          <w:kern w:val="32"/>
          <w:sz w:val="32"/>
          <w:szCs w:val="32"/>
        </w:rPr>
        <w:t>23年度应参加而</w:t>
      </w:r>
      <w:r>
        <w:rPr>
          <w:rFonts w:eastAsia="方正仿宋_GBK"/>
          <w:kern w:val="32"/>
          <w:sz w:val="32"/>
          <w:szCs w:val="32"/>
        </w:rPr>
        <w:t>未参加年检</w:t>
      </w:r>
      <w:r>
        <w:rPr>
          <w:rFonts w:hint="eastAsia" w:eastAsia="方正仿宋_GBK"/>
          <w:kern w:val="32"/>
          <w:sz w:val="32"/>
          <w:szCs w:val="32"/>
        </w:rPr>
        <w:t>的参检单位须提供2023—2024年度审计报告。</w:t>
      </w:r>
    </w:p>
    <w:p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（</w:t>
      </w:r>
      <w:r>
        <w:rPr>
          <w:rFonts w:hint="eastAsia" w:eastAsia="方正仿宋_GBK"/>
          <w:color w:val="000000"/>
          <w:kern w:val="32"/>
          <w:sz w:val="32"/>
          <w:szCs w:val="32"/>
        </w:rPr>
        <w:t>三</w:t>
      </w:r>
      <w:r>
        <w:rPr>
          <w:rFonts w:eastAsia="方正仿宋_GBK"/>
          <w:color w:val="000000"/>
          <w:kern w:val="32"/>
          <w:sz w:val="32"/>
          <w:szCs w:val="32"/>
        </w:rPr>
        <w:t>）</w:t>
      </w:r>
      <w:r>
        <w:rPr>
          <w:rFonts w:hint="eastAsia" w:eastAsia="方正仿宋_GBK"/>
          <w:color w:val="000000"/>
          <w:kern w:val="32"/>
          <w:sz w:val="32"/>
          <w:szCs w:val="32"/>
        </w:rPr>
        <w:t>登记管理机关要求提交的其他补充说明</w:t>
      </w:r>
      <w:r>
        <w:rPr>
          <w:rFonts w:eastAsia="方正仿宋_GBK"/>
          <w:color w:val="000000"/>
          <w:kern w:val="32"/>
          <w:sz w:val="32"/>
          <w:szCs w:val="32"/>
        </w:rPr>
        <w:t>材料</w:t>
      </w:r>
      <w:r>
        <w:rPr>
          <w:rFonts w:hint="eastAsia" w:eastAsia="方正仿宋_GBK"/>
          <w:color w:val="000000"/>
          <w:kern w:val="32"/>
          <w:sz w:val="32"/>
          <w:szCs w:val="32"/>
        </w:rPr>
        <w:t>等</w:t>
      </w:r>
      <w:r>
        <w:rPr>
          <w:rFonts w:eastAsia="方正仿宋_GBK"/>
          <w:color w:val="000000"/>
          <w:kern w:val="32"/>
          <w:sz w:val="32"/>
          <w:szCs w:val="32"/>
        </w:rPr>
        <w:t>。</w:t>
      </w:r>
    </w:p>
    <w:p>
      <w:pPr>
        <w:tabs>
          <w:tab w:val="left" w:pos="3393"/>
          <w:tab w:val="left" w:pos="9413"/>
        </w:tabs>
        <w:overflowPunct w:val="0"/>
        <w:spacing w:line="579" w:lineRule="exact"/>
        <w:ind w:firstLine="64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填报说明：2023年检结论为“基本合格”、“不合格”</w:t>
      </w:r>
      <w:r>
        <w:rPr>
          <w:rFonts w:hint="eastAsia" w:eastAsia="方正仿宋_GBK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方正仿宋_GBK"/>
          <w:color w:val="000000"/>
          <w:kern w:val="32"/>
          <w:sz w:val="32"/>
          <w:szCs w:val="32"/>
        </w:rPr>
        <w:t>须在《工作报告书》中对整改落实情况作专项说明。</w:t>
      </w:r>
    </w:p>
    <w:p>
      <w:pPr>
        <w:overflowPunct w:val="0"/>
        <w:spacing w:line="579" w:lineRule="exact"/>
        <w:ind w:firstLine="640" w:firstLineChars="200"/>
        <w:rPr>
          <w:rFonts w:eastAsia="方正黑体_GBK"/>
          <w:color w:val="000000"/>
          <w:kern w:val="32"/>
          <w:sz w:val="32"/>
          <w:szCs w:val="32"/>
        </w:rPr>
      </w:pPr>
      <w:r>
        <w:rPr>
          <w:rFonts w:eastAsia="方正黑体_GBK"/>
          <w:color w:val="000000"/>
          <w:kern w:val="32"/>
          <w:sz w:val="32"/>
          <w:szCs w:val="32"/>
        </w:rPr>
        <w:t>五、年检方式和程序</w:t>
      </w:r>
    </w:p>
    <w:p>
      <w:pPr>
        <w:overflowPunct w:val="0"/>
        <w:spacing w:line="579" w:lineRule="exact"/>
        <w:ind w:firstLine="640" w:firstLineChars="200"/>
        <w:rPr>
          <w:rFonts w:eastAsia="方正楷体_GBK"/>
          <w:color w:val="000000"/>
          <w:kern w:val="32"/>
          <w:sz w:val="32"/>
          <w:szCs w:val="32"/>
        </w:rPr>
      </w:pPr>
      <w:r>
        <w:rPr>
          <w:rFonts w:eastAsia="方正楷体_GBK"/>
          <w:color w:val="000000"/>
          <w:kern w:val="32"/>
          <w:sz w:val="32"/>
          <w:szCs w:val="32"/>
        </w:rPr>
        <w:t>（一）年检方式</w:t>
      </w:r>
    </w:p>
    <w:p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本次年检采取网上填报</w:t>
      </w:r>
      <w:r>
        <w:rPr>
          <w:rFonts w:hint="eastAsia" w:eastAsia="方正仿宋_GBK"/>
          <w:color w:val="000000"/>
          <w:kern w:val="32"/>
          <w:sz w:val="32"/>
          <w:szCs w:val="32"/>
        </w:rPr>
        <w:t>—</w:t>
      </w:r>
      <w:r>
        <w:rPr>
          <w:rFonts w:eastAsia="方正仿宋_GBK"/>
          <w:color w:val="000000"/>
          <w:kern w:val="32"/>
          <w:sz w:val="32"/>
          <w:szCs w:val="32"/>
        </w:rPr>
        <w:t>打印《</w:t>
      </w:r>
      <w:r>
        <w:rPr>
          <w:rFonts w:hint="eastAsia" w:eastAsia="方正仿宋_GBK"/>
          <w:color w:val="000000"/>
          <w:kern w:val="32"/>
          <w:sz w:val="32"/>
          <w:szCs w:val="32"/>
        </w:rPr>
        <w:t>工作</w:t>
      </w:r>
      <w:r>
        <w:rPr>
          <w:rFonts w:eastAsia="方正仿宋_GBK"/>
          <w:color w:val="000000"/>
          <w:kern w:val="32"/>
          <w:sz w:val="32"/>
          <w:szCs w:val="32"/>
        </w:rPr>
        <w:t>报告书》</w:t>
      </w:r>
      <w:r>
        <w:rPr>
          <w:rFonts w:hint="eastAsia" w:eastAsia="方正仿宋_GBK"/>
          <w:color w:val="000000"/>
          <w:kern w:val="32"/>
          <w:sz w:val="32"/>
          <w:szCs w:val="32"/>
        </w:rPr>
        <w:t>—</w:t>
      </w:r>
      <w:r>
        <w:rPr>
          <w:rFonts w:eastAsia="方正仿宋_GBK"/>
          <w:color w:val="000000"/>
          <w:kern w:val="32"/>
          <w:sz w:val="32"/>
          <w:szCs w:val="32"/>
        </w:rPr>
        <w:t>业务主管单位审查</w:t>
      </w:r>
      <w:r>
        <w:rPr>
          <w:rFonts w:hint="eastAsia" w:eastAsia="方正仿宋_GBK"/>
          <w:color w:val="000000"/>
          <w:kern w:val="32"/>
          <w:sz w:val="32"/>
          <w:szCs w:val="32"/>
        </w:rPr>
        <w:t>—</w:t>
      </w:r>
      <w:r>
        <w:rPr>
          <w:rFonts w:eastAsia="方正仿宋_GBK"/>
          <w:color w:val="000000"/>
          <w:kern w:val="32"/>
          <w:sz w:val="32"/>
          <w:szCs w:val="32"/>
        </w:rPr>
        <w:t>登记管理机关审核</w:t>
      </w:r>
      <w:r>
        <w:rPr>
          <w:rFonts w:hint="eastAsia" w:eastAsia="方正仿宋_GBK"/>
          <w:color w:val="000000"/>
          <w:kern w:val="32"/>
          <w:sz w:val="32"/>
          <w:szCs w:val="32"/>
        </w:rPr>
        <w:t>、公示、</w:t>
      </w:r>
      <w:r>
        <w:rPr>
          <w:rFonts w:eastAsia="方正仿宋_GBK"/>
          <w:color w:val="000000"/>
          <w:kern w:val="32"/>
          <w:sz w:val="32"/>
          <w:szCs w:val="32"/>
        </w:rPr>
        <w:t>办结</w:t>
      </w:r>
      <w:r>
        <w:rPr>
          <w:rFonts w:hint="eastAsia" w:eastAsia="方正仿宋_GBK"/>
          <w:color w:val="000000"/>
          <w:kern w:val="32"/>
          <w:sz w:val="32"/>
          <w:szCs w:val="32"/>
        </w:rPr>
        <w:t>、公告</w:t>
      </w:r>
      <w:r>
        <w:rPr>
          <w:rFonts w:eastAsia="方正仿宋_GBK"/>
          <w:color w:val="000000"/>
          <w:kern w:val="32"/>
          <w:sz w:val="32"/>
          <w:szCs w:val="32"/>
        </w:rPr>
        <w:t>等方式进行。</w:t>
      </w:r>
      <w:r>
        <w:rPr>
          <w:rFonts w:hint="eastAsia" w:eastAsia="方正仿宋_GBK"/>
          <w:b/>
          <w:bCs/>
          <w:color w:val="000000"/>
          <w:kern w:val="32"/>
          <w:sz w:val="32"/>
          <w:szCs w:val="32"/>
        </w:rPr>
        <w:t>再次提醒</w:t>
      </w:r>
      <w:r>
        <w:rPr>
          <w:rFonts w:hint="eastAsia" w:eastAsia="方正仿宋_GBK"/>
          <w:color w:val="000000"/>
          <w:kern w:val="32"/>
          <w:sz w:val="32"/>
          <w:szCs w:val="32"/>
        </w:rPr>
        <w:t>：本次年检</w:t>
      </w:r>
      <w:r>
        <w:rPr>
          <w:rFonts w:hint="eastAsia" w:eastAsia="方正仿宋_GBK"/>
          <w:b/>
          <w:bCs/>
          <w:color w:val="000000"/>
          <w:kern w:val="32"/>
          <w:sz w:val="32"/>
          <w:szCs w:val="32"/>
        </w:rPr>
        <w:t>取消网上初审环节，参检单位提交后将自动生成</w:t>
      </w:r>
      <w:r>
        <w:rPr>
          <w:rFonts w:hint="eastAsia" w:eastAsia="方正仿宋_GBK"/>
          <w:color w:val="000000"/>
          <w:kern w:val="32"/>
          <w:sz w:val="32"/>
          <w:szCs w:val="32"/>
        </w:rPr>
        <w:t>PDF，一次提交视为最终填报，不可再次修改。（提交前可多次填写、修改并保存，</w:t>
      </w:r>
      <w:r>
        <w:rPr>
          <w:rFonts w:eastAsia="方正仿宋_GBK"/>
          <w:color w:val="000000"/>
          <w:kern w:val="32"/>
          <w:sz w:val="32"/>
          <w:szCs w:val="32"/>
        </w:rPr>
        <w:t>但每次退出时须点击</w:t>
      </w:r>
      <w:r>
        <w:rPr>
          <w:rFonts w:hint="eastAsia" w:eastAsia="方正仿宋_GBK"/>
          <w:color w:val="000000"/>
          <w:kern w:val="32"/>
          <w:sz w:val="32"/>
          <w:szCs w:val="32"/>
        </w:rPr>
        <w:t>“</w:t>
      </w:r>
      <w:r>
        <w:rPr>
          <w:rFonts w:eastAsia="方正仿宋_GBK"/>
          <w:color w:val="000000"/>
          <w:kern w:val="32"/>
          <w:sz w:val="32"/>
          <w:szCs w:val="32"/>
        </w:rPr>
        <w:t>保存</w:t>
      </w:r>
      <w:r>
        <w:rPr>
          <w:rFonts w:hint="eastAsia" w:eastAsia="方正仿宋_GBK"/>
          <w:color w:val="000000"/>
          <w:kern w:val="32"/>
          <w:sz w:val="32"/>
          <w:szCs w:val="32"/>
        </w:rPr>
        <w:t>”</w:t>
      </w:r>
      <w:r>
        <w:rPr>
          <w:rFonts w:eastAsia="方正仿宋_GBK"/>
          <w:color w:val="000000"/>
          <w:kern w:val="32"/>
          <w:sz w:val="32"/>
          <w:szCs w:val="32"/>
        </w:rPr>
        <w:t>按钮，避免已填写数据丢失</w:t>
      </w:r>
      <w:r>
        <w:rPr>
          <w:rFonts w:hint="eastAsia" w:eastAsia="方正仿宋_GBK"/>
          <w:color w:val="000000"/>
          <w:kern w:val="32"/>
          <w:sz w:val="32"/>
          <w:szCs w:val="32"/>
        </w:rPr>
        <w:t>，提交后不可再进行修改）</w:t>
      </w:r>
    </w:p>
    <w:p>
      <w:pPr>
        <w:overflowPunct w:val="0"/>
        <w:spacing w:line="579" w:lineRule="exact"/>
        <w:ind w:firstLine="640" w:firstLineChars="200"/>
        <w:rPr>
          <w:rFonts w:eastAsia="方正楷体_GBK"/>
          <w:color w:val="000000"/>
          <w:kern w:val="32"/>
          <w:sz w:val="32"/>
          <w:szCs w:val="32"/>
        </w:rPr>
      </w:pPr>
      <w:r>
        <w:rPr>
          <w:rFonts w:eastAsia="方正楷体_GBK"/>
          <w:color w:val="000000"/>
          <w:kern w:val="32"/>
          <w:sz w:val="32"/>
          <w:szCs w:val="32"/>
        </w:rPr>
        <w:t>（二）年检程序</w:t>
      </w:r>
    </w:p>
    <w:p>
      <w:pPr>
        <w:overflowPunct w:val="0"/>
        <w:spacing w:line="579" w:lineRule="exact"/>
        <w:ind w:firstLine="64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1.网上填报信息。</w:t>
      </w:r>
    </w:p>
    <w:p>
      <w:pPr>
        <w:pStyle w:val="2"/>
        <w:ind w:firstLine="640"/>
        <w:rPr>
          <w:rFonts w:hint="eastAsia" w:eastAsia="方正仿宋_GBK"/>
          <w:color w:val="000000"/>
          <w:kern w:val="32"/>
          <w:sz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参检单位登录“重庆市民政局”官网（</w:t>
      </w:r>
      <w:r>
        <w:rPr>
          <w:rFonts w:hint="eastAsia" w:eastAsia="方正仿宋_GBK"/>
          <w:kern w:val="32"/>
          <w:sz w:val="32"/>
          <w:szCs w:val="32"/>
        </w:rPr>
        <w:t>网址：http:// mzj.cq.gov.cn）→在首页中部“我要办”中点击“社会组织年检年报”</w:t>
      </w:r>
      <w:bookmarkStart w:id="0" w:name="OLE_LINK1"/>
      <w:r>
        <w:rPr>
          <w:rFonts w:hint="eastAsia" w:eastAsia="方正仿宋_GBK"/>
          <w:kern w:val="32"/>
          <w:sz w:val="32"/>
          <w:szCs w:val="32"/>
        </w:rPr>
        <w:t>→</w:t>
      </w:r>
      <w:bookmarkEnd w:id="0"/>
      <w:r>
        <w:rPr>
          <w:rFonts w:hint="eastAsia" w:eastAsia="方正仿宋_GBK"/>
          <w:kern w:val="32"/>
          <w:sz w:val="32"/>
          <w:szCs w:val="32"/>
        </w:rPr>
        <w:t>点击“民办非企业年检”→进入“重庆市网上办事大厅登录页面”（未注册账号的参检单位，按照网页提示要求注册账号）→登录后自动跳转至“重庆民政综合业务管理平台”。进入“重庆民政综合业务管理平台”后，选择左侧“年检信息”并选定对应的年检任务，点击“填写年检信息”，进行年检报告书填写。</w:t>
      </w:r>
    </w:p>
    <w:p>
      <w:pPr>
        <w:overflowPunct w:val="0"/>
        <w:spacing w:line="579" w:lineRule="exact"/>
        <w:ind w:firstLine="640"/>
        <w:rPr>
          <w:rFonts w:hint="eastAsia" w:eastAsia="方正仿宋_GBK"/>
          <w:kern w:val="32"/>
          <w:sz w:val="32"/>
          <w:szCs w:val="32"/>
        </w:rPr>
      </w:pPr>
      <w:r>
        <w:rPr>
          <w:rFonts w:hint="eastAsia" w:eastAsia="方正仿宋_GBK"/>
          <w:kern w:val="32"/>
          <w:sz w:val="32"/>
          <w:szCs w:val="32"/>
        </w:rPr>
        <w:t>2.打印《工作报告书》。</w:t>
      </w:r>
    </w:p>
    <w:p>
      <w:pPr>
        <w:overflowPunct w:val="0"/>
        <w:spacing w:line="579" w:lineRule="exact"/>
        <w:ind w:firstLine="640" w:firstLineChars="200"/>
        <w:rPr>
          <w:rFonts w:hint="eastAsia"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参检单位完成网上填报并提交数据后，将《工作报告书》双面打印成A4大小纸质文本，并经法定代表人签字、财务负责人签字、参检单位加盖印章。</w:t>
      </w:r>
    </w:p>
    <w:p>
      <w:pPr>
        <w:overflowPunct w:val="0"/>
        <w:spacing w:line="579" w:lineRule="exact"/>
        <w:ind w:firstLine="64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3.业务主管单位进行年检初审。</w:t>
      </w:r>
    </w:p>
    <w:p>
      <w:pPr>
        <w:overflowPunct w:val="0"/>
        <w:spacing w:line="579" w:lineRule="exact"/>
        <w:ind w:firstLine="64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参检单位应备齐《工作报告书》等年检相关材料，及时报送业务主管单位进行年检初审，经签署审查意见和加盖印章后，完成年检初审。直接登记的参检单位无业务主管单位初审环节。</w:t>
      </w:r>
    </w:p>
    <w:p>
      <w:pPr>
        <w:overflowPunct w:val="0"/>
        <w:spacing w:line="579" w:lineRule="exact"/>
        <w:ind w:firstLine="64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4.登记管理机关审核办结年检。</w:t>
      </w:r>
    </w:p>
    <w:p>
      <w:pPr>
        <w:overflowPunct w:val="0"/>
        <w:spacing w:line="579" w:lineRule="exact"/>
        <w:ind w:firstLine="64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参检单位持相关有效证书材料，报送登记管理机关；待登记管理机关审核并对拟作出的年检结论公示后，参检单位可持《民办非企业登记证书》（副本）前往登记管理机关领取《工作报告书》，办结本次年检。</w:t>
      </w:r>
    </w:p>
    <w:p>
      <w:pPr>
        <w:overflowPunct w:val="0"/>
        <w:spacing w:line="579" w:lineRule="exact"/>
        <w:ind w:firstLine="640" w:firstLineChars="200"/>
        <w:rPr>
          <w:rFonts w:eastAsia="方正黑体_GBK"/>
          <w:color w:val="000000"/>
          <w:kern w:val="32"/>
          <w:sz w:val="32"/>
          <w:szCs w:val="32"/>
        </w:rPr>
      </w:pPr>
      <w:r>
        <w:rPr>
          <w:rFonts w:hint="eastAsia" w:eastAsia="方正黑体_GBK"/>
          <w:color w:val="000000"/>
          <w:kern w:val="32"/>
          <w:sz w:val="32"/>
          <w:szCs w:val="32"/>
        </w:rPr>
        <w:t>六</w:t>
      </w:r>
      <w:r>
        <w:rPr>
          <w:rFonts w:eastAsia="方正黑体_GBK"/>
          <w:color w:val="000000"/>
          <w:kern w:val="32"/>
          <w:sz w:val="32"/>
          <w:szCs w:val="32"/>
        </w:rPr>
        <w:t>、年检</w:t>
      </w:r>
      <w:r>
        <w:rPr>
          <w:rFonts w:hint="eastAsia" w:eastAsia="方正黑体_GBK"/>
          <w:color w:val="000000"/>
          <w:kern w:val="32"/>
          <w:sz w:val="32"/>
          <w:szCs w:val="32"/>
        </w:rPr>
        <w:t>结论</w:t>
      </w:r>
    </w:p>
    <w:p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</w:rPr>
      </w:pPr>
      <w:r>
        <w:rPr>
          <w:rFonts w:hint="eastAsia" w:eastAsia="方正仿宋_GBK"/>
          <w:color w:val="000000"/>
          <w:kern w:val="32"/>
          <w:sz w:val="32"/>
        </w:rPr>
        <w:t>年检结论分为“合格”“基本合格”“不合格”“未参检”。</w:t>
      </w:r>
      <w:r>
        <w:rPr>
          <w:rFonts w:eastAsia="方正仿宋_GBK"/>
          <w:color w:val="000000"/>
          <w:kern w:val="32"/>
          <w:sz w:val="32"/>
        </w:rPr>
        <w:t>为提升公众对民办非企业单位监督的透明度，登记</w:t>
      </w:r>
      <w:r>
        <w:rPr>
          <w:rFonts w:hint="eastAsia" w:eastAsia="方正仿宋_GBK"/>
          <w:color w:val="000000"/>
          <w:kern w:val="32"/>
          <w:sz w:val="32"/>
        </w:rPr>
        <w:t>管理</w:t>
      </w:r>
      <w:r>
        <w:rPr>
          <w:rFonts w:eastAsia="方正仿宋_GBK"/>
          <w:color w:val="000000"/>
          <w:kern w:val="32"/>
          <w:sz w:val="32"/>
        </w:rPr>
        <w:t>机关将分批</w:t>
      </w:r>
      <w:r>
        <w:rPr>
          <w:rFonts w:hint="eastAsia" w:eastAsia="方正仿宋_GBK"/>
          <w:color w:val="000000"/>
          <w:kern w:val="32"/>
          <w:sz w:val="32"/>
        </w:rPr>
        <w:t>拟定年检结论公示、</w:t>
      </w:r>
      <w:r>
        <w:rPr>
          <w:rFonts w:eastAsia="方正仿宋_GBK"/>
          <w:color w:val="000000"/>
          <w:kern w:val="32"/>
          <w:sz w:val="32"/>
        </w:rPr>
        <w:t>公告年检结论。</w:t>
      </w:r>
    </w:p>
    <w:p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对年检结论为“基本合格”“不合格”的参检单位，将进行为期3个月的整改，整改后向登记管理机关报送整改报告，登记管理机关对整改结果进行评定并出具意见。对未按期完成整改或“未参检”</w:t>
      </w:r>
      <w:r>
        <w:rPr>
          <w:rFonts w:eastAsia="方正仿宋_GBK"/>
          <w:color w:val="000000"/>
          <w:kern w:val="32"/>
          <w:sz w:val="32"/>
          <w:szCs w:val="32"/>
        </w:rPr>
        <w:t>的</w:t>
      </w:r>
      <w:r>
        <w:rPr>
          <w:rFonts w:hint="eastAsia" w:eastAsia="方正仿宋_GBK"/>
          <w:color w:val="000000"/>
          <w:kern w:val="32"/>
          <w:sz w:val="32"/>
          <w:szCs w:val="32"/>
        </w:rPr>
        <w:t>参检</w:t>
      </w:r>
      <w:r>
        <w:rPr>
          <w:rFonts w:eastAsia="方正仿宋_GBK"/>
          <w:color w:val="000000"/>
          <w:kern w:val="32"/>
          <w:sz w:val="32"/>
          <w:szCs w:val="32"/>
        </w:rPr>
        <w:t>单位</w:t>
      </w:r>
      <w:r>
        <w:rPr>
          <w:rFonts w:hint="eastAsia" w:eastAsia="方正仿宋_GBK"/>
          <w:color w:val="000000"/>
          <w:kern w:val="32"/>
          <w:sz w:val="32"/>
          <w:szCs w:val="32"/>
        </w:rPr>
        <w:t>将依据《社会组织信用信息管理办法》规定列入活动异常名录。</w:t>
      </w:r>
    </w:p>
    <w:p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（一）</w:t>
      </w:r>
      <w:r>
        <w:rPr>
          <w:rFonts w:hint="eastAsia" w:eastAsia="方正仿宋_GBK"/>
          <w:color w:val="000000"/>
          <w:kern w:val="32"/>
          <w:sz w:val="32"/>
          <w:szCs w:val="32"/>
        </w:rPr>
        <w:t>参检</w:t>
      </w:r>
      <w:r>
        <w:rPr>
          <w:rFonts w:eastAsia="方正仿宋_GBK"/>
          <w:color w:val="000000"/>
          <w:kern w:val="32"/>
          <w:sz w:val="32"/>
          <w:szCs w:val="32"/>
        </w:rPr>
        <w:t>单位内部管理规范，严格按照章程进行内部治理和开展活动，未发现存在违反民办非企业单位登记管理有关法规政策规定的行为，年检结论确定为</w:t>
      </w:r>
      <w:r>
        <w:rPr>
          <w:rFonts w:hint="eastAsia" w:eastAsia="方正仿宋_GBK"/>
          <w:color w:val="000000"/>
          <w:kern w:val="32"/>
          <w:sz w:val="32"/>
          <w:szCs w:val="32"/>
        </w:rPr>
        <w:t>“</w:t>
      </w:r>
      <w:r>
        <w:rPr>
          <w:rFonts w:eastAsia="方正仿宋_GBK"/>
          <w:color w:val="000000"/>
          <w:kern w:val="32"/>
          <w:sz w:val="32"/>
          <w:szCs w:val="32"/>
        </w:rPr>
        <w:t>合格</w:t>
      </w:r>
      <w:r>
        <w:rPr>
          <w:rFonts w:hint="eastAsia" w:eastAsia="方正仿宋_GBK"/>
          <w:color w:val="000000"/>
          <w:kern w:val="32"/>
          <w:sz w:val="32"/>
          <w:szCs w:val="32"/>
        </w:rPr>
        <w:t>”</w:t>
      </w:r>
      <w:r>
        <w:rPr>
          <w:rFonts w:eastAsia="方正仿宋_GBK"/>
          <w:color w:val="000000"/>
          <w:kern w:val="32"/>
          <w:sz w:val="32"/>
          <w:szCs w:val="32"/>
        </w:rPr>
        <w:t>。</w:t>
      </w:r>
    </w:p>
    <w:p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（二）发现</w:t>
      </w:r>
      <w:r>
        <w:rPr>
          <w:rFonts w:hint="eastAsia" w:eastAsia="方正仿宋_GBK"/>
          <w:color w:val="000000"/>
          <w:kern w:val="32"/>
          <w:sz w:val="32"/>
          <w:szCs w:val="32"/>
        </w:rPr>
        <w:t>参检</w:t>
      </w:r>
      <w:r>
        <w:rPr>
          <w:rFonts w:eastAsia="方正仿宋_GBK"/>
          <w:color w:val="000000"/>
          <w:kern w:val="32"/>
          <w:sz w:val="32"/>
          <w:szCs w:val="32"/>
        </w:rPr>
        <w:t>单位在202</w:t>
      </w:r>
      <w:r>
        <w:rPr>
          <w:rFonts w:hint="eastAsia" w:eastAsia="方正仿宋_GBK"/>
          <w:color w:val="000000"/>
          <w:kern w:val="32"/>
          <w:sz w:val="32"/>
          <w:szCs w:val="32"/>
        </w:rPr>
        <w:t>4</w:t>
      </w:r>
      <w:r>
        <w:rPr>
          <w:rFonts w:eastAsia="方正仿宋_GBK"/>
          <w:color w:val="000000"/>
          <w:kern w:val="32"/>
          <w:sz w:val="32"/>
          <w:szCs w:val="32"/>
        </w:rPr>
        <w:t>年度存在下列情形，情节较轻的，年检结论确定为</w:t>
      </w:r>
      <w:r>
        <w:rPr>
          <w:rFonts w:hint="eastAsia" w:eastAsia="方正仿宋_GBK"/>
          <w:color w:val="000000"/>
          <w:kern w:val="32"/>
          <w:sz w:val="32"/>
          <w:szCs w:val="32"/>
        </w:rPr>
        <w:t>“</w:t>
      </w:r>
      <w:r>
        <w:rPr>
          <w:rFonts w:eastAsia="方正仿宋_GBK"/>
          <w:color w:val="000000"/>
          <w:kern w:val="32"/>
          <w:sz w:val="32"/>
          <w:szCs w:val="32"/>
        </w:rPr>
        <w:t>基本合格</w:t>
      </w:r>
      <w:r>
        <w:rPr>
          <w:rFonts w:hint="eastAsia" w:eastAsia="方正仿宋_GBK"/>
          <w:color w:val="000000"/>
          <w:kern w:val="32"/>
          <w:sz w:val="32"/>
          <w:szCs w:val="32"/>
        </w:rPr>
        <w:t>”</w:t>
      </w:r>
      <w:r>
        <w:rPr>
          <w:rFonts w:eastAsia="方正仿宋_GBK"/>
          <w:color w:val="000000"/>
          <w:kern w:val="32"/>
          <w:sz w:val="32"/>
          <w:szCs w:val="32"/>
        </w:rPr>
        <w:t>；情节严重、影响恶劣的，年检结论确定为</w:t>
      </w:r>
      <w:r>
        <w:rPr>
          <w:rFonts w:hint="eastAsia" w:eastAsia="方正仿宋_GBK"/>
          <w:color w:val="000000"/>
          <w:kern w:val="32"/>
          <w:sz w:val="32"/>
          <w:szCs w:val="32"/>
        </w:rPr>
        <w:t>“</w:t>
      </w:r>
      <w:r>
        <w:rPr>
          <w:rFonts w:eastAsia="方正仿宋_GBK"/>
          <w:color w:val="000000"/>
          <w:kern w:val="32"/>
          <w:sz w:val="32"/>
          <w:szCs w:val="32"/>
        </w:rPr>
        <w:t>不合格</w:t>
      </w:r>
      <w:r>
        <w:rPr>
          <w:rFonts w:hint="eastAsia" w:eastAsia="方正仿宋_GBK"/>
          <w:color w:val="000000"/>
          <w:kern w:val="32"/>
          <w:sz w:val="32"/>
          <w:szCs w:val="32"/>
        </w:rPr>
        <w:t>”</w:t>
      </w:r>
      <w:r>
        <w:rPr>
          <w:rFonts w:eastAsia="方正仿宋_GBK"/>
          <w:color w:val="000000"/>
          <w:kern w:val="32"/>
          <w:sz w:val="32"/>
          <w:szCs w:val="32"/>
        </w:rPr>
        <w:t>：</w:t>
      </w:r>
    </w:p>
    <w:p>
      <w:pPr>
        <w:overflowPunct w:val="0"/>
        <w:spacing w:line="579" w:lineRule="exact"/>
        <w:ind w:firstLine="640" w:firstLineChars="200"/>
        <w:rPr>
          <w:rFonts w:hint="eastAsia"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1.应建未建党组织的；</w:t>
      </w:r>
    </w:p>
    <w:p>
      <w:pPr>
        <w:overflowPunct w:val="0"/>
        <w:spacing w:line="579" w:lineRule="exact"/>
        <w:ind w:left="319" w:leftChars="152" w:firstLine="320" w:firstLineChars="100"/>
        <w:rPr>
          <w:rFonts w:hint="eastAsia"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2.未按要求将党的建设和社会主义核心价值观写入章程的；</w:t>
      </w:r>
    </w:p>
    <w:p>
      <w:pPr>
        <w:overflowPunct w:val="0"/>
        <w:spacing w:line="579" w:lineRule="exact"/>
        <w:ind w:left="319" w:leftChars="152" w:firstLine="320" w:firstLineChars="100"/>
        <w:rPr>
          <w:rFonts w:hint="eastAsia"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3.不具备法律规定民办非企业单位法人基本条件的，包括没有与其业务活动相适应的从业人员、年末净资产为负数等情形；</w:t>
      </w:r>
    </w:p>
    <w:p>
      <w:pPr>
        <w:overflowPunct w:val="0"/>
        <w:spacing w:line="579" w:lineRule="exact"/>
        <w:ind w:left="319" w:leftChars="152" w:firstLine="320" w:firstLineChars="100"/>
        <w:rPr>
          <w:rFonts w:hint="eastAsia"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4.未遵守非营利活动准则，从事营利性经营活动的；</w:t>
      </w:r>
    </w:p>
    <w:p>
      <w:pPr>
        <w:overflowPunct w:val="0"/>
        <w:spacing w:line="579" w:lineRule="exact"/>
        <w:ind w:left="319" w:leftChars="152" w:firstLine="320" w:firstLineChars="100"/>
        <w:rPr>
          <w:rFonts w:hint="eastAsia"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5.违反规定使用登记证书、印章或者财务凭证的；</w:t>
      </w:r>
    </w:p>
    <w:p>
      <w:pPr>
        <w:overflowPunct w:val="0"/>
        <w:spacing w:line="579" w:lineRule="exact"/>
        <w:ind w:left="319" w:leftChars="152" w:firstLine="320" w:firstLineChars="100"/>
        <w:rPr>
          <w:rFonts w:hint="eastAsia"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6.未开展业务活动的；</w:t>
      </w:r>
    </w:p>
    <w:p>
      <w:pPr>
        <w:overflowPunct w:val="0"/>
        <w:spacing w:line="579" w:lineRule="exact"/>
        <w:ind w:left="319" w:leftChars="152" w:firstLine="320" w:firstLineChars="100"/>
        <w:rPr>
          <w:rFonts w:hint="eastAsia"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7.不按照章程规定进行活动的，包括超出章程规定的宗旨和业务范围开展活动、未按照章程规定召开理事会或未按期进行理事、监事换届；</w:t>
      </w:r>
    </w:p>
    <w:p>
      <w:pPr>
        <w:overflowPunct w:val="0"/>
        <w:spacing w:line="579" w:lineRule="exact"/>
        <w:ind w:left="319" w:leftChars="152" w:firstLine="320" w:firstLineChars="100"/>
        <w:rPr>
          <w:rFonts w:hint="eastAsia"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8.无固定住所或必要活动场所的；</w:t>
      </w:r>
    </w:p>
    <w:p>
      <w:pPr>
        <w:overflowPunct w:val="0"/>
        <w:spacing w:line="579" w:lineRule="exact"/>
        <w:ind w:left="319" w:leftChars="152" w:firstLine="320" w:firstLineChars="100"/>
        <w:rPr>
          <w:rFonts w:hint="eastAsia"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9.内部管理混乱，不能正常开展活动的；</w:t>
      </w:r>
    </w:p>
    <w:p>
      <w:pPr>
        <w:overflowPunct w:val="0"/>
        <w:spacing w:line="579" w:lineRule="exact"/>
        <w:ind w:left="319" w:leftChars="152" w:firstLine="320" w:firstLineChars="100"/>
        <w:rPr>
          <w:rFonts w:hint="eastAsia"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10.拒不接受或者不按照规定接受登记管理机关监督检查或年检的；</w:t>
      </w:r>
    </w:p>
    <w:p>
      <w:pPr>
        <w:overflowPunct w:val="0"/>
        <w:spacing w:line="579" w:lineRule="exact"/>
        <w:ind w:left="319" w:leftChars="152" w:firstLine="320" w:firstLineChars="100"/>
        <w:rPr>
          <w:rFonts w:hint="eastAsia"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11.不按照规定办理变更登记，修改章程未按规定核准备案的；</w:t>
      </w:r>
    </w:p>
    <w:p>
      <w:pPr>
        <w:overflowPunct w:val="0"/>
        <w:spacing w:line="579" w:lineRule="exact"/>
        <w:ind w:left="319" w:leftChars="152" w:firstLine="320" w:firstLineChars="100"/>
        <w:rPr>
          <w:rFonts w:hint="eastAsia"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12.设立分支机构的；</w:t>
      </w:r>
    </w:p>
    <w:p>
      <w:pPr>
        <w:overflowPunct w:val="0"/>
        <w:spacing w:line="579" w:lineRule="exact"/>
        <w:ind w:left="319" w:leftChars="152" w:firstLine="320" w:firstLineChars="100"/>
        <w:rPr>
          <w:rFonts w:hint="eastAsia"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13.财务制度不健全，资金来源和使用违反有关规定的；</w:t>
      </w:r>
    </w:p>
    <w:p>
      <w:pPr>
        <w:overflowPunct w:val="0"/>
        <w:spacing w:line="579" w:lineRule="exact"/>
        <w:ind w:left="319" w:leftChars="152" w:firstLine="320" w:firstLineChars="100"/>
        <w:rPr>
          <w:rFonts w:hint="eastAsia"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14.净资产低于国家有关行业主管部门规定的最低标准的；</w:t>
      </w:r>
    </w:p>
    <w:p>
      <w:pPr>
        <w:overflowPunct w:val="0"/>
        <w:spacing w:line="579" w:lineRule="exact"/>
        <w:ind w:left="319" w:leftChars="152" w:firstLine="320" w:firstLineChars="100"/>
        <w:rPr>
          <w:rFonts w:hint="eastAsia"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15.侵占、私分、挪用民办非企业单位的资产或者所接受的捐赠、资助的；</w:t>
      </w:r>
    </w:p>
    <w:p>
      <w:pPr>
        <w:overflowPunct w:val="0"/>
        <w:spacing w:line="579" w:lineRule="exact"/>
        <w:ind w:left="319" w:leftChars="152" w:firstLine="320" w:firstLineChars="100"/>
        <w:rPr>
          <w:rFonts w:hint="eastAsia"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16.违反国家有关规定收取费用、筹集资金或者接受使用捐赠、资助的；</w:t>
      </w:r>
    </w:p>
    <w:p>
      <w:pPr>
        <w:overflowPunct w:val="0"/>
        <w:spacing w:line="579" w:lineRule="exact"/>
        <w:ind w:left="319" w:leftChars="152" w:firstLine="320" w:firstLineChars="100"/>
        <w:rPr>
          <w:rFonts w:hint="eastAsia"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17.年检中隐瞒真实情况，弄虚作假的；</w:t>
      </w:r>
    </w:p>
    <w:p>
      <w:pPr>
        <w:overflowPunct w:val="0"/>
        <w:spacing w:line="579" w:lineRule="exact"/>
        <w:ind w:left="319" w:leftChars="152" w:firstLine="320" w:firstLineChars="100"/>
        <w:rPr>
          <w:rFonts w:hint="eastAsia"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18.未按时报送符合要求的年检材料，或者未按照登记管理机关要求对问题进行整改的；</w:t>
      </w:r>
    </w:p>
    <w:p>
      <w:pPr>
        <w:overflowPunct w:val="0"/>
        <w:spacing w:line="579" w:lineRule="exact"/>
        <w:ind w:left="319" w:leftChars="152" w:firstLine="320" w:firstLineChars="100"/>
        <w:rPr>
          <w:rFonts w:hint="eastAsia"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19.负责人未经登记管理机关批准超龄、超届任职的，或者未按照规定办理负责人备案的；</w:t>
      </w:r>
    </w:p>
    <w:p>
      <w:pPr>
        <w:overflowPunct w:val="0"/>
        <w:spacing w:line="579" w:lineRule="exact"/>
        <w:ind w:left="319" w:leftChars="152" w:firstLine="320" w:firstLineChars="100"/>
        <w:rPr>
          <w:rFonts w:eastAsia="方正仿宋_GBK"/>
          <w:kern w:val="32"/>
          <w:sz w:val="32"/>
          <w:szCs w:val="32"/>
        </w:rPr>
      </w:pPr>
      <w:r>
        <w:rPr>
          <w:rFonts w:hint="eastAsia" w:eastAsia="方正仿宋_GBK"/>
          <w:kern w:val="32"/>
          <w:sz w:val="32"/>
          <w:szCs w:val="32"/>
        </w:rPr>
        <w:t>20.业务主管单位年检初审意见为基本合格或不合格的；</w:t>
      </w:r>
    </w:p>
    <w:p>
      <w:pPr>
        <w:overflowPunct w:val="0"/>
        <w:spacing w:line="579" w:lineRule="exact"/>
        <w:ind w:left="319" w:leftChars="152" w:firstLine="320" w:firstLineChars="100"/>
        <w:rPr>
          <w:rFonts w:hint="eastAsia" w:eastAsia="方正仿宋_GBK"/>
          <w:kern w:val="32"/>
          <w:sz w:val="32"/>
          <w:szCs w:val="32"/>
        </w:rPr>
      </w:pPr>
      <w:r>
        <w:rPr>
          <w:rFonts w:hint="eastAsia" w:eastAsia="方正仿宋_GBK"/>
          <w:kern w:val="32"/>
          <w:sz w:val="32"/>
          <w:szCs w:val="32"/>
        </w:rPr>
        <w:t>21.其他违反国家法律法规政策规定和民办非企业单位章程行为的；</w:t>
      </w:r>
    </w:p>
    <w:p>
      <w:pPr>
        <w:overflowPunct w:val="0"/>
        <w:spacing w:line="579" w:lineRule="exact"/>
        <w:ind w:firstLine="640" w:firstLineChars="200"/>
        <w:rPr>
          <w:rFonts w:hint="eastAsia" w:eastAsia="方正仿宋_GBK"/>
          <w:kern w:val="32"/>
          <w:sz w:val="32"/>
          <w:szCs w:val="32"/>
        </w:rPr>
      </w:pPr>
      <w:r>
        <w:rPr>
          <w:rFonts w:hint="eastAsia" w:eastAsia="方正仿宋_GBK"/>
          <w:kern w:val="32"/>
          <w:sz w:val="32"/>
          <w:szCs w:val="32"/>
        </w:rPr>
        <w:t>22.各级党政机关、各级党组织发现存在违反法律法规，或影响经济社会发展和稳定、危害国家安全和利益的情形。</w:t>
      </w:r>
    </w:p>
    <w:p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（三）</w:t>
      </w:r>
      <w:r>
        <w:rPr>
          <w:rFonts w:hint="eastAsia" w:eastAsia="方正仿宋_GBK"/>
          <w:color w:val="000000"/>
          <w:kern w:val="32"/>
          <w:sz w:val="32"/>
          <w:szCs w:val="32"/>
        </w:rPr>
        <w:t>参检</w:t>
      </w:r>
      <w:r>
        <w:rPr>
          <w:rFonts w:eastAsia="方正仿宋_GBK"/>
          <w:color w:val="000000"/>
          <w:kern w:val="32"/>
          <w:sz w:val="32"/>
          <w:szCs w:val="32"/>
        </w:rPr>
        <w:t>单位不得反对宪法确定的基本原则，不得危害国家的统一、安全和民族的团结，不得损害国家利益、社会公共利益以及其他社会组织和公民的合法权益，不得违背社会道德风尚。如发现</w:t>
      </w:r>
      <w:r>
        <w:rPr>
          <w:rFonts w:hint="eastAsia" w:eastAsia="方正仿宋_GBK"/>
          <w:color w:val="000000"/>
          <w:kern w:val="32"/>
          <w:sz w:val="32"/>
          <w:szCs w:val="32"/>
        </w:rPr>
        <w:t>参检</w:t>
      </w:r>
      <w:r>
        <w:rPr>
          <w:rFonts w:eastAsia="方正仿宋_GBK"/>
          <w:color w:val="000000"/>
          <w:kern w:val="32"/>
          <w:sz w:val="32"/>
          <w:szCs w:val="32"/>
        </w:rPr>
        <w:t>单位存在以上行为，年检结论确定为</w:t>
      </w:r>
      <w:r>
        <w:rPr>
          <w:rFonts w:hint="eastAsia" w:eastAsia="方正仿宋_GBK"/>
          <w:color w:val="000000"/>
          <w:kern w:val="32"/>
          <w:sz w:val="32"/>
          <w:szCs w:val="32"/>
        </w:rPr>
        <w:t>“</w:t>
      </w:r>
      <w:r>
        <w:rPr>
          <w:rFonts w:eastAsia="方正仿宋_GBK"/>
          <w:color w:val="000000"/>
          <w:kern w:val="32"/>
          <w:sz w:val="32"/>
          <w:szCs w:val="32"/>
        </w:rPr>
        <w:t>不合格</w:t>
      </w:r>
      <w:r>
        <w:rPr>
          <w:rFonts w:hint="eastAsia" w:eastAsia="方正仿宋_GBK"/>
          <w:color w:val="000000"/>
          <w:kern w:val="32"/>
          <w:sz w:val="32"/>
          <w:szCs w:val="32"/>
        </w:rPr>
        <w:t>”</w:t>
      </w:r>
      <w:r>
        <w:rPr>
          <w:rFonts w:eastAsia="方正仿宋_GBK"/>
          <w:color w:val="000000"/>
          <w:kern w:val="32"/>
          <w:sz w:val="32"/>
          <w:szCs w:val="32"/>
        </w:rPr>
        <w:t>，并依法给予行政处罚；构成犯罪的，依法追究刑事责任。</w:t>
      </w:r>
    </w:p>
    <w:p>
      <w:pPr>
        <w:overflowPunct w:val="0"/>
        <w:spacing w:line="579" w:lineRule="exact"/>
        <w:ind w:firstLine="640" w:firstLineChars="200"/>
      </w:pPr>
      <w:r>
        <w:rPr>
          <w:rFonts w:eastAsia="方正仿宋_GBK"/>
          <w:color w:val="000000"/>
          <w:kern w:val="32"/>
          <w:sz w:val="32"/>
          <w:szCs w:val="32"/>
        </w:rPr>
        <w:t>（四）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参检单位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年检拟定结论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于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2025年10月31日前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将在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“重庆市沙坪坝区人民政府门户网站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民政局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”网页中“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政务公开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-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法定主动内容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-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其他法定信息”中</w:t>
      </w:r>
      <w:r>
        <w:rPr>
          <w:rFonts w:eastAsia="方正仿宋_GBK"/>
          <w:color w:val="000000"/>
          <w:sz w:val="32"/>
          <w:szCs w:val="32"/>
        </w:rPr>
        <w:t>进行公示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，请各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参检单位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及</w:t>
      </w:r>
      <w:r>
        <w:rPr>
          <w:rFonts w:eastAsia="方正仿宋_GBK"/>
          <w:color w:val="000000"/>
          <w:sz w:val="32"/>
          <w:szCs w:val="32"/>
        </w:rPr>
        <w:t xml:space="preserve">时关注。 </w:t>
      </w:r>
    </w:p>
    <w:p>
      <w:pPr>
        <w:overflowPunct w:val="0"/>
        <w:spacing w:line="579" w:lineRule="exact"/>
        <w:ind w:firstLine="640" w:firstLineChars="200"/>
        <w:rPr>
          <w:rFonts w:eastAsia="方正黑体_GBK"/>
          <w:color w:val="000000"/>
          <w:kern w:val="32"/>
          <w:sz w:val="32"/>
          <w:szCs w:val="32"/>
        </w:rPr>
      </w:pPr>
      <w:r>
        <w:rPr>
          <w:rFonts w:hint="eastAsia" w:eastAsia="方正黑体_GBK"/>
          <w:color w:val="000000"/>
          <w:kern w:val="32"/>
          <w:sz w:val="32"/>
          <w:szCs w:val="32"/>
        </w:rPr>
        <w:t>七</w:t>
      </w:r>
      <w:r>
        <w:rPr>
          <w:rFonts w:eastAsia="方正黑体_GBK"/>
          <w:color w:val="000000"/>
          <w:kern w:val="32"/>
          <w:sz w:val="32"/>
          <w:szCs w:val="32"/>
        </w:rPr>
        <w:t>、相关要求</w:t>
      </w:r>
    </w:p>
    <w:p>
      <w:pPr>
        <w:overflowPunct w:val="0"/>
        <w:spacing w:line="579" w:lineRule="exact"/>
        <w:ind w:firstLine="640"/>
        <w:rPr>
          <w:rFonts w:ascii="方正仿宋_GBK"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（一）接受年检是民办非企业单位的法定义务。</w:t>
      </w:r>
      <w:r>
        <w:rPr>
          <w:rFonts w:eastAsia="方正仿宋_GBK"/>
          <w:color w:val="000000"/>
          <w:kern w:val="32"/>
          <w:sz w:val="32"/>
        </w:rPr>
        <w:t>各</w:t>
      </w:r>
      <w:r>
        <w:rPr>
          <w:rFonts w:hint="eastAsia" w:eastAsia="方正仿宋_GBK"/>
          <w:color w:val="000000"/>
          <w:kern w:val="32"/>
          <w:sz w:val="32"/>
          <w:szCs w:val="32"/>
        </w:rPr>
        <w:t>参检</w:t>
      </w:r>
      <w:r>
        <w:rPr>
          <w:rFonts w:eastAsia="方正仿宋_GBK"/>
          <w:color w:val="000000"/>
          <w:kern w:val="32"/>
          <w:sz w:val="32"/>
          <w:szCs w:val="32"/>
        </w:rPr>
        <w:t>单位</w:t>
      </w:r>
      <w:r>
        <w:rPr>
          <w:rFonts w:eastAsia="方正仿宋_GBK"/>
          <w:color w:val="000000"/>
          <w:kern w:val="32"/>
          <w:sz w:val="32"/>
        </w:rPr>
        <w:t>要严格按照本通知</w:t>
      </w:r>
      <w:r>
        <w:rPr>
          <w:rFonts w:hint="eastAsia" w:eastAsia="方正仿宋_GBK"/>
          <w:color w:val="000000"/>
          <w:kern w:val="32"/>
          <w:sz w:val="32"/>
        </w:rPr>
        <w:t>规</w:t>
      </w:r>
      <w:r>
        <w:rPr>
          <w:rFonts w:eastAsia="方正仿宋_GBK"/>
          <w:color w:val="000000"/>
          <w:kern w:val="32"/>
          <w:sz w:val="32"/>
        </w:rPr>
        <w:t>定的方式、程序和要求，在规定时限内完成本次年检</w:t>
      </w:r>
      <w:r>
        <w:rPr>
          <w:rFonts w:hint="eastAsia" w:eastAsia="方正仿宋_GBK"/>
          <w:color w:val="000000"/>
          <w:kern w:val="32"/>
          <w:sz w:val="32"/>
        </w:rPr>
        <w:t>，逾期不予受理</w:t>
      </w:r>
      <w:r>
        <w:rPr>
          <w:rFonts w:eastAsia="方正仿宋_GBK"/>
          <w:color w:val="000000"/>
          <w:kern w:val="32"/>
          <w:sz w:val="32"/>
        </w:rPr>
        <w:t>。除业务主管单位要求</w:t>
      </w:r>
      <w:r>
        <w:rPr>
          <w:rFonts w:hint="eastAsia" w:ascii="方正仿宋_GBK" w:eastAsia="方正仿宋_GBK"/>
          <w:color w:val="000000"/>
          <w:kern w:val="32"/>
          <w:sz w:val="32"/>
        </w:rPr>
        <w:t>整改的</w:t>
      </w:r>
      <w:r>
        <w:rPr>
          <w:rFonts w:hint="eastAsia" w:ascii="方正仿宋_GBK" w:eastAsia="方正仿宋_GBK"/>
          <w:color w:val="000000"/>
          <w:kern w:val="32"/>
          <w:sz w:val="32"/>
          <w:szCs w:val="32"/>
        </w:rPr>
        <w:t>参检单位外，</w:t>
      </w:r>
      <w:r>
        <w:rPr>
          <w:rFonts w:hint="eastAsia" w:ascii="方正仿宋_GBK" w:eastAsia="方正仿宋_GBK"/>
          <w:color w:val="000000"/>
          <w:kern w:val="32"/>
          <w:sz w:val="32"/>
        </w:rPr>
        <w:t>凡逾期未接受年检的，将被视为“拒不接受或不按照规定接受监督检查”，将依法予以行政处罚。</w:t>
      </w:r>
      <w:r>
        <w:rPr>
          <w:rFonts w:hint="eastAsia" w:eastAsia="方正仿宋_GBK"/>
          <w:color w:val="000000"/>
          <w:kern w:val="32"/>
          <w:sz w:val="32"/>
        </w:rPr>
        <w:t>履行民办非企业单位年检的初审是业务主管单位的法定职责。</w:t>
      </w:r>
      <w:r>
        <w:rPr>
          <w:rFonts w:eastAsia="方正仿宋_GBK"/>
          <w:color w:val="000000"/>
          <w:kern w:val="32"/>
          <w:sz w:val="32"/>
        </w:rPr>
        <w:t>各业务主管单位要及时将本通知发送到所属</w:t>
      </w:r>
      <w:r>
        <w:rPr>
          <w:rFonts w:eastAsia="方正仿宋_GBK"/>
          <w:color w:val="000000"/>
          <w:kern w:val="32"/>
          <w:sz w:val="32"/>
          <w:szCs w:val="32"/>
        </w:rPr>
        <w:t>民办非企业单位</w:t>
      </w:r>
      <w:r>
        <w:rPr>
          <w:rFonts w:eastAsia="方正仿宋_GBK"/>
          <w:color w:val="000000"/>
          <w:kern w:val="32"/>
          <w:sz w:val="32"/>
        </w:rPr>
        <w:t>，</w:t>
      </w:r>
      <w:r>
        <w:rPr>
          <w:rFonts w:hint="eastAsia" w:eastAsia="方正仿宋_GBK"/>
          <w:color w:val="000000"/>
          <w:kern w:val="32"/>
          <w:sz w:val="32"/>
          <w:szCs w:val="32"/>
        </w:rPr>
        <w:t>按时</w:t>
      </w:r>
      <w:r>
        <w:rPr>
          <w:rFonts w:eastAsia="方正仿宋_GBK"/>
          <w:color w:val="000000"/>
          <w:kern w:val="32"/>
          <w:sz w:val="32"/>
          <w:szCs w:val="32"/>
        </w:rPr>
        <w:t>完成初审工作，</w:t>
      </w:r>
      <w:r>
        <w:rPr>
          <w:rFonts w:hint="eastAsia" w:eastAsia="方正仿宋_GBK"/>
          <w:color w:val="000000"/>
          <w:kern w:val="32"/>
          <w:sz w:val="32"/>
          <w:szCs w:val="32"/>
        </w:rPr>
        <w:t>且务必签署“合格”或“基本合格”或“不合格”的初审意见，</w:t>
      </w:r>
      <w:r>
        <w:rPr>
          <w:rFonts w:eastAsia="方正仿宋_GBK"/>
          <w:color w:val="000000"/>
          <w:kern w:val="32"/>
          <w:sz w:val="32"/>
        </w:rPr>
        <w:t>指导并督促其于</w:t>
      </w:r>
      <w:r>
        <w:rPr>
          <w:rFonts w:hint="eastAsia" w:eastAsia="方正仿宋_GBK"/>
          <w:color w:val="000000"/>
          <w:kern w:val="32"/>
          <w:sz w:val="32"/>
          <w:lang w:val="en-US" w:eastAsia="zh-CN"/>
        </w:rPr>
        <w:t>6</w:t>
      </w:r>
      <w:r>
        <w:rPr>
          <w:rFonts w:eastAsia="方正仿宋_GBK"/>
          <w:color w:val="000000"/>
          <w:kern w:val="32"/>
          <w:sz w:val="32"/>
        </w:rPr>
        <w:t>月</w:t>
      </w:r>
      <w:r>
        <w:rPr>
          <w:rFonts w:hint="eastAsia" w:eastAsia="方正仿宋_GBK"/>
          <w:color w:val="auto"/>
          <w:kern w:val="32"/>
          <w:sz w:val="36"/>
          <w:szCs w:val="28"/>
        </w:rPr>
        <w:t>3</w:t>
      </w:r>
      <w:r>
        <w:rPr>
          <w:rFonts w:hint="eastAsia" w:eastAsia="方正仿宋_GBK"/>
          <w:color w:val="auto"/>
          <w:kern w:val="32"/>
          <w:sz w:val="36"/>
          <w:szCs w:val="28"/>
          <w:lang w:val="en-US" w:eastAsia="zh-CN"/>
        </w:rPr>
        <w:t>0</w:t>
      </w:r>
      <w:r>
        <w:rPr>
          <w:rFonts w:eastAsia="方正仿宋_GBK"/>
          <w:color w:val="000000"/>
          <w:kern w:val="32"/>
          <w:sz w:val="32"/>
        </w:rPr>
        <w:t>日前到登记管理机关完成本次年检</w:t>
      </w:r>
      <w:r>
        <w:rPr>
          <w:rFonts w:hint="eastAsia" w:eastAsia="方正仿宋_GBK"/>
          <w:color w:val="000000"/>
          <w:kern w:val="32"/>
          <w:sz w:val="32"/>
        </w:rPr>
        <w:t>。</w:t>
      </w:r>
      <w:r>
        <w:rPr>
          <w:rFonts w:eastAsia="方正仿宋_GBK"/>
          <w:color w:val="000000"/>
          <w:kern w:val="32"/>
          <w:sz w:val="32"/>
          <w:szCs w:val="32"/>
        </w:rPr>
        <w:t>年检结论关系到民办非企业单位的社会信用、税收优惠、等级评估、承接政府购买服务、税前抵扣资格认定等重大权益</w:t>
      </w:r>
      <w:r>
        <w:rPr>
          <w:rFonts w:hint="eastAsia" w:eastAsia="方正仿宋_GBK"/>
          <w:color w:val="000000"/>
          <w:kern w:val="32"/>
          <w:sz w:val="32"/>
          <w:szCs w:val="32"/>
        </w:rPr>
        <w:t>，</w:t>
      </w:r>
      <w:r>
        <w:rPr>
          <w:rFonts w:eastAsia="方正仿宋_GBK"/>
          <w:color w:val="000000"/>
          <w:kern w:val="32"/>
          <w:sz w:val="32"/>
          <w:szCs w:val="32"/>
        </w:rPr>
        <w:t>请各业务主管单位和民办非企业单位</w:t>
      </w:r>
      <w:r>
        <w:rPr>
          <w:rFonts w:eastAsia="方正仿宋_GBK"/>
          <w:color w:val="000000"/>
          <w:kern w:val="32"/>
          <w:sz w:val="32"/>
        </w:rPr>
        <w:t>高度重视年检工作。</w:t>
      </w:r>
    </w:p>
    <w:p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（二）</w:t>
      </w:r>
      <w:r>
        <w:rPr>
          <w:rFonts w:eastAsia="方正仿宋_GBK"/>
          <w:color w:val="000000"/>
          <w:kern w:val="32"/>
          <w:sz w:val="32"/>
        </w:rPr>
        <w:t>欢迎社会各界对</w:t>
      </w:r>
      <w:r>
        <w:rPr>
          <w:rFonts w:hint="eastAsia" w:eastAsia="方正仿宋_GBK"/>
          <w:color w:val="000000"/>
          <w:kern w:val="32"/>
          <w:sz w:val="32"/>
          <w:szCs w:val="32"/>
        </w:rPr>
        <w:t>参检</w:t>
      </w:r>
      <w:r>
        <w:rPr>
          <w:rFonts w:eastAsia="方正仿宋_GBK"/>
          <w:color w:val="000000"/>
          <w:kern w:val="32"/>
          <w:sz w:val="32"/>
          <w:szCs w:val="32"/>
        </w:rPr>
        <w:t>单位</w:t>
      </w:r>
      <w:r>
        <w:rPr>
          <w:rFonts w:eastAsia="方正仿宋_GBK"/>
          <w:color w:val="000000"/>
          <w:kern w:val="32"/>
          <w:sz w:val="32"/>
        </w:rPr>
        <w:t>年检工作进行监督，并提出宝贵的意见建议，我们将不断改进工作。</w:t>
      </w:r>
    </w:p>
    <w:p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hint="eastAsia" w:eastAsia="方正仿宋_GBK"/>
          <w:color w:val="000000"/>
          <w:kern w:val="32"/>
          <w:sz w:val="32"/>
          <w:szCs w:val="32"/>
        </w:rPr>
        <w:t>（</w:t>
      </w:r>
      <w:r>
        <w:rPr>
          <w:rFonts w:eastAsia="方正仿宋_GBK"/>
          <w:color w:val="000000"/>
          <w:kern w:val="32"/>
          <w:sz w:val="32"/>
          <w:szCs w:val="32"/>
        </w:rPr>
        <w:t>三</w:t>
      </w:r>
      <w:r>
        <w:rPr>
          <w:rFonts w:hint="eastAsia" w:eastAsia="方正仿宋_GBK"/>
          <w:color w:val="000000"/>
          <w:kern w:val="32"/>
          <w:sz w:val="32"/>
          <w:szCs w:val="32"/>
        </w:rPr>
        <w:t>）参检</w:t>
      </w:r>
      <w:r>
        <w:rPr>
          <w:rFonts w:eastAsia="方正仿宋_GBK"/>
          <w:color w:val="000000"/>
          <w:kern w:val="32"/>
          <w:sz w:val="32"/>
          <w:szCs w:val="32"/>
        </w:rPr>
        <w:t>单位在参加年检过程中对相关业务和遇到问题，可通过以下方式咨询：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eastAsia="方正仿宋_GBK"/>
          <w:color w:val="auto"/>
          <w:kern w:val="32"/>
          <w:sz w:val="32"/>
          <w:szCs w:val="32"/>
        </w:rPr>
      </w:pPr>
      <w:r>
        <w:rPr>
          <w:rFonts w:hint="eastAsia" w:eastAsia="方正仿宋_GBK"/>
          <w:color w:val="auto"/>
          <w:kern w:val="32"/>
          <w:sz w:val="32"/>
          <w:szCs w:val="32"/>
          <w:lang w:val="en-US" w:eastAsia="zh-CN"/>
        </w:rPr>
        <w:t>1.</w:t>
      </w:r>
      <w:r>
        <w:rPr>
          <w:rFonts w:hint="eastAsia" w:eastAsia="方正仿宋_GBK"/>
          <w:color w:val="auto"/>
          <w:kern w:val="32"/>
          <w:sz w:val="32"/>
          <w:szCs w:val="32"/>
        </w:rPr>
        <w:t>年检工作报告书填报咨询：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eastAsia="方正仿宋_GBK"/>
          <w:color w:val="auto"/>
          <w:kern w:val="32"/>
          <w:sz w:val="32"/>
          <w:szCs w:val="32"/>
          <w:lang w:eastAsia="zh-CN"/>
        </w:rPr>
      </w:pPr>
      <w:r>
        <w:rPr>
          <w:rFonts w:hint="eastAsia" w:eastAsia="方正仿宋_GBK"/>
          <w:color w:val="auto"/>
          <w:kern w:val="32"/>
          <w:sz w:val="32"/>
          <w:szCs w:val="32"/>
        </w:rPr>
        <w:t>电话：</w:t>
      </w:r>
      <w:r>
        <w:rPr>
          <w:rFonts w:hint="eastAsia" w:eastAsia="方正仿宋_GBK"/>
          <w:color w:val="auto"/>
          <w:kern w:val="32"/>
          <w:sz w:val="32"/>
          <w:szCs w:val="32"/>
          <w:lang w:val="en-US" w:eastAsia="zh-CN"/>
        </w:rPr>
        <w:t>023-65303015</w:t>
      </w:r>
      <w:r>
        <w:rPr>
          <w:rFonts w:hint="eastAsia" w:eastAsia="方正仿宋_GBK"/>
          <w:color w:val="auto"/>
          <w:kern w:val="32"/>
          <w:sz w:val="32"/>
          <w:szCs w:val="32"/>
        </w:rPr>
        <w:t>，联系人：</w:t>
      </w:r>
      <w:r>
        <w:rPr>
          <w:rFonts w:hint="eastAsia" w:eastAsia="方正仿宋_GBK"/>
          <w:color w:val="auto"/>
          <w:kern w:val="32"/>
          <w:sz w:val="32"/>
          <w:szCs w:val="32"/>
          <w:lang w:eastAsia="zh-CN"/>
        </w:rPr>
        <w:t>杨贵川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2</w:t>
      </w:r>
      <w:r>
        <w:rPr>
          <w:rFonts w:eastAsia="方正仿宋_GBK"/>
          <w:color w:val="auto"/>
          <w:sz w:val="32"/>
          <w:szCs w:val="32"/>
        </w:rPr>
        <w:t>.网上填报系统操作问题咨询：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电话：</w:t>
      </w:r>
      <w:r>
        <w:rPr>
          <w:rFonts w:hint="eastAsia" w:eastAsia="方正仿宋_GBK"/>
          <w:color w:val="auto"/>
          <w:kern w:val="32"/>
          <w:sz w:val="32"/>
          <w:szCs w:val="32"/>
          <w:lang w:val="en-US" w:eastAsia="zh-CN"/>
        </w:rPr>
        <w:t>023-</w:t>
      </w:r>
      <w:r>
        <w:rPr>
          <w:rFonts w:eastAsia="方正仿宋_GBK"/>
          <w:color w:val="auto"/>
          <w:sz w:val="32"/>
          <w:szCs w:val="32"/>
        </w:rPr>
        <w:t>89188101，联系人：张中豪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3</w:t>
      </w:r>
      <w:r>
        <w:rPr>
          <w:rFonts w:eastAsia="方正仿宋_GBK"/>
          <w:color w:val="auto"/>
          <w:sz w:val="32"/>
          <w:szCs w:val="32"/>
        </w:rPr>
        <w:t>.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统一认证问题咨询（渝快政）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default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电话：</w:t>
      </w:r>
      <w:r>
        <w:rPr>
          <w:rFonts w:hint="eastAsia" w:eastAsia="方正仿宋_GBK"/>
          <w:color w:val="auto"/>
          <w:kern w:val="32"/>
          <w:sz w:val="32"/>
          <w:szCs w:val="32"/>
          <w:lang w:val="en-US" w:eastAsia="zh-CN"/>
        </w:rPr>
        <w:t>023-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89257599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eastAsia="方正仿宋_GBK"/>
          <w:color w:val="auto"/>
          <w:kern w:val="32"/>
          <w:sz w:val="32"/>
          <w:szCs w:val="32"/>
        </w:rPr>
      </w:pPr>
      <w:r>
        <w:rPr>
          <w:rFonts w:hint="eastAsia" w:eastAsia="方正仿宋_GBK"/>
          <w:color w:val="auto"/>
          <w:kern w:val="32"/>
          <w:sz w:val="32"/>
          <w:szCs w:val="32"/>
        </w:rPr>
        <w:t>地址：</w:t>
      </w:r>
      <w:r>
        <w:rPr>
          <w:rFonts w:hint="eastAsia" w:eastAsia="方正仿宋_GBK"/>
          <w:color w:val="auto"/>
          <w:kern w:val="32"/>
          <w:sz w:val="32"/>
          <w:szCs w:val="32"/>
          <w:lang w:eastAsia="zh-CN"/>
        </w:rPr>
        <w:t>沙坪坝区小龙坎马道子</w:t>
      </w:r>
      <w:r>
        <w:rPr>
          <w:rFonts w:hint="eastAsia" w:eastAsia="方正仿宋_GBK"/>
          <w:color w:val="auto"/>
          <w:kern w:val="32"/>
          <w:sz w:val="32"/>
          <w:szCs w:val="32"/>
          <w:lang w:val="en-US" w:eastAsia="zh-CN"/>
        </w:rPr>
        <w:t>92号</w:t>
      </w:r>
      <w:r>
        <w:rPr>
          <w:rFonts w:hint="eastAsia" w:eastAsia="方正仿宋_GBK"/>
          <w:color w:val="auto"/>
          <w:kern w:val="32"/>
          <w:sz w:val="32"/>
          <w:szCs w:val="32"/>
        </w:rPr>
        <w:t>；邮编：</w:t>
      </w:r>
      <w:r>
        <w:rPr>
          <w:rFonts w:hint="eastAsia" w:eastAsia="方正仿宋_GBK"/>
          <w:color w:val="auto"/>
          <w:kern w:val="32"/>
          <w:sz w:val="32"/>
          <w:szCs w:val="32"/>
          <w:lang w:val="en-US" w:eastAsia="zh-CN"/>
        </w:rPr>
        <w:t>400030</w:t>
      </w:r>
    </w:p>
    <w:p>
      <w:pPr>
        <w:overflowPunct w:val="0"/>
        <w:spacing w:line="579" w:lineRule="exact"/>
        <w:ind w:firstLine="640" w:firstLineChars="200"/>
        <w:rPr>
          <w:rFonts w:eastAsia="方正仿宋_GBK"/>
          <w:color w:val="000000"/>
          <w:kern w:val="32"/>
          <w:sz w:val="32"/>
          <w:szCs w:val="32"/>
        </w:rPr>
      </w:pPr>
    </w:p>
    <w:p>
      <w:pPr>
        <w:overflowPunct w:val="0"/>
        <w:spacing w:line="579" w:lineRule="exact"/>
        <w:rPr>
          <w:rFonts w:eastAsia="方正仿宋_GBK"/>
          <w:color w:val="000000"/>
          <w:kern w:val="32"/>
          <w:sz w:val="32"/>
          <w:szCs w:val="32"/>
        </w:rPr>
      </w:pPr>
    </w:p>
    <w:p>
      <w:pPr>
        <w:overflowPunct w:val="0"/>
        <w:spacing w:line="579" w:lineRule="exact"/>
        <w:ind w:firstLine="640" w:firstLineChars="200"/>
        <w:rPr>
          <w:rFonts w:hint="eastAsia" w:eastAsia="方正仿宋_GBK"/>
          <w:color w:val="000000"/>
          <w:kern w:val="32"/>
          <w:sz w:val="32"/>
          <w:szCs w:val="32"/>
          <w:lang w:val="en-US" w:eastAsia="zh-CN"/>
        </w:rPr>
      </w:pPr>
      <w:r>
        <w:rPr>
          <w:rFonts w:hint="eastAsia" w:eastAsia="方正仿宋_GBK"/>
          <w:color w:val="000000"/>
          <w:kern w:val="32"/>
          <w:sz w:val="32"/>
          <w:szCs w:val="32"/>
          <w:lang w:val="en-US" w:eastAsia="zh-CN"/>
        </w:rPr>
        <w:t>(此页无正文）</w:t>
      </w:r>
    </w:p>
    <w:p>
      <w:pPr>
        <w:tabs>
          <w:tab w:val="left" w:pos="3393"/>
          <w:tab w:val="left" w:pos="9413"/>
        </w:tabs>
        <w:overflowPunct w:val="0"/>
        <w:spacing w:line="579" w:lineRule="exact"/>
        <w:ind w:firstLine="1600" w:firstLineChars="500"/>
        <w:rPr>
          <w:rFonts w:eastAsia="方正仿宋_GBK"/>
          <w:bCs/>
          <w:color w:val="000000"/>
          <w:kern w:val="32"/>
          <w:sz w:val="32"/>
          <w:szCs w:val="32"/>
        </w:rPr>
      </w:pPr>
    </w:p>
    <w:p>
      <w:pPr>
        <w:tabs>
          <w:tab w:val="left" w:pos="3393"/>
          <w:tab w:val="left" w:pos="9413"/>
        </w:tabs>
        <w:overflowPunct w:val="0"/>
        <w:spacing w:line="579" w:lineRule="exact"/>
        <w:ind w:firstLine="1600" w:firstLineChars="500"/>
        <w:rPr>
          <w:rFonts w:eastAsia="方正仿宋_GBK"/>
          <w:bCs/>
          <w:color w:val="000000"/>
          <w:kern w:val="32"/>
          <w:sz w:val="32"/>
          <w:szCs w:val="32"/>
        </w:rPr>
      </w:pPr>
    </w:p>
    <w:p>
      <w:pPr>
        <w:tabs>
          <w:tab w:val="left" w:pos="6345"/>
        </w:tabs>
        <w:overflowPunct w:val="0"/>
        <w:spacing w:line="579" w:lineRule="exact"/>
        <w:ind w:firstLine="645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 xml:space="preserve">  </w:t>
      </w:r>
      <w:r>
        <w:rPr>
          <w:rFonts w:hint="eastAsia" w:eastAsia="方正仿宋_GBK"/>
          <w:color w:val="000000"/>
          <w:kern w:val="32"/>
          <w:sz w:val="32"/>
          <w:szCs w:val="32"/>
        </w:rPr>
        <w:t xml:space="preserve">                           </w:t>
      </w:r>
      <w:r>
        <w:rPr>
          <w:rFonts w:eastAsia="方正仿宋_GBK"/>
          <w:color w:val="000000"/>
          <w:kern w:val="32"/>
          <w:sz w:val="32"/>
          <w:szCs w:val="32"/>
        </w:rPr>
        <w:t>重庆市</w:t>
      </w:r>
      <w:r>
        <w:rPr>
          <w:rFonts w:hint="eastAsia" w:eastAsia="方正仿宋_GBK"/>
          <w:color w:val="000000"/>
          <w:kern w:val="32"/>
          <w:sz w:val="32"/>
          <w:szCs w:val="32"/>
          <w:lang w:eastAsia="zh-CN"/>
        </w:rPr>
        <w:t>沙坪坝区</w:t>
      </w:r>
      <w:r>
        <w:rPr>
          <w:rFonts w:eastAsia="方正仿宋_GBK"/>
          <w:color w:val="000000"/>
          <w:kern w:val="32"/>
          <w:sz w:val="32"/>
          <w:szCs w:val="32"/>
        </w:rPr>
        <w:t>民政局</w:t>
      </w:r>
    </w:p>
    <w:p>
      <w:pPr>
        <w:tabs>
          <w:tab w:val="left" w:pos="6345"/>
        </w:tabs>
        <w:overflowPunct w:val="0"/>
        <w:spacing w:line="579" w:lineRule="exact"/>
        <w:ind w:firstLine="5760" w:firstLineChars="1800"/>
      </w:pPr>
      <w:r>
        <w:rPr>
          <w:rFonts w:hint="eastAsia" w:eastAsia="方正仿宋_GBK"/>
          <w:color w:val="000000"/>
          <w:kern w:val="32"/>
          <w:sz w:val="32"/>
          <w:szCs w:val="32"/>
        </w:rPr>
        <w:t>2025</w:t>
      </w:r>
      <w:r>
        <w:rPr>
          <w:rFonts w:eastAsia="方正仿宋_GBK"/>
          <w:color w:val="000000"/>
          <w:kern w:val="32"/>
          <w:sz w:val="32"/>
          <w:szCs w:val="32"/>
        </w:rPr>
        <w:t>年</w:t>
      </w:r>
      <w:r>
        <w:rPr>
          <w:rFonts w:hint="eastAsia" w:eastAsia="方正仿宋_GBK"/>
          <w:color w:val="000000"/>
          <w:kern w:val="32"/>
          <w:sz w:val="32"/>
          <w:szCs w:val="32"/>
        </w:rPr>
        <w:t>3</w:t>
      </w:r>
      <w:r>
        <w:rPr>
          <w:rFonts w:eastAsia="方正仿宋_GBK"/>
          <w:color w:val="000000"/>
          <w:kern w:val="32"/>
          <w:sz w:val="32"/>
          <w:szCs w:val="32"/>
        </w:rPr>
        <w:t>月</w:t>
      </w:r>
      <w:r>
        <w:rPr>
          <w:rFonts w:hint="eastAsia" w:eastAsia="方正仿宋_GBK"/>
          <w:color w:val="000000"/>
          <w:kern w:val="32"/>
          <w:sz w:val="32"/>
          <w:szCs w:val="32"/>
          <w:lang w:val="en-US" w:eastAsia="zh-CN"/>
        </w:rPr>
        <w:t>12</w:t>
      </w:r>
      <w:r>
        <w:rPr>
          <w:rFonts w:eastAsia="方正仿宋_GBK"/>
          <w:color w:val="000000"/>
          <w:kern w:val="3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6345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345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345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（此件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公开发布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6345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345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345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345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345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345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345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345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345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345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345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345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345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345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345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345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345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345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345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345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345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345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345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345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topLinePunct w:val="0"/>
        <w:autoSpaceDE w:val="0"/>
        <w:autoSpaceDN w:val="0"/>
        <w:bidi w:val="0"/>
        <w:adjustRightInd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18"/>
          <w:szCs w:val="18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page" w:x="9328" w:yAlign="top"/>
      <w:rPr>
        <w:rStyle w:val="13"/>
        <w:sz w:val="28"/>
        <w:szCs w:val="28"/>
      </w:rPr>
    </w:pPr>
    <w:r>
      <w:rPr>
        <w:rStyle w:val="13"/>
        <w:sz w:val="28"/>
        <w:szCs w:val="28"/>
      </w:rPr>
      <w:t xml:space="preserve">— </w:t>
    </w:r>
    <w:r>
      <w:rPr>
        <w:rStyle w:val="13"/>
        <w:sz w:val="28"/>
        <w:szCs w:val="28"/>
      </w:rPr>
      <w:fldChar w:fldCharType="begin"/>
    </w:r>
    <w:r>
      <w:rPr>
        <w:rStyle w:val="13"/>
        <w:sz w:val="28"/>
        <w:szCs w:val="28"/>
      </w:rPr>
      <w:instrText xml:space="preserve">PAGE  </w:instrText>
    </w:r>
    <w:r>
      <w:rPr>
        <w:rStyle w:val="13"/>
        <w:sz w:val="28"/>
        <w:szCs w:val="28"/>
      </w:rPr>
      <w:fldChar w:fldCharType="separate"/>
    </w:r>
    <w:r>
      <w:rPr>
        <w:rStyle w:val="13"/>
        <w:sz w:val="28"/>
        <w:szCs w:val="28"/>
      </w:rPr>
      <w:t>9</w:t>
    </w:r>
    <w:r>
      <w:rPr>
        <w:rStyle w:val="13"/>
        <w:sz w:val="28"/>
        <w:szCs w:val="28"/>
      </w:rPr>
      <w:fldChar w:fldCharType="end"/>
    </w:r>
    <w:r>
      <w:rPr>
        <w:rStyle w:val="13"/>
        <w:sz w:val="28"/>
        <w:szCs w:val="28"/>
      </w:rPr>
      <w:t xml:space="preserve"> —</w: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ind w:firstLine="280" w:firstLineChars="100"/>
      <w:rPr>
        <w:rStyle w:val="13"/>
        <w:sz w:val="28"/>
        <w:szCs w:val="28"/>
      </w:rPr>
    </w:pPr>
    <w:r>
      <w:rPr>
        <w:rStyle w:val="13"/>
        <w:sz w:val="28"/>
        <w:szCs w:val="28"/>
      </w:rPr>
      <w:t xml:space="preserve">— </w:t>
    </w:r>
    <w:r>
      <w:rPr>
        <w:rStyle w:val="13"/>
        <w:sz w:val="28"/>
        <w:szCs w:val="28"/>
      </w:rPr>
      <w:fldChar w:fldCharType="begin"/>
    </w:r>
    <w:r>
      <w:rPr>
        <w:rStyle w:val="13"/>
        <w:sz w:val="28"/>
        <w:szCs w:val="28"/>
      </w:rPr>
      <w:instrText xml:space="preserve">PAGE  </w:instrText>
    </w:r>
    <w:r>
      <w:rPr>
        <w:rStyle w:val="13"/>
        <w:sz w:val="28"/>
        <w:szCs w:val="28"/>
      </w:rPr>
      <w:fldChar w:fldCharType="separate"/>
    </w:r>
    <w:r>
      <w:rPr>
        <w:rStyle w:val="13"/>
        <w:sz w:val="28"/>
        <w:szCs w:val="28"/>
      </w:rPr>
      <w:t>10</w:t>
    </w:r>
    <w:r>
      <w:rPr>
        <w:rStyle w:val="13"/>
        <w:sz w:val="28"/>
        <w:szCs w:val="28"/>
      </w:rPr>
      <w:fldChar w:fldCharType="end"/>
    </w:r>
    <w:r>
      <w:rPr>
        <w:rStyle w:val="13"/>
        <w:sz w:val="28"/>
        <w:szCs w:val="28"/>
      </w:rPr>
      <w:t xml:space="preserve"> —</w:t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attachedTemplate r:id="rId1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ZjVmYTVjNTBlYjRkODdkNDY1YTJkNDY3MmI3NzcifQ=="/>
  </w:docVars>
  <w:rsids>
    <w:rsidRoot w:val="005A7B8A"/>
    <w:rsid w:val="00035CA8"/>
    <w:rsid w:val="00060A91"/>
    <w:rsid w:val="000942B7"/>
    <w:rsid w:val="001153C5"/>
    <w:rsid w:val="00162A3A"/>
    <w:rsid w:val="001A7AF1"/>
    <w:rsid w:val="001C3750"/>
    <w:rsid w:val="001C78FD"/>
    <w:rsid w:val="002001D1"/>
    <w:rsid w:val="00234427"/>
    <w:rsid w:val="002D3A25"/>
    <w:rsid w:val="00320276"/>
    <w:rsid w:val="00322E9B"/>
    <w:rsid w:val="0032310B"/>
    <w:rsid w:val="00333651"/>
    <w:rsid w:val="00421ED0"/>
    <w:rsid w:val="0048215B"/>
    <w:rsid w:val="0052023E"/>
    <w:rsid w:val="00520867"/>
    <w:rsid w:val="005266C2"/>
    <w:rsid w:val="005513B3"/>
    <w:rsid w:val="005974B1"/>
    <w:rsid w:val="005A1D60"/>
    <w:rsid w:val="005A7B8A"/>
    <w:rsid w:val="00660C10"/>
    <w:rsid w:val="00672A37"/>
    <w:rsid w:val="006A58E8"/>
    <w:rsid w:val="006B31C3"/>
    <w:rsid w:val="006C45D5"/>
    <w:rsid w:val="006E52E7"/>
    <w:rsid w:val="00702544"/>
    <w:rsid w:val="0078019F"/>
    <w:rsid w:val="007876B6"/>
    <w:rsid w:val="007E633D"/>
    <w:rsid w:val="00827850"/>
    <w:rsid w:val="00831E33"/>
    <w:rsid w:val="008F7CD9"/>
    <w:rsid w:val="0092411C"/>
    <w:rsid w:val="00925451"/>
    <w:rsid w:val="009A53B9"/>
    <w:rsid w:val="009E11C0"/>
    <w:rsid w:val="00A40D24"/>
    <w:rsid w:val="00A826F9"/>
    <w:rsid w:val="00AC33B7"/>
    <w:rsid w:val="00AF4136"/>
    <w:rsid w:val="00B143A4"/>
    <w:rsid w:val="00B459F7"/>
    <w:rsid w:val="00B5475D"/>
    <w:rsid w:val="00BC05D5"/>
    <w:rsid w:val="00C2773D"/>
    <w:rsid w:val="00C40F42"/>
    <w:rsid w:val="00CF5589"/>
    <w:rsid w:val="00D024C5"/>
    <w:rsid w:val="00D90709"/>
    <w:rsid w:val="00DA416D"/>
    <w:rsid w:val="00F431B9"/>
    <w:rsid w:val="00F52A8D"/>
    <w:rsid w:val="00F87031"/>
    <w:rsid w:val="00FF16DF"/>
    <w:rsid w:val="010A478A"/>
    <w:rsid w:val="0136557F"/>
    <w:rsid w:val="013723FF"/>
    <w:rsid w:val="01417A67"/>
    <w:rsid w:val="01920D70"/>
    <w:rsid w:val="0194674A"/>
    <w:rsid w:val="01A249C3"/>
    <w:rsid w:val="01A26771"/>
    <w:rsid w:val="01AC5842"/>
    <w:rsid w:val="01EC3E90"/>
    <w:rsid w:val="020411DA"/>
    <w:rsid w:val="031511C4"/>
    <w:rsid w:val="032C4E8C"/>
    <w:rsid w:val="035148F2"/>
    <w:rsid w:val="0360556D"/>
    <w:rsid w:val="03F90AE6"/>
    <w:rsid w:val="04854441"/>
    <w:rsid w:val="04C258B7"/>
    <w:rsid w:val="05575AC4"/>
    <w:rsid w:val="0594265E"/>
    <w:rsid w:val="05A306C5"/>
    <w:rsid w:val="05EE467B"/>
    <w:rsid w:val="06231E4A"/>
    <w:rsid w:val="062956B3"/>
    <w:rsid w:val="064E336B"/>
    <w:rsid w:val="064F2C3F"/>
    <w:rsid w:val="06734B80"/>
    <w:rsid w:val="067B1C86"/>
    <w:rsid w:val="070D06B6"/>
    <w:rsid w:val="07287718"/>
    <w:rsid w:val="0788637F"/>
    <w:rsid w:val="07911761"/>
    <w:rsid w:val="07CC279A"/>
    <w:rsid w:val="0817778D"/>
    <w:rsid w:val="082712F5"/>
    <w:rsid w:val="08AE1E9F"/>
    <w:rsid w:val="08B576D2"/>
    <w:rsid w:val="09DB3168"/>
    <w:rsid w:val="0A053D41"/>
    <w:rsid w:val="0A1B75B7"/>
    <w:rsid w:val="0A913826"/>
    <w:rsid w:val="0BA67CEF"/>
    <w:rsid w:val="0BE65A20"/>
    <w:rsid w:val="0C0A7D34"/>
    <w:rsid w:val="0C590374"/>
    <w:rsid w:val="0C6901BA"/>
    <w:rsid w:val="0CC9374C"/>
    <w:rsid w:val="0CE00A95"/>
    <w:rsid w:val="0D706FD9"/>
    <w:rsid w:val="0DF76096"/>
    <w:rsid w:val="0E547045"/>
    <w:rsid w:val="0E625C06"/>
    <w:rsid w:val="0E863A79"/>
    <w:rsid w:val="0EBE7E8D"/>
    <w:rsid w:val="0F24110D"/>
    <w:rsid w:val="0FDE2902"/>
    <w:rsid w:val="0FDF3286"/>
    <w:rsid w:val="10606175"/>
    <w:rsid w:val="10686DD7"/>
    <w:rsid w:val="10797237"/>
    <w:rsid w:val="107C6D27"/>
    <w:rsid w:val="10AB4F16"/>
    <w:rsid w:val="111C730A"/>
    <w:rsid w:val="11366ED6"/>
    <w:rsid w:val="11380EA0"/>
    <w:rsid w:val="113969C6"/>
    <w:rsid w:val="11BF511D"/>
    <w:rsid w:val="121A4853"/>
    <w:rsid w:val="12485112"/>
    <w:rsid w:val="12500C0A"/>
    <w:rsid w:val="12B10F0A"/>
    <w:rsid w:val="12CF1390"/>
    <w:rsid w:val="13186B1A"/>
    <w:rsid w:val="13541895"/>
    <w:rsid w:val="13936861"/>
    <w:rsid w:val="13A520F1"/>
    <w:rsid w:val="13DA4490"/>
    <w:rsid w:val="148368D6"/>
    <w:rsid w:val="14A625C4"/>
    <w:rsid w:val="14DB5560"/>
    <w:rsid w:val="14DC7BCB"/>
    <w:rsid w:val="14F852D9"/>
    <w:rsid w:val="15453B8B"/>
    <w:rsid w:val="157E709D"/>
    <w:rsid w:val="15A44D56"/>
    <w:rsid w:val="15A541D1"/>
    <w:rsid w:val="15AD3816"/>
    <w:rsid w:val="16300397"/>
    <w:rsid w:val="16551BAC"/>
    <w:rsid w:val="17065484"/>
    <w:rsid w:val="172F064F"/>
    <w:rsid w:val="17861F73"/>
    <w:rsid w:val="18DC0363"/>
    <w:rsid w:val="18EF69FF"/>
    <w:rsid w:val="19022211"/>
    <w:rsid w:val="1A226249"/>
    <w:rsid w:val="1ABA0B77"/>
    <w:rsid w:val="1AC612CA"/>
    <w:rsid w:val="1AE71241"/>
    <w:rsid w:val="1B5C39DD"/>
    <w:rsid w:val="1B7E1BA5"/>
    <w:rsid w:val="1BB64248"/>
    <w:rsid w:val="1C2C33AF"/>
    <w:rsid w:val="1C56042C"/>
    <w:rsid w:val="1C695D61"/>
    <w:rsid w:val="1D232C3E"/>
    <w:rsid w:val="1D8F48BB"/>
    <w:rsid w:val="1D9B0FAF"/>
    <w:rsid w:val="1DAD6772"/>
    <w:rsid w:val="1DCA10D2"/>
    <w:rsid w:val="1DE33F41"/>
    <w:rsid w:val="1E454BFC"/>
    <w:rsid w:val="1EBE453C"/>
    <w:rsid w:val="1F095D51"/>
    <w:rsid w:val="1F10520A"/>
    <w:rsid w:val="1FAB0A8F"/>
    <w:rsid w:val="201F1DA9"/>
    <w:rsid w:val="20457135"/>
    <w:rsid w:val="20541126"/>
    <w:rsid w:val="206375BB"/>
    <w:rsid w:val="20AC3108"/>
    <w:rsid w:val="20FD5D8E"/>
    <w:rsid w:val="2116462E"/>
    <w:rsid w:val="213F5933"/>
    <w:rsid w:val="21837F15"/>
    <w:rsid w:val="21A954A2"/>
    <w:rsid w:val="21D56297"/>
    <w:rsid w:val="228727F7"/>
    <w:rsid w:val="22A87507"/>
    <w:rsid w:val="22BB723B"/>
    <w:rsid w:val="2362347F"/>
    <w:rsid w:val="23B5012E"/>
    <w:rsid w:val="23EB1DA2"/>
    <w:rsid w:val="24457704"/>
    <w:rsid w:val="245D2E6D"/>
    <w:rsid w:val="247955FF"/>
    <w:rsid w:val="24807432"/>
    <w:rsid w:val="24EB3D0A"/>
    <w:rsid w:val="24FE5B05"/>
    <w:rsid w:val="25626CDD"/>
    <w:rsid w:val="25873D4C"/>
    <w:rsid w:val="263F6458"/>
    <w:rsid w:val="267C4F33"/>
    <w:rsid w:val="275E5EB1"/>
    <w:rsid w:val="27CC1243"/>
    <w:rsid w:val="27D8088F"/>
    <w:rsid w:val="27E86D24"/>
    <w:rsid w:val="27F82CDF"/>
    <w:rsid w:val="280C22E7"/>
    <w:rsid w:val="28137B19"/>
    <w:rsid w:val="283830DC"/>
    <w:rsid w:val="284655CC"/>
    <w:rsid w:val="287A36F4"/>
    <w:rsid w:val="28900897"/>
    <w:rsid w:val="28E55011"/>
    <w:rsid w:val="28E82D54"/>
    <w:rsid w:val="2966326D"/>
    <w:rsid w:val="296E3259"/>
    <w:rsid w:val="296F6FD1"/>
    <w:rsid w:val="2A581C8A"/>
    <w:rsid w:val="2AD43590"/>
    <w:rsid w:val="2AF14141"/>
    <w:rsid w:val="2B563FA5"/>
    <w:rsid w:val="2C4418BF"/>
    <w:rsid w:val="2C8069CD"/>
    <w:rsid w:val="2C9C52E2"/>
    <w:rsid w:val="2CB21FEB"/>
    <w:rsid w:val="2CE1451B"/>
    <w:rsid w:val="2CE35D0C"/>
    <w:rsid w:val="2D0D4B37"/>
    <w:rsid w:val="2DA4238F"/>
    <w:rsid w:val="2E1B04EB"/>
    <w:rsid w:val="2E357017"/>
    <w:rsid w:val="2E8E614B"/>
    <w:rsid w:val="30BF6A38"/>
    <w:rsid w:val="30E77107"/>
    <w:rsid w:val="30E87D95"/>
    <w:rsid w:val="31216E03"/>
    <w:rsid w:val="31464ABB"/>
    <w:rsid w:val="314D409C"/>
    <w:rsid w:val="31517FE2"/>
    <w:rsid w:val="321062F4"/>
    <w:rsid w:val="3220530C"/>
    <w:rsid w:val="32221084"/>
    <w:rsid w:val="322D4617"/>
    <w:rsid w:val="324C6101"/>
    <w:rsid w:val="332B5D17"/>
    <w:rsid w:val="333C6176"/>
    <w:rsid w:val="338673F1"/>
    <w:rsid w:val="34ED4561"/>
    <w:rsid w:val="35004F81"/>
    <w:rsid w:val="352D4210"/>
    <w:rsid w:val="353455B9"/>
    <w:rsid w:val="35363A99"/>
    <w:rsid w:val="356347D2"/>
    <w:rsid w:val="35A973C7"/>
    <w:rsid w:val="35BC70FA"/>
    <w:rsid w:val="35BF6BEA"/>
    <w:rsid w:val="35FD71E6"/>
    <w:rsid w:val="36533F02"/>
    <w:rsid w:val="3676374D"/>
    <w:rsid w:val="368A264F"/>
    <w:rsid w:val="36B9188B"/>
    <w:rsid w:val="36BD75CE"/>
    <w:rsid w:val="372E5DD5"/>
    <w:rsid w:val="373807D5"/>
    <w:rsid w:val="373C383C"/>
    <w:rsid w:val="375F2433"/>
    <w:rsid w:val="37691503"/>
    <w:rsid w:val="379522F8"/>
    <w:rsid w:val="37A8202C"/>
    <w:rsid w:val="38353194"/>
    <w:rsid w:val="39504729"/>
    <w:rsid w:val="39535959"/>
    <w:rsid w:val="39DC420F"/>
    <w:rsid w:val="39E9692C"/>
    <w:rsid w:val="3A313FD8"/>
    <w:rsid w:val="3A414072"/>
    <w:rsid w:val="3A555D6F"/>
    <w:rsid w:val="3A606BEE"/>
    <w:rsid w:val="3A6F6E31"/>
    <w:rsid w:val="3A984EBE"/>
    <w:rsid w:val="3A9B35BF"/>
    <w:rsid w:val="3AA62B7B"/>
    <w:rsid w:val="3B226F6B"/>
    <w:rsid w:val="3B840969"/>
    <w:rsid w:val="3BA90120"/>
    <w:rsid w:val="3BEE5DE6"/>
    <w:rsid w:val="3C08199E"/>
    <w:rsid w:val="3C2B4FD9"/>
    <w:rsid w:val="3C4340D1"/>
    <w:rsid w:val="3C5502A8"/>
    <w:rsid w:val="3CAC7393"/>
    <w:rsid w:val="3D251A29"/>
    <w:rsid w:val="3DA54918"/>
    <w:rsid w:val="3DBC05DF"/>
    <w:rsid w:val="3DC73C65"/>
    <w:rsid w:val="3E077380"/>
    <w:rsid w:val="3E8D1F7B"/>
    <w:rsid w:val="3EAD74F6"/>
    <w:rsid w:val="3EB017C6"/>
    <w:rsid w:val="3F4731A4"/>
    <w:rsid w:val="3F4940F4"/>
    <w:rsid w:val="403847D7"/>
    <w:rsid w:val="40672358"/>
    <w:rsid w:val="40C1415E"/>
    <w:rsid w:val="40C63523"/>
    <w:rsid w:val="40E57E4D"/>
    <w:rsid w:val="41AA4BF2"/>
    <w:rsid w:val="4251506E"/>
    <w:rsid w:val="42784CF1"/>
    <w:rsid w:val="42BF022A"/>
    <w:rsid w:val="432A7D99"/>
    <w:rsid w:val="434D1CD9"/>
    <w:rsid w:val="43B6162D"/>
    <w:rsid w:val="43C55D14"/>
    <w:rsid w:val="43C7383A"/>
    <w:rsid w:val="44316F05"/>
    <w:rsid w:val="44466E54"/>
    <w:rsid w:val="44741276"/>
    <w:rsid w:val="44A1052F"/>
    <w:rsid w:val="4504286C"/>
    <w:rsid w:val="4508235C"/>
    <w:rsid w:val="4516604D"/>
    <w:rsid w:val="4554734F"/>
    <w:rsid w:val="456D5566"/>
    <w:rsid w:val="457F1EF2"/>
    <w:rsid w:val="45A928FE"/>
    <w:rsid w:val="45CC5137"/>
    <w:rsid w:val="45EF0E26"/>
    <w:rsid w:val="46715CDF"/>
    <w:rsid w:val="46725015"/>
    <w:rsid w:val="46EE63EF"/>
    <w:rsid w:val="47372A84"/>
    <w:rsid w:val="47C95F41"/>
    <w:rsid w:val="47D46525"/>
    <w:rsid w:val="47E26E94"/>
    <w:rsid w:val="486A35F7"/>
    <w:rsid w:val="48F213A2"/>
    <w:rsid w:val="49061D9D"/>
    <w:rsid w:val="49180694"/>
    <w:rsid w:val="49B92767"/>
    <w:rsid w:val="49FE735A"/>
    <w:rsid w:val="4A435BE4"/>
    <w:rsid w:val="4A4A2ACF"/>
    <w:rsid w:val="4BCB46F2"/>
    <w:rsid w:val="4C365A00"/>
    <w:rsid w:val="4C800A2A"/>
    <w:rsid w:val="4CBE1552"/>
    <w:rsid w:val="4CFFE6BE"/>
    <w:rsid w:val="4D186EB4"/>
    <w:rsid w:val="4D5F0F87"/>
    <w:rsid w:val="4DC96400"/>
    <w:rsid w:val="4E604FB7"/>
    <w:rsid w:val="4E683E6B"/>
    <w:rsid w:val="4EAA7FE0"/>
    <w:rsid w:val="4EC72940"/>
    <w:rsid w:val="4EFD01D6"/>
    <w:rsid w:val="4F18715D"/>
    <w:rsid w:val="4F3D0E54"/>
    <w:rsid w:val="4F5166AD"/>
    <w:rsid w:val="50120532"/>
    <w:rsid w:val="505428F9"/>
    <w:rsid w:val="50AD025B"/>
    <w:rsid w:val="517B5710"/>
    <w:rsid w:val="51842D6A"/>
    <w:rsid w:val="51874608"/>
    <w:rsid w:val="52080142"/>
    <w:rsid w:val="523D116B"/>
    <w:rsid w:val="527C1C93"/>
    <w:rsid w:val="52B633F7"/>
    <w:rsid w:val="52EA4E4F"/>
    <w:rsid w:val="53083527"/>
    <w:rsid w:val="53514ECE"/>
    <w:rsid w:val="53AC65A8"/>
    <w:rsid w:val="53F341D7"/>
    <w:rsid w:val="546D409E"/>
    <w:rsid w:val="54E57FC4"/>
    <w:rsid w:val="551553C7"/>
    <w:rsid w:val="55191A1B"/>
    <w:rsid w:val="560D5F7F"/>
    <w:rsid w:val="561548D9"/>
    <w:rsid w:val="56206DD9"/>
    <w:rsid w:val="56462CE4"/>
    <w:rsid w:val="56494582"/>
    <w:rsid w:val="56554CD5"/>
    <w:rsid w:val="56F75D8C"/>
    <w:rsid w:val="573568B4"/>
    <w:rsid w:val="57AF48B9"/>
    <w:rsid w:val="57DF519E"/>
    <w:rsid w:val="57FB7AFE"/>
    <w:rsid w:val="581A4428"/>
    <w:rsid w:val="584C4ECF"/>
    <w:rsid w:val="58A4012F"/>
    <w:rsid w:val="58C86CB2"/>
    <w:rsid w:val="59184A67"/>
    <w:rsid w:val="593C03CE"/>
    <w:rsid w:val="5996387F"/>
    <w:rsid w:val="59C83A10"/>
    <w:rsid w:val="5A225816"/>
    <w:rsid w:val="5A5D684E"/>
    <w:rsid w:val="5A5F68EC"/>
    <w:rsid w:val="5B9B13DC"/>
    <w:rsid w:val="5BC326E1"/>
    <w:rsid w:val="5C5477DD"/>
    <w:rsid w:val="5C643EC4"/>
    <w:rsid w:val="5D335644"/>
    <w:rsid w:val="5E0A18F2"/>
    <w:rsid w:val="5E8906B6"/>
    <w:rsid w:val="5EAE58CA"/>
    <w:rsid w:val="5EC23124"/>
    <w:rsid w:val="5EF37781"/>
    <w:rsid w:val="5F27742B"/>
    <w:rsid w:val="5F3202A9"/>
    <w:rsid w:val="5F700DD2"/>
    <w:rsid w:val="5FC1162D"/>
    <w:rsid w:val="600A1843"/>
    <w:rsid w:val="60B116A2"/>
    <w:rsid w:val="60B82A30"/>
    <w:rsid w:val="60F872D1"/>
    <w:rsid w:val="61B2122D"/>
    <w:rsid w:val="6200468F"/>
    <w:rsid w:val="623600B0"/>
    <w:rsid w:val="62C1069B"/>
    <w:rsid w:val="62C92CD3"/>
    <w:rsid w:val="63696264"/>
    <w:rsid w:val="63715118"/>
    <w:rsid w:val="638135AD"/>
    <w:rsid w:val="63B82D47"/>
    <w:rsid w:val="63B95028"/>
    <w:rsid w:val="63C85C27"/>
    <w:rsid w:val="63D062E3"/>
    <w:rsid w:val="64192681"/>
    <w:rsid w:val="64395C36"/>
    <w:rsid w:val="64B14444"/>
    <w:rsid w:val="64D224C6"/>
    <w:rsid w:val="651E6BDA"/>
    <w:rsid w:val="658C6239"/>
    <w:rsid w:val="65A6554D"/>
    <w:rsid w:val="65FC33BF"/>
    <w:rsid w:val="664B1C51"/>
    <w:rsid w:val="66763171"/>
    <w:rsid w:val="66776CC4"/>
    <w:rsid w:val="66E0683D"/>
    <w:rsid w:val="674048CA"/>
    <w:rsid w:val="677213EF"/>
    <w:rsid w:val="677B0314"/>
    <w:rsid w:val="67982C74"/>
    <w:rsid w:val="67A930D3"/>
    <w:rsid w:val="67E11B8A"/>
    <w:rsid w:val="68882CE8"/>
    <w:rsid w:val="69FB2A7A"/>
    <w:rsid w:val="6A53650D"/>
    <w:rsid w:val="6A94006A"/>
    <w:rsid w:val="6B4E19CF"/>
    <w:rsid w:val="6B607F4C"/>
    <w:rsid w:val="6BE566A3"/>
    <w:rsid w:val="6C1F5711"/>
    <w:rsid w:val="6C67530A"/>
    <w:rsid w:val="6D4B5EE4"/>
    <w:rsid w:val="6D5A28B2"/>
    <w:rsid w:val="6D7424BC"/>
    <w:rsid w:val="6E492F1A"/>
    <w:rsid w:val="6E751F61"/>
    <w:rsid w:val="6E76053B"/>
    <w:rsid w:val="6E8403F6"/>
    <w:rsid w:val="6EBE56B6"/>
    <w:rsid w:val="6ED529FF"/>
    <w:rsid w:val="6FC0545D"/>
    <w:rsid w:val="70657DB3"/>
    <w:rsid w:val="707177CA"/>
    <w:rsid w:val="70B10D98"/>
    <w:rsid w:val="70C04FE9"/>
    <w:rsid w:val="711D56D4"/>
    <w:rsid w:val="713A4D9B"/>
    <w:rsid w:val="71866233"/>
    <w:rsid w:val="71DC7C05"/>
    <w:rsid w:val="72A03324"/>
    <w:rsid w:val="72E2393D"/>
    <w:rsid w:val="72F2438E"/>
    <w:rsid w:val="73CF2113"/>
    <w:rsid w:val="73F43927"/>
    <w:rsid w:val="742F670E"/>
    <w:rsid w:val="7443665D"/>
    <w:rsid w:val="74633785"/>
    <w:rsid w:val="747800B5"/>
    <w:rsid w:val="757D16FB"/>
    <w:rsid w:val="75C612F4"/>
    <w:rsid w:val="75CC7E50"/>
    <w:rsid w:val="762F0C47"/>
    <w:rsid w:val="76AE24B4"/>
    <w:rsid w:val="76D67314"/>
    <w:rsid w:val="778D20C9"/>
    <w:rsid w:val="77B24C3B"/>
    <w:rsid w:val="77BE3249"/>
    <w:rsid w:val="77CB499F"/>
    <w:rsid w:val="78872FBC"/>
    <w:rsid w:val="7A574C10"/>
    <w:rsid w:val="7A6F5AB6"/>
    <w:rsid w:val="7B2F16E9"/>
    <w:rsid w:val="7B4F257F"/>
    <w:rsid w:val="7B763DDC"/>
    <w:rsid w:val="7B7A0F36"/>
    <w:rsid w:val="7B8053BB"/>
    <w:rsid w:val="7BDB1116"/>
    <w:rsid w:val="7C06244A"/>
    <w:rsid w:val="7C120DEF"/>
    <w:rsid w:val="7C3C2310"/>
    <w:rsid w:val="7C745605"/>
    <w:rsid w:val="7CFC55FB"/>
    <w:rsid w:val="7D3B5699"/>
    <w:rsid w:val="7D4A280A"/>
    <w:rsid w:val="7D5B0573"/>
    <w:rsid w:val="7D851A94"/>
    <w:rsid w:val="7DA22646"/>
    <w:rsid w:val="7E080DDA"/>
    <w:rsid w:val="7E17093E"/>
    <w:rsid w:val="7E510584"/>
    <w:rsid w:val="7E7933A7"/>
    <w:rsid w:val="7EA1645A"/>
    <w:rsid w:val="7EF31D47"/>
    <w:rsid w:val="7F182BC0"/>
    <w:rsid w:val="7F6556D9"/>
    <w:rsid w:val="7F875650"/>
    <w:rsid w:val="7FA93818"/>
    <w:rsid w:val="7FF07699"/>
    <w:rsid w:val="AE36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30"/>
    </w:pPr>
    <w:rPr>
      <w:rFonts w:ascii="黑体" w:hAnsi="Calibri" w:eastAsia="黑体"/>
      <w:sz w:val="32"/>
      <w:szCs w:val="32"/>
    </w:rPr>
  </w:style>
  <w:style w:type="paragraph" w:styleId="4">
    <w:name w:val="toc 3"/>
    <w:basedOn w:val="1"/>
    <w:next w:val="1"/>
    <w:unhideWhenUsed/>
    <w:qFormat/>
    <w:uiPriority w:val="39"/>
    <w:pPr>
      <w:ind w:left="840" w:leftChars="400"/>
    </w:p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styleId="12">
    <w:name w:val="Strong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customStyle="1" w:styleId="14">
    <w:name w:val="页脚 Char"/>
    <w:basedOn w:val="11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11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日期 Char"/>
    <w:basedOn w:val="11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框文本 Char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.config/qaxbrowser/Default/DownloadCache/D:\data\weboffice\C:\Users\Hewlett%20Packard\AppData\Roaming\Microsoft\Templates\&#28189;&#27665;&#21457;2019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1056</Words>
  <Characters>1110</Characters>
  <Lines>30</Lines>
  <Paragraphs>8</Paragraphs>
  <TotalTime>2</TotalTime>
  <ScaleCrop>false</ScaleCrop>
  <LinksUpToDate>false</LinksUpToDate>
  <CharactersWithSpaces>1111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2022-04-28T20:27:00Z</dcterms:created>
  <dc:creator>黄梅</dc:creator>
  <cp:lastModifiedBy>user</cp:lastModifiedBy>
  <cp:lastPrinted>2024-03-13T00:16:00Z</cp:lastPrinted>
  <dcterms:modified xsi:type="dcterms:W3CDTF">2025-03-25T11:18:08Z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30EC7EDF84E042AE87D89D5ED5B05A98</vt:lpwstr>
  </property>
  <property fmtid="{D5CDD505-2E9C-101B-9397-08002B2CF9AE}" pid="4" name="KSOTemplateDocerSaveRecord">
    <vt:lpwstr>eyJoZGlkIjoiN2MxOTRlMDI0MDdjNmJjODU1MTJiNDc2MDViYmNmMGMiLCJ1c2VySWQiOiIzNDYyNDAwMTMifQ==</vt:lpwstr>
  </property>
</Properties>
</file>