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2"/>
        <w:gridCol w:w="8703"/>
        <w:gridCol w:w="77"/>
        <w:gridCol w:w="6"/>
      </w:tblGrid>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9" w:type="dxa"/>
          <w:cantSplit/>
          <w:trHeight w:val="550" w:hRule="atLeast"/>
          <w:jc w:val="center"/>
        </w:trPr>
        <w:tc>
          <w:tcPr>
            <w:tcW w:w="8825" w:type="dxa"/>
            <w:gridSpan w:val="2"/>
            <w:tcBorders>
              <w:top w:val="nil"/>
              <w:left w:val="nil"/>
              <w:bottom w:val="nil"/>
              <w:right w:val="nil"/>
            </w:tcBorders>
          </w:tcPr>
          <w:p>
            <w:pPr>
              <w:pStyle w:val="23"/>
              <w:rPr>
                <w:rFonts w:hint="default" w:ascii="Times New Roman" w:hAnsi="Times New Roman" w:cs="Times New Roman"/>
                <w:color w:val="FFFFFF"/>
              </w:rPr>
            </w:pP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9" w:type="dxa"/>
          <w:cantSplit/>
          <w:trHeight w:val="550" w:hRule="atLeast"/>
          <w:jc w:val="center"/>
        </w:trPr>
        <w:tc>
          <w:tcPr>
            <w:tcW w:w="8825" w:type="dxa"/>
            <w:gridSpan w:val="2"/>
            <w:tcBorders>
              <w:top w:val="nil"/>
              <w:left w:val="nil"/>
              <w:bottom w:val="nil"/>
              <w:right w:val="nil"/>
            </w:tcBorders>
          </w:tcPr>
          <w:p>
            <w:pPr>
              <w:pStyle w:val="23"/>
              <w:ind w:left="-4" w:leftChars="-2"/>
              <w:rPr>
                <w:rFonts w:hint="default" w:ascii="Times New Roman" w:hAnsi="Times New Roman" w:cs="Times New Roman"/>
              </w:rPr>
            </w:pPr>
            <w:bookmarkStart w:id="0" w:name="PrivateLevel"/>
            <w:bookmarkEnd w:id="0"/>
            <w:bookmarkStart w:id="1" w:name="PrivateTime"/>
            <w:bookmarkEnd w:id="1"/>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52" w:hRule="atLeast"/>
          <w:jc w:val="center"/>
        </w:trPr>
        <w:tc>
          <w:tcPr>
            <w:tcW w:w="8844" w:type="dxa"/>
            <w:gridSpan w:val="4"/>
            <w:tcBorders>
              <w:top w:val="nil"/>
              <w:left w:val="nil"/>
              <w:bottom w:val="nil"/>
              <w:right w:val="nil"/>
            </w:tcBorders>
          </w:tcPr>
          <w:p>
            <w:pPr>
              <w:pStyle w:val="23"/>
              <w:rPr>
                <w:rFonts w:hint="default" w:ascii="Times New Roman" w:hAnsi="Times New Roman" w:cs="Times New Roman"/>
              </w:rPr>
            </w:pPr>
            <w:bookmarkStart w:id="2" w:name="Urgent"/>
            <w:bookmarkEnd w:id="2"/>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22" w:type="dxa"/>
          <w:wAfter w:w="6" w:type="dxa"/>
          <w:cantSplit/>
          <w:trHeight w:val="948" w:hRule="atLeast"/>
          <w:jc w:val="center"/>
        </w:trPr>
        <w:tc>
          <w:tcPr>
            <w:tcW w:w="8780" w:type="dxa"/>
            <w:gridSpan w:val="2"/>
            <w:tcBorders>
              <w:top w:val="nil"/>
              <w:left w:val="nil"/>
              <w:bottom w:val="nil"/>
              <w:right w:val="nil"/>
            </w:tcBorders>
            <w:vAlign w:val="center"/>
          </w:tcPr>
          <w:p>
            <w:pPr>
              <w:pStyle w:val="2"/>
              <w:rPr>
                <w:rFonts w:hint="default" w:ascii="Times New Roman" w:hAnsi="Times New Roman" w:cs="Times New Roman"/>
              </w:rPr>
            </w:pPr>
            <w:bookmarkStart w:id="3" w:name="publishfilename"/>
            <w:r>
              <w:rPr>
                <w:rFonts w:hint="default" w:ascii="Times New Roman" w:hAnsi="Times New Roman" w:cs="Times New Roman"/>
                <w:spacing w:val="-17"/>
                <w:w w:val="51"/>
                <w:sz w:val="112"/>
                <w:szCs w:val="112"/>
              </w:rPr>
              <w:t>重庆市沙坪坝区农业农村委员会文件</w:t>
            </w:r>
            <w:bookmarkEnd w:id="3"/>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22" w:type="dxa"/>
          <w:wAfter w:w="6" w:type="dxa"/>
          <w:cantSplit/>
          <w:trHeight w:val="555" w:hRule="atLeast"/>
          <w:jc w:val="center"/>
        </w:trPr>
        <w:tc>
          <w:tcPr>
            <w:tcW w:w="8780" w:type="dxa"/>
            <w:gridSpan w:val="2"/>
            <w:tcBorders>
              <w:top w:val="nil"/>
              <w:left w:val="nil"/>
              <w:bottom w:val="nil"/>
              <w:right w:val="nil"/>
            </w:tcBorders>
          </w:tcPr>
          <w:p>
            <w:pPr>
              <w:tabs>
                <w:tab w:val="left" w:pos="5291"/>
              </w:tabs>
              <w:ind w:left="622" w:firstLine="622"/>
              <w:jc w:val="center"/>
              <w:rPr>
                <w:rFonts w:hint="default" w:ascii="Times New Roman" w:hAnsi="Times New Roman" w:cs="Times New Roman"/>
              </w:rPr>
            </w:pP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22" w:type="dxa"/>
          <w:wAfter w:w="6" w:type="dxa"/>
          <w:cantSplit/>
          <w:trHeight w:val="430" w:hRule="atLeast"/>
          <w:jc w:val="center"/>
        </w:trPr>
        <w:tc>
          <w:tcPr>
            <w:tcW w:w="8780" w:type="dxa"/>
            <w:gridSpan w:val="2"/>
            <w:tcBorders>
              <w:top w:val="nil"/>
              <w:left w:val="nil"/>
              <w:bottom w:val="nil"/>
              <w:right w:val="nil"/>
            </w:tcBorders>
            <w:vAlign w:val="bottom"/>
          </w:tcPr>
          <w:p>
            <w:pPr>
              <w:ind w:right="510" w:firstLine="320" w:firstLineChars="100"/>
              <w:rPr>
                <w:rFonts w:hint="default" w:ascii="Times New Roman" w:hAnsi="Times New Roman" w:eastAsia="方正仿宋_GBK" w:cs="Times New Roman"/>
                <w:lang w:eastAsia="zh-CN"/>
              </w:rPr>
            </w:pPr>
            <w:r>
              <w:rPr>
                <w:rFonts w:hint="default" w:ascii="Times New Roman" w:hAnsi="Times New Roman" w:eastAsia="方正仿宋_GBK" w:cs="Times New Roman"/>
                <w:sz w:val="32"/>
                <w:szCs w:val="20"/>
              </w:rPr>
              <w:t>沙农文</w:t>
            </w: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202</w:t>
            </w: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123</w:t>
            </w:r>
            <w:r>
              <w:rPr>
                <w:rFonts w:hint="default" w:ascii="Times New Roman" w:hAnsi="Times New Roman" w:eastAsia="方正仿宋_GBK" w:cs="Times New Roman"/>
                <w:sz w:val="32"/>
                <w:szCs w:val="32"/>
              </w:rPr>
              <w:t>号</w:t>
            </w:r>
            <w:r>
              <w:rPr>
                <w:rFonts w:hint="default" w:ascii="Times New Roman" w:hAnsi="Times New Roman" w:cs="Times New Roman"/>
                <w:sz w:val="32"/>
                <w:szCs w:val="32"/>
              </w:rPr>
              <w:t xml:space="preserve">               </w:t>
            </w:r>
            <w:r>
              <w:rPr>
                <w:rFonts w:hint="eastAsia" w:cs="Times New Roman"/>
                <w:sz w:val="32"/>
                <w:szCs w:val="32"/>
                <w:lang w:val="en-US" w:eastAsia="zh-CN"/>
              </w:rPr>
              <w:t xml:space="preserve">    </w:t>
            </w:r>
            <w:r>
              <w:rPr>
                <w:rFonts w:hint="default" w:ascii="Times New Roman" w:hAnsi="Times New Roman" w:eastAsia="方正仿宋_GBK" w:cs="Times New Roman"/>
                <w:sz w:val="32"/>
                <w:szCs w:val="32"/>
              </w:rPr>
              <w:t>签发人：</w:t>
            </w:r>
            <w:r>
              <w:rPr>
                <w:rFonts w:hint="default" w:ascii="Times New Roman" w:hAnsi="Times New Roman" w:eastAsia="方正楷体_GBK" w:cs="Times New Roman"/>
                <w:sz w:val="32"/>
                <w:szCs w:val="32"/>
                <w:lang w:eastAsia="zh-CN"/>
              </w:rPr>
              <w:t>陈</w:t>
            </w:r>
            <w:r>
              <w:rPr>
                <w:rFonts w:hint="eastAsia" w:eastAsia="方正楷体_GBK" w:cs="Times New Roman"/>
                <w:sz w:val="32"/>
                <w:szCs w:val="32"/>
                <w:lang w:val="en-US" w:eastAsia="zh-CN"/>
              </w:rPr>
              <w:t xml:space="preserve">  </w:t>
            </w:r>
            <w:r>
              <w:rPr>
                <w:rFonts w:hint="default" w:ascii="Times New Roman" w:hAnsi="Times New Roman" w:eastAsia="方正楷体_GBK" w:cs="Times New Roman"/>
                <w:sz w:val="32"/>
                <w:szCs w:val="32"/>
                <w:lang w:eastAsia="zh-CN"/>
              </w:rPr>
              <w:t>饶</w:t>
            </w: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22" w:type="dxa"/>
          <w:wAfter w:w="6" w:type="dxa"/>
          <w:cantSplit/>
          <w:trHeight w:val="80" w:hRule="exact"/>
          <w:jc w:val="center"/>
        </w:trPr>
        <w:tc>
          <w:tcPr>
            <w:tcW w:w="8780" w:type="dxa"/>
            <w:gridSpan w:val="2"/>
            <w:tcBorders>
              <w:top w:val="nil"/>
            </w:tcBorders>
          </w:tcPr>
          <w:p>
            <w:pPr>
              <w:ind w:left="622" w:firstLine="622"/>
              <w:jc w:val="center"/>
              <w:rPr>
                <w:rFonts w:hint="default" w:ascii="Times New Roman" w:hAnsi="Times New Roman" w:cs="Times New Roman"/>
              </w:rPr>
            </w:pPr>
          </w:p>
        </w:tc>
      </w:tr>
    </w:tbl>
    <w:p>
      <w:pPr>
        <w:spacing w:line="600" w:lineRule="exact"/>
        <w:jc w:val="center"/>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重庆市沙坪坝区农业农村委员会</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关于报送《2024年沙坪坝区水产绿色健康养</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殖技术推广</w:t>
      </w:r>
      <w:r>
        <w:rPr>
          <w:rFonts w:hint="eastAsia" w:ascii="方正仿宋_GBK" w:hAnsi="方正仿宋_GBK" w:eastAsia="方正仿宋_GBK" w:cs="方正仿宋_GBK"/>
          <w:bCs/>
          <w:sz w:val="44"/>
          <w:szCs w:val="44"/>
        </w:rPr>
        <w:t>“</w:t>
      </w:r>
      <w:r>
        <w:rPr>
          <w:rFonts w:hint="default" w:ascii="Times New Roman" w:hAnsi="Times New Roman" w:eastAsia="方正小标宋_GBK" w:cs="Times New Roman"/>
          <w:bCs/>
          <w:sz w:val="44"/>
          <w:szCs w:val="44"/>
        </w:rPr>
        <w:t>五大行动</w:t>
      </w:r>
      <w:r>
        <w:rPr>
          <w:rFonts w:hint="eastAsia" w:ascii="方正仿宋_GBK" w:hAnsi="方正仿宋_GBK" w:eastAsia="方正仿宋_GBK" w:cs="方正仿宋_GBK"/>
          <w:bCs/>
          <w:sz w:val="44"/>
          <w:szCs w:val="44"/>
        </w:rPr>
        <w:t>”</w:t>
      </w:r>
      <w:r>
        <w:rPr>
          <w:rFonts w:hint="default" w:ascii="Times New Roman" w:hAnsi="Times New Roman" w:eastAsia="方正小标宋_GBK" w:cs="Times New Roman"/>
          <w:bCs/>
          <w:sz w:val="44"/>
          <w:szCs w:val="44"/>
        </w:rPr>
        <w:t>实施方案》的报告</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市农业农村委：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为切实抓好</w:t>
      </w:r>
      <w:r>
        <w:rPr>
          <w:rFonts w:hint="default" w:ascii="Times New Roman" w:hAnsi="Times New Roman" w:eastAsia="方正仿宋_GBK" w:cs="Times New Roman"/>
          <w:bCs/>
          <w:sz w:val="32"/>
          <w:szCs w:val="32"/>
          <w:lang w:eastAsia="zh-CN"/>
        </w:rPr>
        <w:t>沙坪坝区水产绿色健康养殖技术推广</w:t>
      </w:r>
      <w:r>
        <w:rPr>
          <w:rFonts w:hint="default" w:ascii="Times New Roman" w:hAnsi="Times New Roman" w:eastAsia="方正仿宋_GBK" w:cs="Times New Roman"/>
          <w:bCs/>
          <w:sz w:val="32"/>
          <w:szCs w:val="32"/>
        </w:rPr>
        <w:t>工作，根据重庆市农业农村委员会《关于印发2024年重庆市水产绿色健康养殖技术推</w:t>
      </w:r>
      <w:r>
        <w:rPr>
          <w:rFonts w:hint="eastAsia" w:ascii="方正仿宋_GBK" w:hAnsi="方正仿宋_GBK" w:eastAsia="方正仿宋_GBK" w:cs="方正仿宋_GBK"/>
          <w:bCs/>
          <w:sz w:val="32"/>
          <w:szCs w:val="32"/>
        </w:rPr>
        <w:t>广“五大行动”实</w:t>
      </w:r>
      <w:r>
        <w:rPr>
          <w:rFonts w:hint="default" w:ascii="Times New Roman" w:hAnsi="Times New Roman" w:eastAsia="方正仿宋_GBK" w:cs="Times New Roman"/>
          <w:bCs/>
          <w:sz w:val="32"/>
          <w:szCs w:val="32"/>
        </w:rPr>
        <w:t>施方案的通知》（渝农发〔2024〕53号）文件</w:t>
      </w:r>
      <w:r>
        <w:rPr>
          <w:rFonts w:hint="default" w:ascii="Times New Roman" w:hAnsi="Times New Roman" w:eastAsia="方正仿宋_GBK" w:cs="Times New Roman"/>
          <w:bCs/>
          <w:sz w:val="32"/>
          <w:szCs w:val="32"/>
          <w:lang w:eastAsia="zh-CN"/>
        </w:rPr>
        <w:t>精神</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eastAsia="zh-CN"/>
        </w:rPr>
        <w:t>结合沙坪坝区实际情况，</w:t>
      </w:r>
      <w:r>
        <w:rPr>
          <w:rFonts w:hint="default" w:ascii="Times New Roman" w:hAnsi="Times New Roman" w:eastAsia="方正仿宋_GBK" w:cs="Times New Roman"/>
          <w:bCs/>
          <w:sz w:val="32"/>
          <w:szCs w:val="32"/>
        </w:rPr>
        <w:t>制定2024年沙坪坝区水产绿色健康养殖技术推</w:t>
      </w:r>
      <w:r>
        <w:rPr>
          <w:rFonts w:hint="eastAsia" w:ascii="方正仿宋_GBK" w:hAnsi="方正仿宋_GBK" w:eastAsia="方正仿宋_GBK" w:cs="方正仿宋_GBK"/>
          <w:bCs/>
          <w:sz w:val="32"/>
          <w:szCs w:val="32"/>
        </w:rPr>
        <w:t>广“五大行动”实</w:t>
      </w:r>
      <w:r>
        <w:rPr>
          <w:rFonts w:hint="default" w:ascii="Times New Roman" w:hAnsi="Times New Roman" w:eastAsia="方正仿宋_GBK" w:cs="Times New Roman"/>
          <w:bCs/>
          <w:sz w:val="32"/>
          <w:szCs w:val="32"/>
        </w:rPr>
        <w:t>施方案</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现呈报贵委。</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_GBK" w:hAnsi="方正仿宋_GBK" w:eastAsia="方正仿宋_GBK" w:cs="方正仿宋_GBK"/>
          <w:bCs/>
          <w:sz w:val="32"/>
          <w:szCs w:val="32"/>
          <w:lang w:val="en-US" w:eastAsia="zh-CN"/>
        </w:rPr>
      </w:pPr>
      <w:r>
        <w:rPr>
          <w:rFonts w:hint="default" w:ascii="Times New Roman" w:hAnsi="Times New Roman" w:eastAsia="方正仿宋_GBK" w:cs="Times New Roman"/>
          <w:bCs/>
          <w:sz w:val="32"/>
          <w:szCs w:val="32"/>
        </w:rPr>
        <w:t>附件：2024年沙坪坝区水产绿色健康养</w:t>
      </w:r>
      <w:r>
        <w:rPr>
          <w:rFonts w:hint="eastAsia" w:ascii="方正仿宋_GBK" w:hAnsi="方正仿宋_GBK" w:eastAsia="方正仿宋_GBK" w:cs="方正仿宋_GBK"/>
          <w:bCs/>
          <w:sz w:val="32"/>
          <w:szCs w:val="32"/>
        </w:rPr>
        <w:t>殖技术推广“五</w:t>
      </w:r>
      <w:r>
        <w:rPr>
          <w:rFonts w:hint="eastAsia" w:ascii="方正仿宋_GBK" w:hAnsi="方正仿宋_GBK" w:eastAsia="方正仿宋_GBK" w:cs="方正仿宋_GBK"/>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大行动”实施方案</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重庆市沙坪坝区农业农村委员会</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202</w:t>
      </w:r>
      <w:r>
        <w:rPr>
          <w:rFonts w:hint="default"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rPr>
        <w:t>年</w:t>
      </w:r>
      <w:r>
        <w:rPr>
          <w:rFonts w:hint="default"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rPr>
        <w:t>月1</w:t>
      </w:r>
      <w:r>
        <w:rPr>
          <w:rFonts w:hint="eastAsia" w:eastAsia="方正仿宋_GBK" w:cs="Times New Roman"/>
          <w:bCs/>
          <w:sz w:val="32"/>
          <w:szCs w:val="32"/>
          <w:lang w:val="en-US" w:eastAsia="zh-CN"/>
        </w:rPr>
        <w:t>5</w:t>
      </w:r>
      <w:r>
        <w:rPr>
          <w:rFonts w:hint="default" w:ascii="Times New Roman" w:hAnsi="Times New Roman" w:eastAsia="方正仿宋_GBK" w:cs="Times New Roman"/>
          <w:bCs/>
          <w:sz w:val="32"/>
          <w:szCs w:val="32"/>
        </w:rPr>
        <w:t>日</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（联系人：肖吉峰；联系电话：13594345176）</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bCs/>
          <w:sz w:val="32"/>
          <w:szCs w:val="32"/>
        </w:rPr>
      </w:pPr>
    </w:p>
    <w:p>
      <w:pPr>
        <w:spacing w:line="600" w:lineRule="exact"/>
        <w:rPr>
          <w:rFonts w:hint="default" w:ascii="Times New Roman" w:hAnsi="Times New Roman" w:eastAsia="方正仿宋_GBK" w:cs="Times New Roman"/>
          <w:bCs/>
          <w:sz w:val="32"/>
          <w:szCs w:val="32"/>
        </w:rPr>
      </w:pPr>
    </w:p>
    <w:p>
      <w:pPr>
        <w:spacing w:line="600" w:lineRule="exact"/>
        <w:rPr>
          <w:rFonts w:hint="default" w:ascii="Times New Roman" w:hAnsi="Times New Roman" w:eastAsia="方正仿宋_GBK" w:cs="Times New Roman"/>
          <w:bCs/>
          <w:sz w:val="32"/>
          <w:szCs w:val="32"/>
        </w:rPr>
      </w:pPr>
    </w:p>
    <w:p>
      <w:pPr>
        <w:spacing w:line="600" w:lineRule="exact"/>
        <w:jc w:val="left"/>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附件</w:t>
      </w:r>
    </w:p>
    <w:p>
      <w:pPr>
        <w:spacing w:line="600" w:lineRule="exact"/>
        <w:jc w:val="left"/>
        <w:rPr>
          <w:rFonts w:hint="default" w:ascii="Times New Roman" w:hAnsi="Times New Roman" w:eastAsia="方正黑体_GBK" w:cs="Times New Roman"/>
          <w:bCs/>
          <w:sz w:val="32"/>
          <w:szCs w:val="32"/>
        </w:rPr>
      </w:pPr>
    </w:p>
    <w:p>
      <w:pPr>
        <w:spacing w:line="700" w:lineRule="exact"/>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val="en-US" w:eastAsia="zh-CN"/>
        </w:rPr>
        <w:t>2024年</w:t>
      </w:r>
      <w:r>
        <w:rPr>
          <w:rFonts w:hint="default" w:ascii="Times New Roman" w:hAnsi="Times New Roman" w:eastAsia="方正小标宋_GBK" w:cs="Times New Roman"/>
          <w:sz w:val="44"/>
          <w:szCs w:val="44"/>
          <w:lang w:eastAsia="zh-CN"/>
        </w:rPr>
        <w:t>沙坪坝区</w:t>
      </w:r>
      <w:r>
        <w:rPr>
          <w:rFonts w:hint="default" w:ascii="Times New Roman" w:hAnsi="Times New Roman" w:eastAsia="方正小标宋_GBK" w:cs="Times New Roman"/>
          <w:sz w:val="44"/>
          <w:szCs w:val="44"/>
        </w:rPr>
        <w:t>水产绿色健康养殖</w:t>
      </w:r>
      <w:r>
        <w:rPr>
          <w:rFonts w:hint="default" w:ascii="Times New Roman" w:hAnsi="Times New Roman" w:eastAsia="方正小标宋_GBK" w:cs="Times New Roman"/>
          <w:sz w:val="44"/>
          <w:szCs w:val="44"/>
          <w:lang w:eastAsia="zh-CN"/>
        </w:rPr>
        <w:t>技术</w:t>
      </w:r>
    </w:p>
    <w:p>
      <w:pPr>
        <w:spacing w:line="700" w:lineRule="exact"/>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推广</w:t>
      </w:r>
      <w:r>
        <w:rPr>
          <w:rFonts w:hint="default" w:ascii="Times New Roman" w:hAnsi="Times New Roman" w:eastAsia="方正小标宋_GBK" w:cs="Times New Roman"/>
          <w:sz w:val="44"/>
          <w:szCs w:val="44"/>
        </w:rPr>
        <w:t>“五大行动”</w:t>
      </w:r>
      <w:r>
        <w:rPr>
          <w:rFonts w:hint="default" w:ascii="Times New Roman" w:hAnsi="Times New Roman" w:eastAsia="方正小标宋_GBK" w:cs="Times New Roman"/>
          <w:sz w:val="44"/>
          <w:szCs w:val="44"/>
          <w:lang w:eastAsia="zh-CN"/>
        </w:rPr>
        <w:t>实施方案</w:t>
      </w:r>
    </w:p>
    <w:p>
      <w:pPr>
        <w:spacing w:line="600" w:lineRule="exact"/>
        <w:rPr>
          <w:rFonts w:hint="default" w:ascii="Times New Roman" w:hAnsi="Times New Roman" w:cs="Times New Roman"/>
          <w:szCs w:val="22"/>
        </w:rPr>
      </w:pP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为认真落实重庆市农业农村委员会《关于印发202</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年重庆市水产绿色健康养殖</w:t>
      </w:r>
      <w:r>
        <w:rPr>
          <w:rFonts w:hint="default" w:ascii="Times New Roman" w:hAnsi="Times New Roman" w:eastAsia="方正仿宋_GBK" w:cs="Times New Roman"/>
          <w:kern w:val="0"/>
          <w:sz w:val="32"/>
          <w:szCs w:val="32"/>
          <w:lang w:eastAsia="zh-CN"/>
        </w:rPr>
        <w:t>技术推</w:t>
      </w:r>
      <w:r>
        <w:rPr>
          <w:rFonts w:hint="eastAsia" w:ascii="方正仿宋_GBK" w:hAnsi="方正仿宋_GBK" w:eastAsia="方正仿宋_GBK" w:cs="方正仿宋_GBK"/>
          <w:kern w:val="0"/>
          <w:sz w:val="32"/>
          <w:szCs w:val="32"/>
          <w:lang w:eastAsia="zh-CN"/>
        </w:rPr>
        <w:t>广</w:t>
      </w:r>
      <w:r>
        <w:rPr>
          <w:rFonts w:hint="eastAsia" w:ascii="方正仿宋_GBK" w:hAnsi="方正仿宋_GBK" w:eastAsia="方正仿宋_GBK" w:cs="方正仿宋_GBK"/>
          <w:kern w:val="0"/>
          <w:sz w:val="32"/>
          <w:szCs w:val="32"/>
        </w:rPr>
        <w:t>“五大行动”实施</w:t>
      </w:r>
      <w:r>
        <w:rPr>
          <w:rFonts w:hint="default" w:ascii="Times New Roman" w:hAnsi="Times New Roman" w:eastAsia="方正仿宋_GBK" w:cs="Times New Roman"/>
          <w:kern w:val="0"/>
          <w:sz w:val="32"/>
          <w:szCs w:val="32"/>
        </w:rPr>
        <w:t>方案的通知》（渝农发〔202</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53</w:t>
      </w:r>
      <w:r>
        <w:rPr>
          <w:rFonts w:hint="default" w:ascii="Times New Roman" w:hAnsi="Times New Roman" w:eastAsia="方正仿宋_GBK" w:cs="Times New Roman"/>
          <w:kern w:val="0"/>
          <w:sz w:val="32"/>
          <w:szCs w:val="32"/>
        </w:rPr>
        <w:t>号）</w:t>
      </w:r>
      <w:r>
        <w:rPr>
          <w:rFonts w:hint="default" w:ascii="Times New Roman" w:hAnsi="Times New Roman" w:eastAsia="方正仿宋_GBK" w:cs="Times New Roman"/>
          <w:kern w:val="0"/>
          <w:sz w:val="32"/>
          <w:szCs w:val="32"/>
          <w:lang w:eastAsia="zh-CN"/>
        </w:rPr>
        <w:t>文件</w:t>
      </w:r>
      <w:r>
        <w:rPr>
          <w:rFonts w:hint="default" w:ascii="Times New Roman" w:hAnsi="Times New Roman" w:eastAsia="方正仿宋_GBK" w:cs="Times New Roman"/>
          <w:kern w:val="0"/>
          <w:sz w:val="32"/>
          <w:szCs w:val="32"/>
        </w:rPr>
        <w:t>要求，大力推广先进适用的水产绿色健康养殖技术和模式，开展技术集成、模式创新、典型培育和示范推广等工作，加快构建</w:t>
      </w:r>
      <w:r>
        <w:rPr>
          <w:rFonts w:hint="default" w:ascii="Times New Roman" w:hAnsi="Times New Roman" w:eastAsia="方正仿宋_GBK" w:cs="Times New Roman"/>
          <w:kern w:val="0"/>
          <w:sz w:val="32"/>
          <w:szCs w:val="32"/>
          <w:lang w:eastAsia="zh-CN"/>
        </w:rPr>
        <w:t>沙坪坝区</w:t>
      </w:r>
      <w:r>
        <w:rPr>
          <w:rFonts w:hint="default" w:ascii="Times New Roman" w:hAnsi="Times New Roman" w:eastAsia="方正仿宋_GBK" w:cs="Times New Roman"/>
          <w:kern w:val="0"/>
          <w:sz w:val="32"/>
          <w:szCs w:val="32"/>
        </w:rPr>
        <w:t>水产养殖业绿色健康发展新局</w:t>
      </w:r>
      <w:r>
        <w:rPr>
          <w:rFonts w:hint="eastAsia" w:ascii="方正仿宋_GBK" w:hAnsi="方正仿宋_GBK" w:eastAsia="方正仿宋_GBK" w:cs="方正仿宋_GBK"/>
          <w:kern w:val="0"/>
          <w:sz w:val="32"/>
          <w:szCs w:val="32"/>
        </w:rPr>
        <w:t>面，在“十四五”期间实施生态健康养殖模式示范推广、养殖尾水治理模式推广、水产养殖用药减量、配合饲料替代冰鲜幼杂鱼和水产种业质量提升等水产绿色健康养殖技术推广“五大行动”</w:t>
      </w:r>
      <w:r>
        <w:rPr>
          <w:rFonts w:hint="eastAsia" w:ascii="方正仿宋_GBK" w:hAnsi="方正仿宋_GBK" w:eastAsia="方正仿宋_GBK" w:cs="方正仿宋_GBK"/>
          <w:kern w:val="0"/>
          <w:sz w:val="32"/>
          <w:szCs w:val="32"/>
          <w:lang w:eastAsia="zh-CN"/>
        </w:rPr>
        <w:t>，推</w:t>
      </w:r>
      <w:r>
        <w:rPr>
          <w:rFonts w:hint="default" w:ascii="Times New Roman" w:hAnsi="Times New Roman" w:eastAsia="方正仿宋_GBK" w:cs="Times New Roman"/>
          <w:kern w:val="0"/>
          <w:sz w:val="32"/>
          <w:szCs w:val="32"/>
          <w:lang w:eastAsia="zh-CN"/>
        </w:rPr>
        <w:t>动沙坪坝区生态渔业健康可持续发展，特制定本方案</w:t>
      </w:r>
      <w:r>
        <w:rPr>
          <w:rFonts w:hint="default" w:ascii="Times New Roman" w:hAnsi="Times New Roman" w:eastAsia="方正仿宋_GBK" w:cs="Times New Roman"/>
          <w:kern w:val="0"/>
          <w:sz w:val="32"/>
          <w:szCs w:val="32"/>
        </w:rPr>
        <w:t>。</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一、工作目标</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到 2024 年底，骨干基地养殖总面积占本地区水产养殖总面积的比例不低于 20%</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骨干基地实现生态健康养殖模式全覆盖，养殖尾水循环综合利用或达标排放全覆盖，水产养殖用药量持续降低，重点养殖品种配合饲料替代率持续提高，力争 2025 年实现重点养殖品种配合饲料替代率100%，水产养殖良种化水平显著提升</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通过开展水产绿色健康养</w:t>
      </w:r>
      <w:r>
        <w:rPr>
          <w:rFonts w:hint="eastAsia" w:ascii="方正仿宋_GBK" w:hAnsi="方正仿宋_GBK" w:eastAsia="方正仿宋_GBK" w:cs="方正仿宋_GBK"/>
          <w:kern w:val="0"/>
          <w:sz w:val="32"/>
          <w:szCs w:val="32"/>
        </w:rPr>
        <w:t>殖“五大行动”，</w:t>
      </w:r>
      <w:r>
        <w:rPr>
          <w:rFonts w:hint="default" w:ascii="Times New Roman" w:hAnsi="Times New Roman" w:eastAsia="方正仿宋_GBK" w:cs="Times New Roman"/>
          <w:kern w:val="0"/>
          <w:sz w:val="32"/>
          <w:szCs w:val="32"/>
        </w:rPr>
        <w:t>满足人民群众对优质水产品的需求，形成优美养殖水域生态环境，实现水产养殖业转型升级目标。</w:t>
      </w:r>
    </w:p>
    <w:p>
      <w:pPr>
        <w:spacing w:line="600" w:lineRule="exact"/>
        <w:ind w:firstLine="640" w:firstLineChars="200"/>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eastAsia="zh-CN"/>
        </w:rPr>
        <w:t>重点任务</w:t>
      </w:r>
    </w:p>
    <w:p>
      <w:pPr>
        <w:spacing w:line="60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（一）生态健康养殖模式推广行动</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推广</w:t>
      </w:r>
      <w:r>
        <w:rPr>
          <w:rFonts w:hint="default" w:ascii="Times New Roman" w:hAnsi="Times New Roman" w:eastAsia="方正仿宋_GBK" w:cs="Times New Roman"/>
          <w:sz w:val="32"/>
          <w:szCs w:val="32"/>
          <w:lang w:eastAsia="zh-CN"/>
        </w:rPr>
        <w:t>稻渔综合</w:t>
      </w:r>
      <w:r>
        <w:rPr>
          <w:rFonts w:hint="default" w:ascii="Times New Roman" w:hAnsi="Times New Roman" w:eastAsia="方正仿宋_GBK" w:cs="Times New Roman"/>
          <w:sz w:val="32"/>
          <w:szCs w:val="32"/>
        </w:rPr>
        <w:t>种养技术，建</w:t>
      </w:r>
      <w:r>
        <w:rPr>
          <w:rFonts w:hint="default" w:ascii="Times New Roman" w:hAnsi="Times New Roman" w:eastAsia="方正仿宋_GBK" w:cs="Times New Roman"/>
          <w:sz w:val="32"/>
          <w:szCs w:val="32"/>
          <w:lang w:eastAsia="zh-CN"/>
        </w:rPr>
        <w:t>成</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亩以上示范基地</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个</w:t>
      </w:r>
      <w:r>
        <w:rPr>
          <w:rFonts w:hint="default" w:ascii="Times New Roman" w:hAnsi="Times New Roman" w:eastAsia="方正仿宋_GBK" w:cs="Times New Roman"/>
          <w:sz w:val="32"/>
          <w:szCs w:val="32"/>
          <w:lang w:eastAsia="zh-CN"/>
        </w:rPr>
        <w:t>，积极发展</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eastAsia="zh-CN"/>
        </w:rPr>
        <w:t>稻</w:t>
      </w:r>
      <w:r>
        <w:rPr>
          <w:rFonts w:hint="default" w:ascii="Times New Roman" w:hAnsi="Times New Roman" w:eastAsia="方正仿宋_GBK" w:cs="Times New Roman"/>
          <w:sz w:val="32"/>
          <w:szCs w:val="32"/>
          <w:lang w:val="en-US" w:eastAsia="zh-CN"/>
        </w:rPr>
        <w:t>+X</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eastAsia="zh-CN"/>
        </w:rPr>
        <w:t>种养模式</w:t>
      </w:r>
      <w:r>
        <w:rPr>
          <w:rFonts w:hint="default" w:ascii="Times New Roman" w:hAnsi="Times New Roman" w:eastAsia="方正仿宋_GBK" w:cs="Times New Roman"/>
          <w:sz w:val="32"/>
          <w:szCs w:val="32"/>
        </w:rPr>
        <w:t>；积极开展绿色养殖模式下新型设施设备试验示范，</w:t>
      </w:r>
      <w:r>
        <w:rPr>
          <w:rFonts w:hint="default" w:ascii="Times New Roman" w:hAnsi="Times New Roman" w:eastAsia="方正仿宋_GBK" w:cs="Times New Roman"/>
          <w:sz w:val="32"/>
          <w:szCs w:val="32"/>
          <w:lang w:eastAsia="zh-CN"/>
        </w:rPr>
        <w:t>熟化推广工厂化循环水养殖，建成工厂化海水鱼养殖基地</w:t>
      </w:r>
      <w:r>
        <w:rPr>
          <w:rFonts w:hint="default" w:ascii="Times New Roman" w:hAnsi="Times New Roman" w:eastAsia="方正仿宋_GBK" w:cs="Times New Roman"/>
          <w:sz w:val="32"/>
          <w:szCs w:val="32"/>
          <w:lang w:val="en-US" w:eastAsia="zh-CN"/>
        </w:rPr>
        <w:t>1个</w:t>
      </w:r>
      <w:r>
        <w:rPr>
          <w:rFonts w:hint="default" w:ascii="Times New Roman" w:hAnsi="Times New Roman" w:eastAsia="方正仿宋_GBK" w:cs="Times New Roman"/>
          <w:sz w:val="32"/>
          <w:szCs w:val="32"/>
        </w:rPr>
        <w:t>。</w:t>
      </w:r>
    </w:p>
    <w:p>
      <w:pPr>
        <w:spacing w:line="60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（二）养殖尾水治理模式推广行动</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因地制宜开展水产养殖尾水治理，</w:t>
      </w:r>
      <w:r>
        <w:rPr>
          <w:rFonts w:hint="default" w:ascii="Times New Roman" w:hAnsi="Times New Roman" w:eastAsia="方正仿宋_GBK" w:cs="Times New Roman"/>
          <w:kern w:val="0"/>
          <w:sz w:val="32"/>
          <w:szCs w:val="32"/>
          <w:lang w:eastAsia="zh-CN"/>
        </w:rPr>
        <w:t>全区</w:t>
      </w:r>
      <w:r>
        <w:rPr>
          <w:rFonts w:hint="default" w:ascii="Times New Roman" w:hAnsi="Times New Roman" w:eastAsia="方正仿宋_GBK" w:cs="Times New Roman"/>
          <w:kern w:val="0"/>
          <w:sz w:val="32"/>
          <w:szCs w:val="32"/>
          <w:lang w:val="en-US" w:eastAsia="zh-CN"/>
        </w:rPr>
        <w:t>30亩以上水产养殖户实现尾水治理全覆盖，分类推进30亩以下水产养殖开展尾水治理。</w:t>
      </w:r>
      <w:r>
        <w:rPr>
          <w:rFonts w:hint="default" w:ascii="Times New Roman" w:hAnsi="Times New Roman" w:eastAsia="方正仿宋_GBK" w:cs="Times New Roman"/>
          <w:kern w:val="0"/>
          <w:sz w:val="32"/>
          <w:szCs w:val="32"/>
        </w:rPr>
        <w:t>大力推广池塘鱼菜共生、多级人工湿地、池塘工程化循环水养殖、生态沟渠、池塘底排污等生态健康养殖模式，积极应用生物、工程和资源化利用等尾水处理新技术、新工艺</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指导养殖主</w:t>
      </w:r>
      <w:r>
        <w:rPr>
          <w:rFonts w:hint="eastAsia" w:ascii="方正仿宋_GBK" w:hAnsi="方正仿宋_GBK" w:eastAsia="方正仿宋_GBK" w:cs="方正仿宋_GBK"/>
          <w:kern w:val="0"/>
          <w:sz w:val="32"/>
          <w:szCs w:val="32"/>
        </w:rPr>
        <w:t>体做好尾水处理设施设备运行维护，健全养殖尾水治理长效机制，坚持“谁污染、谁治理、谁付费”原则，</w:t>
      </w:r>
      <w:r>
        <w:rPr>
          <w:rFonts w:hint="default" w:ascii="Times New Roman" w:hAnsi="Times New Roman" w:eastAsia="方正仿宋_GBK" w:cs="Times New Roman"/>
          <w:kern w:val="0"/>
          <w:sz w:val="32"/>
          <w:szCs w:val="32"/>
        </w:rPr>
        <w:t>推动建立长期运行维护管理规则。积极协同推进农村黑臭水体清零区县创建。</w:t>
      </w:r>
    </w:p>
    <w:p>
      <w:pPr>
        <w:spacing w:line="60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（三）水产养殖用药减量行动</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坚持预防为主，推动科学用药、规范用药、减量用药</w:t>
      </w:r>
      <w:r>
        <w:rPr>
          <w:rFonts w:hint="eastAsia" w:ascii="方正仿宋_GBK" w:hAnsi="方正仿宋_GBK" w:eastAsia="方正仿宋_GBK" w:cs="方正仿宋_GBK"/>
          <w:kern w:val="0"/>
          <w:sz w:val="32"/>
          <w:szCs w:val="32"/>
        </w:rPr>
        <w:t>。将“五大行动” 骨干基地设为水产养殖病害测报点，开展水生动物病</w:t>
      </w:r>
      <w:r>
        <w:rPr>
          <w:rFonts w:hint="default" w:ascii="Times New Roman" w:hAnsi="Times New Roman" w:eastAsia="方正仿宋_GBK" w:cs="Times New Roman"/>
          <w:kern w:val="0"/>
          <w:sz w:val="32"/>
          <w:szCs w:val="32"/>
        </w:rPr>
        <w:t>情测报。聚焦大口黑鲈、鳜鱼、鲫鱼、草鱼和小龙虾等5个重点品种，</w:t>
      </w:r>
      <w:r>
        <w:rPr>
          <w:rFonts w:hint="default" w:ascii="Times New Roman" w:hAnsi="Times New Roman" w:eastAsia="方正仿宋_GBK" w:cs="Times New Roman"/>
          <w:kern w:val="0"/>
          <w:sz w:val="32"/>
          <w:szCs w:val="32"/>
          <w:lang w:eastAsia="zh-CN"/>
        </w:rPr>
        <w:t>开展规范化</w:t>
      </w:r>
      <w:r>
        <w:rPr>
          <w:rFonts w:hint="default" w:ascii="Times New Roman" w:hAnsi="Times New Roman" w:eastAsia="方正仿宋_GBK" w:cs="Times New Roman"/>
          <w:kern w:val="0"/>
          <w:sz w:val="32"/>
          <w:szCs w:val="32"/>
          <w:lang w:val="en-US" w:eastAsia="zh-CN"/>
        </w:rPr>
        <w:t>养殖</w:t>
      </w:r>
      <w:r>
        <w:rPr>
          <w:rFonts w:hint="default" w:ascii="Times New Roman" w:hAnsi="Times New Roman" w:eastAsia="方正仿宋_GBK" w:cs="Times New Roman"/>
          <w:kern w:val="0"/>
          <w:sz w:val="32"/>
          <w:szCs w:val="32"/>
        </w:rPr>
        <w:t>。开展规范用药科普下乡活动，加强水产养殖用药明白纸宣传，普及禁、停用药和病原菌耐药性知识。</w:t>
      </w:r>
    </w:p>
    <w:p>
      <w:pPr>
        <w:spacing w:line="60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（四）配合饲料替代幼杂鱼行动</w:t>
      </w:r>
    </w:p>
    <w:p>
      <w:pPr>
        <w:spacing w:line="600" w:lineRule="exact"/>
        <w:ind w:firstLine="640" w:firstLineChars="200"/>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开展</w:t>
      </w:r>
      <w:r>
        <w:rPr>
          <w:rFonts w:hint="default" w:ascii="Times New Roman" w:hAnsi="Times New Roman" w:eastAsia="方正仿宋_GBK" w:cs="Times New Roman"/>
          <w:kern w:val="0"/>
          <w:sz w:val="32"/>
          <w:szCs w:val="32"/>
          <w:lang w:eastAsia="zh-CN"/>
        </w:rPr>
        <w:t>鲈鱼、乌鳢等</w:t>
      </w:r>
      <w:r>
        <w:rPr>
          <w:rFonts w:hint="default" w:ascii="Times New Roman" w:hAnsi="Times New Roman" w:eastAsia="方正仿宋_GBK" w:cs="Times New Roman"/>
          <w:sz w:val="32"/>
          <w:szCs w:val="32"/>
        </w:rPr>
        <w:t>肉食性水产动物配合饲料替代冰鲜鱼养殖试验示范，</w:t>
      </w:r>
      <w:r>
        <w:rPr>
          <w:rFonts w:hint="default" w:ascii="Times New Roman" w:hAnsi="Times New Roman" w:eastAsia="方正仿宋_GBK" w:cs="Times New Roman"/>
          <w:sz w:val="32"/>
          <w:szCs w:val="32"/>
          <w:lang w:eastAsia="zh-CN"/>
        </w:rPr>
        <w:t>投喂配合饲料替代冰鲜鱼养殖，配合饲料替代率达到</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。积极运用技术培训、现场观摩、科普宣传等方式，加大配合饲料替代幼杂鱼的宣传力度，挖掘典型案例，推动养殖主体改变投喂幼杂鱼的传统养殖观念，强化新型绿色模式养殖肉食性品种的理念和动力</w:t>
      </w:r>
      <w:r>
        <w:rPr>
          <w:rFonts w:hint="default" w:ascii="Times New Roman" w:hAnsi="Times New Roman" w:eastAsia="方正仿宋_GBK" w:cs="Times New Roman"/>
          <w:sz w:val="32"/>
          <w:szCs w:val="32"/>
          <w:lang w:eastAsia="zh-CN"/>
        </w:rPr>
        <w:t>。</w:t>
      </w:r>
    </w:p>
    <w:p>
      <w:pPr>
        <w:spacing w:line="600"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（五）水产种业质量提升行动</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积极开</w:t>
      </w:r>
      <w:r>
        <w:rPr>
          <w:rFonts w:hint="default" w:ascii="Times New Roman" w:hAnsi="Times New Roman" w:eastAsia="方正仿宋_GBK" w:cs="Times New Roman"/>
          <w:kern w:val="0"/>
          <w:sz w:val="32"/>
          <w:szCs w:val="32"/>
        </w:rPr>
        <w:t>展</w:t>
      </w:r>
      <w:r>
        <w:rPr>
          <w:rFonts w:hint="eastAsia" w:ascii="方正仿宋_GBK" w:hAnsi="方正仿宋_GBK" w:eastAsia="方正仿宋_GBK" w:cs="方正仿宋_GBK"/>
          <w:kern w:val="0"/>
          <w:sz w:val="32"/>
          <w:szCs w:val="32"/>
        </w:rPr>
        <w:t>“中</w:t>
      </w:r>
      <w:r>
        <w:rPr>
          <w:rFonts w:hint="default" w:ascii="Times New Roman" w:hAnsi="Times New Roman" w:eastAsia="方正仿宋_GBK" w:cs="Times New Roman"/>
          <w:kern w:val="0"/>
          <w:sz w:val="32"/>
          <w:szCs w:val="32"/>
        </w:rPr>
        <w:t>科5号</w:t>
      </w:r>
      <w:r>
        <w:rPr>
          <w:rFonts w:hint="eastAsia" w:ascii="方正仿宋_GBK" w:hAnsi="方正仿宋_GBK" w:eastAsia="方正仿宋_GBK" w:cs="方正仿宋_GBK"/>
          <w:kern w:val="0"/>
          <w:sz w:val="32"/>
          <w:szCs w:val="32"/>
        </w:rPr>
        <w:t>”异</w:t>
      </w:r>
      <w:r>
        <w:rPr>
          <w:rFonts w:hint="default" w:ascii="Times New Roman" w:hAnsi="Times New Roman" w:eastAsia="方正仿宋_GBK" w:cs="Times New Roman"/>
          <w:kern w:val="0"/>
          <w:sz w:val="32"/>
          <w:szCs w:val="32"/>
        </w:rPr>
        <w:t>育银鲫、合方鲫2号、</w:t>
      </w:r>
      <w:r>
        <w:rPr>
          <w:rFonts w:hint="eastAsia" w:ascii="方正仿宋_GBK" w:hAnsi="方正仿宋_GBK" w:eastAsia="方正仿宋_GBK" w:cs="方正仿宋_GBK"/>
          <w:kern w:val="0"/>
          <w:sz w:val="32"/>
          <w:szCs w:val="32"/>
        </w:rPr>
        <w:t>“沪苏</w:t>
      </w:r>
      <w:r>
        <w:rPr>
          <w:rFonts w:hint="default" w:ascii="Times New Roman" w:hAnsi="Times New Roman" w:eastAsia="方正仿宋_GBK" w:cs="Times New Roman"/>
          <w:kern w:val="0"/>
          <w:sz w:val="32"/>
          <w:szCs w:val="32"/>
        </w:rPr>
        <w:t>2</w:t>
      </w:r>
      <w:r>
        <w:rPr>
          <w:rFonts w:hint="eastAsia" w:ascii="方正仿宋_GBK" w:hAnsi="方正仿宋_GBK" w:eastAsia="方正仿宋_GBK" w:cs="方正仿宋_GBK"/>
          <w:kern w:val="0"/>
          <w:sz w:val="32"/>
          <w:szCs w:val="32"/>
        </w:rPr>
        <w:t>号”</w:t>
      </w:r>
      <w:r>
        <w:rPr>
          <w:rFonts w:hint="default" w:ascii="Times New Roman" w:hAnsi="Times New Roman" w:eastAsia="方正仿宋_GBK" w:cs="Times New Roman"/>
          <w:kern w:val="0"/>
          <w:sz w:val="32"/>
          <w:szCs w:val="32"/>
        </w:rPr>
        <w:t>草鱼等国审新品种引进及示范推广</w:t>
      </w:r>
      <w:r>
        <w:rPr>
          <w:rFonts w:hint="default" w:ascii="Times New Roman" w:hAnsi="Times New Roman" w:eastAsia="方正仿宋_GBK" w:cs="Times New Roman"/>
          <w:kern w:val="0"/>
          <w:sz w:val="32"/>
          <w:szCs w:val="32"/>
          <w:lang w:eastAsia="zh-CN"/>
        </w:rPr>
        <w:t>工作</w:t>
      </w:r>
      <w:r>
        <w:rPr>
          <w:rFonts w:hint="default" w:ascii="Times New Roman" w:hAnsi="Times New Roman" w:eastAsia="方正仿宋_GBK" w:cs="Times New Roman"/>
          <w:kern w:val="0"/>
          <w:sz w:val="32"/>
          <w:szCs w:val="32"/>
        </w:rPr>
        <w:t>。</w:t>
      </w:r>
    </w:p>
    <w:p>
      <w:pPr>
        <w:spacing w:line="600" w:lineRule="exact"/>
        <w:ind w:firstLine="640" w:firstLineChars="200"/>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eastAsia="zh-CN"/>
        </w:rPr>
        <w:t>保障措施</w:t>
      </w:r>
    </w:p>
    <w:p>
      <w:pPr>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kern w:val="0"/>
          <w:sz w:val="32"/>
          <w:szCs w:val="32"/>
        </w:rPr>
        <w:t>（一）</w:t>
      </w:r>
      <w:r>
        <w:rPr>
          <w:rFonts w:hint="default" w:ascii="Times New Roman" w:hAnsi="Times New Roman" w:eastAsia="方正楷体_GBK" w:cs="Times New Roman"/>
          <w:kern w:val="0"/>
          <w:sz w:val="32"/>
          <w:szCs w:val="32"/>
          <w:lang w:eastAsia="zh-CN"/>
        </w:rPr>
        <w:t>成立工作专班</w:t>
      </w:r>
      <w:r>
        <w:rPr>
          <w:rFonts w:hint="default" w:ascii="Times New Roman" w:hAnsi="Times New Roman" w:eastAsia="方正楷体_GBK" w:cs="Times New Roman"/>
          <w:kern w:val="0"/>
          <w:sz w:val="32"/>
          <w:szCs w:val="32"/>
        </w:rPr>
        <w:t>。</w:t>
      </w:r>
      <w:r>
        <w:rPr>
          <w:rFonts w:hint="default" w:ascii="Times New Roman" w:hAnsi="Times New Roman" w:eastAsia="方正仿宋_GBK" w:cs="Times New Roman"/>
          <w:sz w:val="32"/>
          <w:szCs w:val="32"/>
          <w:lang w:val="en-US" w:eastAsia="zh-CN"/>
        </w:rPr>
        <w:t>为确保全区水产绿色健康养殖“五大行动”顺利实施，区农业农村委成立沙坪坝区水产绿色健康养殖</w:t>
      </w:r>
      <w:r>
        <w:rPr>
          <w:rFonts w:hint="eastAsia" w:ascii="方正仿宋_GBK" w:hAnsi="方正仿宋_GBK" w:eastAsia="方正仿宋_GBK" w:cs="方正仿宋_GBK"/>
          <w:sz w:val="32"/>
          <w:szCs w:val="32"/>
          <w:lang w:val="en-US" w:eastAsia="zh-CN"/>
        </w:rPr>
        <w:t>“五大行动”专班，由委分管领导任组长，区农业技术服务中心技</w:t>
      </w:r>
      <w:r>
        <w:rPr>
          <w:rFonts w:hint="default" w:ascii="Times New Roman" w:hAnsi="Times New Roman" w:eastAsia="方正仿宋_GBK" w:cs="Times New Roman"/>
          <w:sz w:val="32"/>
          <w:szCs w:val="32"/>
          <w:lang w:val="en-US" w:eastAsia="zh-CN"/>
        </w:rPr>
        <w:t>术人员为成员，具体负责组织、协调和落实等工作。</w:t>
      </w:r>
    </w:p>
    <w:p>
      <w:pPr>
        <w:spacing w:line="60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val="en-US" w:eastAsia="zh-CN"/>
        </w:rPr>
        <w:t xml:space="preserve">  </w:t>
      </w:r>
      <w:r>
        <w:rPr>
          <w:rFonts w:hint="eastAsia" w:eastAsia="方正仿宋_GBK" w:cs="Times New Roman"/>
          <w:sz w:val="32"/>
          <w:szCs w:val="32"/>
          <w:lang w:val="en-US" w:eastAsia="zh-CN"/>
        </w:rPr>
        <w:t xml:space="preserve"> </w:t>
      </w:r>
      <w:bookmarkStart w:id="4" w:name="_GoBack"/>
      <w:bookmarkEnd w:id="4"/>
      <w:r>
        <w:rPr>
          <w:rFonts w:hint="default" w:ascii="Times New Roman" w:hAnsi="Times New Roman" w:eastAsia="方正楷体_GBK" w:cs="Times New Roman"/>
          <w:kern w:val="0"/>
          <w:sz w:val="32"/>
          <w:szCs w:val="32"/>
        </w:rPr>
        <w:t>（二）</w:t>
      </w:r>
      <w:r>
        <w:rPr>
          <w:rFonts w:hint="default" w:ascii="Times New Roman" w:hAnsi="Times New Roman" w:eastAsia="方正楷体_GBK" w:cs="Times New Roman"/>
          <w:kern w:val="0"/>
          <w:sz w:val="32"/>
          <w:szCs w:val="32"/>
          <w:lang w:eastAsia="zh-CN"/>
        </w:rPr>
        <w:t>加大技术宣传</w:t>
      </w:r>
      <w:r>
        <w:rPr>
          <w:rFonts w:hint="default" w:ascii="Times New Roman" w:hAnsi="Times New Roman" w:eastAsia="方正楷体_GBK" w:cs="Times New Roman"/>
          <w:kern w:val="0"/>
          <w:sz w:val="32"/>
          <w:szCs w:val="32"/>
        </w:rPr>
        <w:t>。</w:t>
      </w:r>
      <w:r>
        <w:rPr>
          <w:rFonts w:hint="default" w:ascii="Times New Roman" w:hAnsi="Times New Roman" w:eastAsia="方正仿宋_GBK" w:cs="Times New Roman"/>
          <w:kern w:val="0"/>
          <w:sz w:val="32"/>
          <w:szCs w:val="32"/>
        </w:rPr>
        <w:t>做好技术服务</w:t>
      </w:r>
      <w:r>
        <w:rPr>
          <w:rFonts w:hint="default" w:ascii="Times New Roman" w:hAnsi="Times New Roman" w:eastAsia="方正仿宋_GBK" w:cs="Times New Roman"/>
          <w:kern w:val="0"/>
          <w:sz w:val="32"/>
          <w:szCs w:val="32"/>
          <w:lang w:eastAsia="zh-CN"/>
        </w:rPr>
        <w:t>宣传</w:t>
      </w:r>
      <w:r>
        <w:rPr>
          <w:rFonts w:hint="default" w:ascii="Times New Roman" w:hAnsi="Times New Roman" w:eastAsia="方正仿宋_GBK" w:cs="Times New Roman"/>
          <w:kern w:val="0"/>
          <w:sz w:val="32"/>
          <w:szCs w:val="32"/>
        </w:rPr>
        <w:t>和模式提炼示范，深入开展技术培训、交流研讨、现场观摩等活动</w:t>
      </w:r>
      <w:r>
        <w:rPr>
          <w:rFonts w:hint="default" w:ascii="Times New Roman" w:hAnsi="Times New Roman" w:eastAsia="方正仿宋_GBK" w:cs="Times New Roman"/>
          <w:kern w:val="0"/>
          <w:sz w:val="32"/>
          <w:szCs w:val="32"/>
          <w:lang w:eastAsia="zh-CN"/>
        </w:rPr>
        <w:t>提升养殖从业者养殖水平和水产品质量安全意识</w:t>
      </w:r>
      <w:r>
        <w:rPr>
          <w:rFonts w:hint="default" w:ascii="Times New Roman" w:hAnsi="Times New Roman" w:eastAsia="方正仿宋_GBK" w:cs="Times New Roman"/>
          <w:kern w:val="0"/>
          <w:sz w:val="32"/>
          <w:szCs w:val="32"/>
        </w:rPr>
        <w:t>。</w:t>
      </w:r>
    </w:p>
    <w:p>
      <w:pPr>
        <w:spacing w:line="600" w:lineRule="exact"/>
        <w:ind w:firstLine="640" w:firstLineChars="200"/>
        <w:rPr>
          <w:rFonts w:hint="eastAsia" w:ascii="方正仿宋_GBK" w:hAnsi="方正仿宋_GBK" w:eastAsia="方正仿宋_GBK" w:cs="方正仿宋_GBK"/>
          <w:kern w:val="0"/>
          <w:sz w:val="32"/>
          <w:szCs w:val="32"/>
          <w:lang w:eastAsia="zh-CN"/>
        </w:rPr>
      </w:pPr>
      <w:r>
        <w:rPr>
          <w:rFonts w:hint="default" w:ascii="Times New Roman" w:hAnsi="Times New Roman" w:eastAsia="方正楷体_GBK" w:cs="Times New Roman"/>
          <w:kern w:val="0"/>
          <w:sz w:val="32"/>
          <w:szCs w:val="32"/>
        </w:rPr>
        <w:t>（三）</w:t>
      </w:r>
      <w:r>
        <w:rPr>
          <w:rFonts w:hint="default" w:ascii="Times New Roman" w:hAnsi="Times New Roman" w:eastAsia="方正楷体_GBK" w:cs="Times New Roman"/>
          <w:kern w:val="0"/>
          <w:sz w:val="32"/>
          <w:szCs w:val="32"/>
          <w:lang w:eastAsia="zh-CN"/>
        </w:rPr>
        <w:t>加强协同配合</w:t>
      </w:r>
      <w:r>
        <w:rPr>
          <w:rFonts w:hint="default" w:ascii="Times New Roman" w:hAnsi="Times New Roman" w:eastAsia="方正楷体_GBK" w:cs="Times New Roman"/>
          <w:kern w:val="0"/>
          <w:sz w:val="32"/>
          <w:szCs w:val="32"/>
        </w:rPr>
        <w:t>。</w:t>
      </w:r>
      <w:r>
        <w:rPr>
          <w:rFonts w:hint="eastAsia" w:ascii="方正仿宋_GBK" w:hAnsi="方正仿宋_GBK" w:eastAsia="方正仿宋_GBK" w:cs="方正仿宋_GBK"/>
          <w:kern w:val="0"/>
          <w:sz w:val="32"/>
          <w:szCs w:val="32"/>
          <w:lang w:eastAsia="zh-CN"/>
        </w:rPr>
        <w:t>依托农业科技特派员工作，加强与西南大学的协同配合，邀请相关领域专家指导沙坪坝区规模化养殖户生产，抓好“五大行动”的具体实施。</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（四）</w:t>
      </w:r>
      <w:r>
        <w:rPr>
          <w:rFonts w:hint="default" w:ascii="Times New Roman" w:hAnsi="Times New Roman" w:eastAsia="方正楷体_GBK" w:cs="Times New Roman"/>
          <w:kern w:val="0"/>
          <w:sz w:val="32"/>
          <w:szCs w:val="32"/>
          <w:lang w:eastAsia="zh-CN"/>
        </w:rPr>
        <w:t>做好提炼总结</w:t>
      </w:r>
      <w:r>
        <w:rPr>
          <w:rFonts w:hint="default" w:ascii="Times New Roman" w:hAnsi="Times New Roman" w:eastAsia="方正楷体_GBK" w:cs="Times New Roman"/>
          <w:kern w:val="0"/>
          <w:sz w:val="32"/>
          <w:szCs w:val="32"/>
        </w:rPr>
        <w:t>。</w:t>
      </w:r>
      <w:r>
        <w:rPr>
          <w:rFonts w:hint="default" w:ascii="Times New Roman" w:hAnsi="Times New Roman" w:eastAsia="方正仿宋_GBK" w:cs="Times New Roman"/>
          <w:kern w:val="0"/>
          <w:sz w:val="32"/>
          <w:szCs w:val="32"/>
        </w:rPr>
        <w:t>按照要求对</w:t>
      </w:r>
      <w:r>
        <w:rPr>
          <w:rFonts w:hint="default" w:ascii="Times New Roman" w:hAnsi="Times New Roman" w:eastAsia="方正仿宋_GBK" w:cs="Times New Roman"/>
          <w:kern w:val="0"/>
          <w:sz w:val="32"/>
          <w:szCs w:val="32"/>
          <w:lang w:eastAsia="zh-CN"/>
        </w:rPr>
        <w:t>行动开展情况、先进典型案例、存在问题及改进措施等进行</w:t>
      </w:r>
      <w:r>
        <w:rPr>
          <w:rFonts w:hint="default" w:ascii="Times New Roman" w:hAnsi="Times New Roman" w:eastAsia="方正仿宋_GBK" w:cs="Times New Roman"/>
          <w:kern w:val="0"/>
          <w:sz w:val="32"/>
          <w:szCs w:val="32"/>
        </w:rPr>
        <w:t>全年工作总结</w:t>
      </w:r>
      <w:r>
        <w:rPr>
          <w:rFonts w:hint="default" w:ascii="Times New Roman" w:hAnsi="Times New Roman" w:eastAsia="方正仿宋_GBK" w:cs="Times New Roman"/>
          <w:kern w:val="0"/>
          <w:sz w:val="32"/>
          <w:szCs w:val="32"/>
          <w:lang w:eastAsia="zh-CN"/>
        </w:rPr>
        <w:t>，按时上报市农业农村委</w:t>
      </w:r>
      <w:r>
        <w:rPr>
          <w:rFonts w:hint="default" w:ascii="Times New Roman" w:hAnsi="Times New Roman" w:eastAsia="方正仿宋_GBK" w:cs="Times New Roman"/>
          <w:kern w:val="0"/>
          <w:sz w:val="32"/>
          <w:szCs w:val="32"/>
        </w:rPr>
        <w:t>。</w:t>
      </w:r>
    </w:p>
    <w:p>
      <w:pPr>
        <w:spacing w:line="600" w:lineRule="exact"/>
        <w:ind w:firstLine="1273" w:firstLineChars="398"/>
        <w:rPr>
          <w:rFonts w:hint="default" w:ascii="Times New Roman" w:hAnsi="Times New Roman" w:eastAsia="方正仿宋_GBK" w:cs="Times New Roman"/>
          <w:sz w:val="32"/>
          <w:szCs w:val="32"/>
        </w:rPr>
      </w:pPr>
    </w:p>
    <w:p>
      <w:pPr>
        <w:spacing w:line="600" w:lineRule="exact"/>
        <w:ind w:firstLine="1273" w:firstLineChars="398"/>
        <w:rPr>
          <w:rFonts w:hint="default" w:ascii="Times New Roman" w:hAnsi="Times New Roman" w:eastAsia="方正仿宋_GBK" w:cs="Times New Roman"/>
          <w:sz w:val="32"/>
          <w:szCs w:val="32"/>
        </w:rPr>
      </w:pPr>
    </w:p>
    <w:p>
      <w:pPr>
        <w:spacing w:line="600" w:lineRule="exact"/>
        <w:ind w:firstLine="1273" w:firstLineChars="398"/>
        <w:rPr>
          <w:rFonts w:hint="default" w:ascii="Times New Roman" w:hAnsi="Times New Roman" w:eastAsia="方正仿宋_GBK" w:cs="Times New Roman"/>
          <w:sz w:val="32"/>
          <w:szCs w:val="32"/>
        </w:rPr>
      </w:pPr>
    </w:p>
    <w:p>
      <w:pPr>
        <w:spacing w:line="600" w:lineRule="exact"/>
        <w:ind w:firstLine="1273" w:firstLineChars="398"/>
        <w:rPr>
          <w:rFonts w:hint="default" w:ascii="Times New Roman" w:hAnsi="Times New Roman" w:eastAsia="方正仿宋_GBK" w:cs="Times New Roman"/>
          <w:sz w:val="32"/>
          <w:szCs w:val="32"/>
        </w:rPr>
      </w:pPr>
    </w:p>
    <w:p>
      <w:pPr>
        <w:spacing w:line="600" w:lineRule="exact"/>
        <w:ind w:firstLine="1273" w:firstLineChars="398"/>
        <w:rPr>
          <w:rFonts w:hint="default" w:ascii="Times New Roman" w:hAnsi="Times New Roman" w:eastAsia="方正仿宋_GBK" w:cs="Times New Roman"/>
          <w:sz w:val="32"/>
          <w:szCs w:val="32"/>
        </w:rPr>
      </w:pPr>
    </w:p>
    <w:p>
      <w:pPr>
        <w:spacing w:line="600" w:lineRule="exact"/>
        <w:ind w:firstLine="1273" w:firstLineChars="398"/>
        <w:rPr>
          <w:rFonts w:hint="default" w:ascii="Times New Roman" w:hAnsi="Times New Roman" w:eastAsia="方正仿宋_GBK" w:cs="Times New Roman"/>
          <w:sz w:val="32"/>
          <w:szCs w:val="32"/>
        </w:rPr>
      </w:pPr>
    </w:p>
    <w:p>
      <w:pPr>
        <w:spacing w:line="600" w:lineRule="exact"/>
        <w:ind w:firstLine="1273" w:firstLineChars="398"/>
        <w:rPr>
          <w:rFonts w:hint="default" w:ascii="Times New Roman" w:hAnsi="Times New Roman" w:eastAsia="方正仿宋_GBK" w:cs="Times New Roman"/>
          <w:sz w:val="32"/>
          <w:szCs w:val="32"/>
        </w:rPr>
      </w:pPr>
    </w:p>
    <w:p>
      <w:pPr>
        <w:spacing w:line="600" w:lineRule="exact"/>
        <w:ind w:firstLine="1273" w:firstLineChars="398"/>
        <w:rPr>
          <w:rFonts w:hint="default" w:ascii="Times New Roman" w:hAnsi="Times New Roman" w:eastAsia="方正仿宋_GBK" w:cs="Times New Roman"/>
          <w:sz w:val="32"/>
          <w:szCs w:val="32"/>
        </w:rPr>
      </w:pPr>
    </w:p>
    <w:p>
      <w:pPr>
        <w:spacing w:line="600" w:lineRule="exact"/>
        <w:ind w:firstLine="1273" w:firstLineChars="398"/>
        <w:rPr>
          <w:rFonts w:hint="default" w:ascii="Times New Roman" w:hAnsi="Times New Roman" w:eastAsia="方正仿宋_GBK" w:cs="Times New Roman"/>
          <w:sz w:val="32"/>
          <w:szCs w:val="32"/>
        </w:rPr>
      </w:pPr>
    </w:p>
    <w:p>
      <w:pPr>
        <w:spacing w:line="600" w:lineRule="exact"/>
        <w:ind w:firstLine="1273" w:firstLineChars="398"/>
        <w:rPr>
          <w:rFonts w:hint="default" w:ascii="Times New Roman" w:hAnsi="Times New Roman" w:eastAsia="方正仿宋_GBK" w:cs="Times New Roman"/>
          <w:sz w:val="32"/>
          <w:szCs w:val="32"/>
        </w:rPr>
      </w:pPr>
    </w:p>
    <w:p>
      <w:pPr>
        <w:spacing w:line="600" w:lineRule="exact"/>
        <w:ind w:firstLine="1273" w:firstLineChars="398"/>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 w:val="32"/>
          <w:szCs w:val="32"/>
        </w:rPr>
      </w:pPr>
    </w:p>
    <w:p>
      <w:pPr>
        <w:jc w:val="center"/>
        <w:rPr>
          <w:rFonts w:hint="default" w:ascii="Times New Roman" w:hAnsi="Times New Roman" w:eastAsia="仿宋_GB2312" w:cs="Times New Roman"/>
          <w:color w:val="000000"/>
          <w:spacing w:val="20"/>
          <w:sz w:val="32"/>
          <w:szCs w:val="32"/>
        </w:rPr>
      </w:pPr>
    </w:p>
    <w:tbl>
      <w:tblPr>
        <w:tblStyle w:val="10"/>
        <w:tblW w:w="0" w:type="auto"/>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600" w:lineRule="exact"/>
              <w:rPr>
                <w:rFonts w:hint="default" w:ascii="Times New Roman" w:hAnsi="Times New Roman" w:eastAsia="仿宋_GB2312" w:cs="Times New Roman"/>
                <w:color w:val="000000"/>
                <w:spacing w:val="20"/>
                <w:sz w:val="32"/>
                <w:szCs w:val="32"/>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280" w:firstLineChars="100"/>
              <w:rPr>
                <w:rFonts w:hint="default" w:ascii="Times New Roman" w:hAnsi="Times New Roman" w:eastAsia="仿宋_GB2312" w:cs="Times New Roman"/>
                <w:color w:val="000000"/>
                <w:spacing w:val="20"/>
                <w:sz w:val="28"/>
                <w:szCs w:val="28"/>
              </w:rPr>
            </w:pPr>
            <w:r>
              <w:rPr>
                <w:rFonts w:hint="default" w:ascii="Times New Roman" w:hAnsi="Times New Roman" w:eastAsia="方正仿宋_GBK" w:cs="Times New Roman"/>
                <w:sz w:val="28"/>
                <w:szCs w:val="28"/>
              </w:rPr>
              <w:t xml:space="preserve">重庆市沙坪坝区农业农村委员会办公室  </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eastAsia"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4</w:t>
            </w:r>
            <w:r>
              <w:rPr>
                <w:rFonts w:hint="default" w:ascii="Times New Roman" w:hAnsi="Times New Roman" w:eastAsia="方正仿宋_GBK" w:cs="Times New Roman"/>
                <w:sz w:val="28"/>
                <w:szCs w:val="28"/>
              </w:rPr>
              <w:t>月1</w:t>
            </w:r>
            <w:r>
              <w:rPr>
                <w:rFonts w:hint="eastAsia" w:eastAsia="方正仿宋_GBK" w:cs="Times New Roman"/>
                <w:sz w:val="28"/>
                <w:szCs w:val="28"/>
                <w:lang w:val="en-US" w:eastAsia="zh-CN"/>
              </w:rPr>
              <w:t>5</w:t>
            </w:r>
            <w:r>
              <w:rPr>
                <w:rFonts w:hint="default" w:ascii="Times New Roman" w:hAnsi="Times New Roman" w:eastAsia="方正仿宋_GBK" w:cs="Times New Roman"/>
                <w:sz w:val="28"/>
                <w:szCs w:val="28"/>
              </w:rPr>
              <w:t>日印</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rPr>
      </w:pPr>
    </w:p>
    <w:sectPr>
      <w:footerReference r:id="rId3" w:type="default"/>
      <w:footerReference r:id="rId4" w:type="even"/>
      <w:pgSz w:w="11906" w:h="16838"/>
      <w:pgMar w:top="2098" w:right="1531" w:bottom="1984" w:left="1531" w:header="851"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keepNext w:val="0"/>
                            <w:keepLines w:val="0"/>
                            <w:pageBreakBefore w:val="0"/>
                            <w:widowControl w:val="0"/>
                            <w:kinsoku/>
                            <w:wordWrap w:val="0"/>
                            <w:overflowPunct/>
                            <w:topLinePunct w:val="0"/>
                            <w:bidi/>
                            <w:adjustRightInd/>
                            <w:snapToGrid w:val="0"/>
                            <w:ind w:firstLine="140" w:firstLineChars="50"/>
                            <w:jc w:val="left"/>
                            <w:textAlignment w:val="auto"/>
                            <w:rPr>
                              <w:rFonts w:hint="eastAsia" w:eastAsia="宋体"/>
                              <w:lang w:val="en-US" w:eastAsia="zh-CN"/>
                            </w:rPr>
                          </w:pPr>
                          <w:r>
                            <w:rPr>
                              <w:rFonts w:hint="eastAsia" w:ascii="宋体" w:hAnsi="宋体" w:cs="宋体"/>
                              <w:sz w:val="28"/>
                              <w:szCs w:val="28"/>
                              <w:lang w:val="en-US" w:eastAsia="zh-CN"/>
                            </w:rPr>
                            <w:t xml:space="preserve"> </w:t>
                          </w:r>
                          <w:r>
                            <w:rPr>
                              <w:rFonts w:hint="eastAsia" w:ascii="宋体" w:hAnsi="宋体" w:cs="宋体"/>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26</w:t>
                          </w:r>
                          <w:r>
                            <w:rPr>
                              <w:sz w:val="28"/>
                              <w:szCs w:val="28"/>
                            </w:rPr>
                            <w:fldChar w:fldCharType="end"/>
                          </w:r>
                          <w:r>
                            <w:t xml:space="preserve"> </w:t>
                          </w:r>
                          <w:r>
                            <w:rPr>
                              <w:rFonts w:hint="eastAsia" w:ascii="宋体" w:hAnsi="宋体" w:cs="宋体"/>
                              <w:sz w:val="28"/>
                              <w:szCs w:val="28"/>
                            </w:rPr>
                            <w:t>—</w:t>
                          </w:r>
                          <w:r>
                            <w:rPr>
                              <w:rFonts w:hint="eastAsia" w:ascii="宋体" w:hAnsi="宋体" w:cs="宋体"/>
                              <w:sz w:val="28"/>
                              <w:szCs w:val="28"/>
                              <w:lang w:val="en-US" w:eastAsia="zh-CN"/>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7"/>
                      <w:keepNext w:val="0"/>
                      <w:keepLines w:val="0"/>
                      <w:pageBreakBefore w:val="0"/>
                      <w:widowControl w:val="0"/>
                      <w:kinsoku/>
                      <w:wordWrap w:val="0"/>
                      <w:overflowPunct/>
                      <w:topLinePunct w:val="0"/>
                      <w:bidi/>
                      <w:adjustRightInd/>
                      <w:snapToGrid w:val="0"/>
                      <w:ind w:firstLine="140" w:firstLineChars="50"/>
                      <w:jc w:val="left"/>
                      <w:textAlignment w:val="auto"/>
                      <w:rPr>
                        <w:rFonts w:hint="eastAsia" w:eastAsia="宋体"/>
                        <w:lang w:val="en-US" w:eastAsia="zh-CN"/>
                      </w:rPr>
                    </w:pPr>
                    <w:r>
                      <w:rPr>
                        <w:rFonts w:hint="eastAsia" w:ascii="宋体" w:hAnsi="宋体" w:cs="宋体"/>
                        <w:sz w:val="28"/>
                        <w:szCs w:val="28"/>
                        <w:lang w:val="en-US" w:eastAsia="zh-CN"/>
                      </w:rPr>
                      <w:t xml:space="preserve"> </w:t>
                    </w:r>
                    <w:r>
                      <w:rPr>
                        <w:rFonts w:hint="eastAsia" w:ascii="宋体" w:hAnsi="宋体" w:cs="宋体"/>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26</w:t>
                    </w:r>
                    <w:r>
                      <w:rPr>
                        <w:sz w:val="28"/>
                        <w:szCs w:val="28"/>
                      </w:rPr>
                      <w:fldChar w:fldCharType="end"/>
                    </w:r>
                    <w:r>
                      <w:t xml:space="preserve"> </w:t>
                    </w:r>
                    <w:r>
                      <w:rPr>
                        <w:rFonts w:hint="eastAsia" w:ascii="宋体" w:hAnsi="宋体" w:cs="宋体"/>
                        <w:sz w:val="28"/>
                        <w:szCs w:val="28"/>
                      </w:rPr>
                      <w:t>—</w:t>
                    </w:r>
                    <w:r>
                      <w:rPr>
                        <w:rFonts w:hint="eastAsia" w:ascii="宋体" w:hAnsi="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bidi w:val="0"/>
                            <w:adjustRightInd/>
                            <w:snapToGrid w:val="0"/>
                            <w:ind w:firstLine="280" w:firstLine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bidi w:val="0"/>
                      <w:adjustRightInd/>
                      <w:snapToGrid w:val="0"/>
                      <w:ind w:firstLine="280" w:firstLine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NTljMTMzZWU3YjJmZWU2YjJkMmEyODQxNjk3ZmIifQ=="/>
  </w:docVars>
  <w:rsids>
    <w:rsidRoot w:val="003310A1"/>
    <w:rsid w:val="000A7D3B"/>
    <w:rsid w:val="0015061D"/>
    <w:rsid w:val="001944F9"/>
    <w:rsid w:val="001C6DEA"/>
    <w:rsid w:val="00276135"/>
    <w:rsid w:val="002D6A02"/>
    <w:rsid w:val="00321F28"/>
    <w:rsid w:val="003310A1"/>
    <w:rsid w:val="00360CE2"/>
    <w:rsid w:val="00360F59"/>
    <w:rsid w:val="00365E67"/>
    <w:rsid w:val="00367149"/>
    <w:rsid w:val="0040456F"/>
    <w:rsid w:val="004420B9"/>
    <w:rsid w:val="00450554"/>
    <w:rsid w:val="00496183"/>
    <w:rsid w:val="004B015A"/>
    <w:rsid w:val="004D56EA"/>
    <w:rsid w:val="00527154"/>
    <w:rsid w:val="00563C86"/>
    <w:rsid w:val="006957FC"/>
    <w:rsid w:val="006F1ABA"/>
    <w:rsid w:val="00796F3A"/>
    <w:rsid w:val="007C1586"/>
    <w:rsid w:val="008D175E"/>
    <w:rsid w:val="0091318C"/>
    <w:rsid w:val="009178CB"/>
    <w:rsid w:val="009459D3"/>
    <w:rsid w:val="00975091"/>
    <w:rsid w:val="00983E6D"/>
    <w:rsid w:val="00A9554D"/>
    <w:rsid w:val="00B015DE"/>
    <w:rsid w:val="00B0598C"/>
    <w:rsid w:val="00B444E3"/>
    <w:rsid w:val="00C7304B"/>
    <w:rsid w:val="00D53851"/>
    <w:rsid w:val="00E5614D"/>
    <w:rsid w:val="00E7237D"/>
    <w:rsid w:val="00EB4141"/>
    <w:rsid w:val="00EB44D6"/>
    <w:rsid w:val="00EF7530"/>
    <w:rsid w:val="00F06D0E"/>
    <w:rsid w:val="00F46F01"/>
    <w:rsid w:val="00F75795"/>
    <w:rsid w:val="00FB525D"/>
    <w:rsid w:val="00FD10CF"/>
    <w:rsid w:val="02736B92"/>
    <w:rsid w:val="0D4A4354"/>
    <w:rsid w:val="0DD5081B"/>
    <w:rsid w:val="0EBD7A0E"/>
    <w:rsid w:val="116A1826"/>
    <w:rsid w:val="144C2F9E"/>
    <w:rsid w:val="14BB6635"/>
    <w:rsid w:val="238B2602"/>
    <w:rsid w:val="2B737AEB"/>
    <w:rsid w:val="36956787"/>
    <w:rsid w:val="3AAE029A"/>
    <w:rsid w:val="3D8553E9"/>
    <w:rsid w:val="556C617C"/>
    <w:rsid w:val="5A6545DD"/>
    <w:rsid w:val="61762F2C"/>
    <w:rsid w:val="61F916C3"/>
    <w:rsid w:val="6BED1421"/>
    <w:rsid w:val="6CD03BDB"/>
    <w:rsid w:val="6DDE2F5F"/>
    <w:rsid w:val="77695EDB"/>
    <w:rsid w:val="77A472CF"/>
    <w:rsid w:val="7A730770"/>
    <w:rsid w:val="7DA42367"/>
    <w:rsid w:val="7DBF6940"/>
    <w:rsid w:val="7DCB0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autoRedefine/>
    <w:qFormat/>
    <w:uiPriority w:val="0"/>
    <w:pPr>
      <w:adjustRightInd w:val="0"/>
      <w:jc w:val="center"/>
      <w:outlineLvl w:val="0"/>
    </w:pPr>
    <w:rPr>
      <w:rFonts w:ascii="Times New Roman" w:hAnsi="Times New Roman" w:eastAsia="方正小标宋_GBK" w:cs="Times New Roman"/>
      <w:color w:val="FF0000"/>
      <w:spacing w:val="-16"/>
      <w:w w:val="48"/>
      <w:kern w:val="44"/>
      <w:sz w:val="130"/>
      <w:lang w:val="en-US" w:eastAsia="zh-CN" w:bidi="ar-SA"/>
    </w:rPr>
  </w:style>
  <w:style w:type="paragraph" w:styleId="3">
    <w:name w:val="heading 2"/>
    <w:basedOn w:val="1"/>
    <w:link w:val="15"/>
    <w:autoRedefine/>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Document Map"/>
    <w:basedOn w:val="1"/>
    <w:link w:val="16"/>
    <w:autoRedefine/>
    <w:unhideWhenUsed/>
    <w:qFormat/>
    <w:uiPriority w:val="0"/>
    <w:rPr>
      <w:rFonts w:ascii="宋体" w:hAnsi="Calibri"/>
      <w:sz w:val="18"/>
      <w:szCs w:val="18"/>
    </w:rPr>
  </w:style>
  <w:style w:type="paragraph" w:styleId="5">
    <w:name w:val="Body Text"/>
    <w:basedOn w:val="1"/>
    <w:next w:val="1"/>
    <w:link w:val="17"/>
    <w:autoRedefine/>
    <w:unhideWhenUsed/>
    <w:qFormat/>
    <w:uiPriority w:val="0"/>
    <w:pPr>
      <w:spacing w:after="120"/>
    </w:pPr>
    <w:rPr>
      <w:rFonts w:ascii="等线" w:hAnsi="等线" w:eastAsia="等线"/>
      <w:szCs w:val="22"/>
    </w:rPr>
  </w:style>
  <w:style w:type="paragraph" w:styleId="6">
    <w:name w:val="Balloon Text"/>
    <w:basedOn w:val="1"/>
    <w:link w:val="18"/>
    <w:autoRedefine/>
    <w:unhideWhenUsed/>
    <w:qFormat/>
    <w:uiPriority w:val="0"/>
    <w:rPr>
      <w:rFonts w:ascii="Calibri" w:hAnsi="Calibri"/>
      <w:sz w:val="18"/>
      <w:szCs w:val="18"/>
    </w:rPr>
  </w:style>
  <w:style w:type="paragraph" w:styleId="7">
    <w:name w:val="footer"/>
    <w:basedOn w:val="1"/>
    <w:link w:val="19"/>
    <w:autoRedefine/>
    <w:qFormat/>
    <w:uiPriority w:val="0"/>
    <w:pPr>
      <w:tabs>
        <w:tab w:val="center" w:pos="4153"/>
        <w:tab w:val="right" w:pos="8306"/>
      </w:tabs>
      <w:snapToGrid w:val="0"/>
      <w:jc w:val="left"/>
    </w:pPr>
    <w:rPr>
      <w:sz w:val="18"/>
      <w:szCs w:val="18"/>
    </w:rPr>
  </w:style>
  <w:style w:type="paragraph" w:styleId="8">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character" w:styleId="12">
    <w:name w:val="page number"/>
    <w:basedOn w:val="11"/>
    <w:autoRedefine/>
    <w:qFormat/>
    <w:uiPriority w:val="0"/>
  </w:style>
  <w:style w:type="character" w:styleId="13">
    <w:name w:val="FollowedHyperlink"/>
    <w:basedOn w:val="11"/>
    <w:autoRedefine/>
    <w:unhideWhenUsed/>
    <w:qFormat/>
    <w:uiPriority w:val="99"/>
    <w:rPr>
      <w:color w:val="800080"/>
      <w:u w:val="single"/>
    </w:rPr>
  </w:style>
  <w:style w:type="character" w:styleId="14">
    <w:name w:val="Hyperlink"/>
    <w:basedOn w:val="11"/>
    <w:autoRedefine/>
    <w:unhideWhenUsed/>
    <w:qFormat/>
    <w:uiPriority w:val="0"/>
    <w:rPr>
      <w:color w:val="0000FF"/>
      <w:u w:val="single"/>
    </w:rPr>
  </w:style>
  <w:style w:type="character" w:customStyle="1" w:styleId="15">
    <w:name w:val="标题 2 Char"/>
    <w:basedOn w:val="11"/>
    <w:link w:val="3"/>
    <w:autoRedefine/>
    <w:semiHidden/>
    <w:qFormat/>
    <w:uiPriority w:val="0"/>
    <w:rPr>
      <w:rFonts w:ascii="宋体" w:hAnsi="宋体" w:cs="宋体"/>
      <w:b/>
      <w:bCs/>
      <w:sz w:val="36"/>
      <w:szCs w:val="36"/>
    </w:rPr>
  </w:style>
  <w:style w:type="character" w:customStyle="1" w:styleId="16">
    <w:name w:val="文档结构图 Char"/>
    <w:basedOn w:val="11"/>
    <w:link w:val="4"/>
    <w:autoRedefine/>
    <w:qFormat/>
    <w:uiPriority w:val="0"/>
    <w:rPr>
      <w:rFonts w:ascii="宋体" w:hAnsi="Calibri"/>
      <w:kern w:val="2"/>
      <w:sz w:val="18"/>
      <w:szCs w:val="18"/>
    </w:rPr>
  </w:style>
  <w:style w:type="character" w:customStyle="1" w:styleId="17">
    <w:name w:val="正文文本 Char"/>
    <w:basedOn w:val="11"/>
    <w:link w:val="5"/>
    <w:autoRedefine/>
    <w:qFormat/>
    <w:uiPriority w:val="0"/>
    <w:rPr>
      <w:rFonts w:ascii="等线" w:hAnsi="等线" w:eastAsia="等线"/>
      <w:kern w:val="2"/>
      <w:sz w:val="21"/>
      <w:szCs w:val="22"/>
    </w:rPr>
  </w:style>
  <w:style w:type="character" w:customStyle="1" w:styleId="18">
    <w:name w:val="批注框文本 Char"/>
    <w:basedOn w:val="11"/>
    <w:link w:val="6"/>
    <w:autoRedefine/>
    <w:qFormat/>
    <w:uiPriority w:val="0"/>
    <w:rPr>
      <w:rFonts w:ascii="Calibri" w:hAnsi="Calibri"/>
      <w:kern w:val="2"/>
      <w:sz w:val="18"/>
      <w:szCs w:val="18"/>
    </w:rPr>
  </w:style>
  <w:style w:type="character" w:customStyle="1" w:styleId="19">
    <w:name w:val="页脚 Char"/>
    <w:basedOn w:val="11"/>
    <w:link w:val="7"/>
    <w:autoRedefine/>
    <w:qFormat/>
    <w:uiPriority w:val="0"/>
    <w:rPr>
      <w:kern w:val="2"/>
      <w:sz w:val="18"/>
      <w:szCs w:val="18"/>
    </w:rPr>
  </w:style>
  <w:style w:type="character" w:customStyle="1" w:styleId="20">
    <w:name w:val="页眉 Char"/>
    <w:basedOn w:val="11"/>
    <w:link w:val="8"/>
    <w:autoRedefine/>
    <w:qFormat/>
    <w:uiPriority w:val="0"/>
    <w:rPr>
      <w:kern w:val="2"/>
      <w:sz w:val="18"/>
      <w:szCs w:val="18"/>
    </w:rPr>
  </w:style>
  <w:style w:type="paragraph" w:customStyle="1" w:styleId="21">
    <w:name w:val="List Paragraph"/>
    <w:basedOn w:val="1"/>
    <w:autoRedefine/>
    <w:qFormat/>
    <w:uiPriority w:val="0"/>
    <w:pPr>
      <w:ind w:firstLine="420" w:firstLineChars="200"/>
    </w:pPr>
    <w:rPr>
      <w:rFonts w:ascii="Calibri" w:hAnsi="Calibri"/>
      <w:szCs w:val="22"/>
    </w:rPr>
  </w:style>
  <w:style w:type="paragraph" w:customStyle="1" w:styleId="22">
    <w:name w:val="列出段落2"/>
    <w:basedOn w:val="1"/>
    <w:autoRedefine/>
    <w:qFormat/>
    <w:uiPriority w:val="0"/>
    <w:pPr>
      <w:ind w:firstLine="420" w:firstLineChars="200"/>
    </w:pPr>
    <w:rPr>
      <w:szCs w:val="22"/>
    </w:rPr>
  </w:style>
  <w:style w:type="paragraph" w:customStyle="1" w:styleId="23">
    <w:name w:val="秘级紧急（方正黑体3号）"/>
    <w:autoRedefine/>
    <w:qFormat/>
    <w:uiPriority w:val="0"/>
    <w:pPr>
      <w:spacing w:line="560" w:lineRule="exact"/>
    </w:pPr>
    <w:rPr>
      <w:rFonts w:ascii="黑体" w:hAnsi="Times New Roman" w:eastAsia="方正黑体_GBK" w:cs="Times New Roman"/>
      <w:b/>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cqnyj</Company>
  <Pages>6</Pages>
  <Words>1667</Words>
  <Characters>9502</Characters>
  <Lines>79</Lines>
  <Paragraphs>22</Paragraphs>
  <TotalTime>49</TotalTime>
  <ScaleCrop>false</ScaleCrop>
  <LinksUpToDate>false</LinksUpToDate>
  <CharactersWithSpaces>11147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2021-07-13T03:13:00Z</dcterms:created>
  <dc:creator>cqnyj</dc:creator>
  <cp:lastModifiedBy>杨玲</cp:lastModifiedBy>
  <cp:lastPrinted>2024-04-15T01:33:00Z</cp:lastPrinted>
  <dcterms:modified xsi:type="dcterms:W3CDTF">2024-05-09T02:36:46Z</dcterms:modified>
  <dc:title>重庆市农业局电子公文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1E043FF067624B75AC3F32D34FA7C9D4_13</vt:lpwstr>
  </property>
</Properties>
</file>