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outlineLvl w:val="9"/>
        <w:rPr>
          <w:rFonts w:hint="eastAsia"/>
          <w:sz w:val="32"/>
          <w:szCs w:val="32"/>
        </w:rPr>
      </w:pPr>
    </w:p>
    <w:p>
      <w:pPr>
        <w:keepNext w:val="0"/>
        <w:keepLines w:val="0"/>
        <w:pageBreakBefore w:val="0"/>
        <w:widowControl w:val="0"/>
        <w:kinsoku/>
        <w:wordWrap/>
        <w:overflowPunct w:val="0"/>
        <w:topLinePunct w:val="0"/>
        <w:autoSpaceDE/>
        <w:autoSpaceDN/>
        <w:bidi w:val="0"/>
        <w:adjustRightInd/>
        <w:snapToGrid/>
        <w:spacing w:line="1500" w:lineRule="exact"/>
        <w:jc w:val="center"/>
        <w:textAlignment w:val="auto"/>
        <w:rPr>
          <w:rFonts w:hint="eastAsia" w:ascii="方正小标宋_GBK" w:hAnsi="Calibri" w:eastAsia="方正小标宋_GBK" w:cs="Times New Roman"/>
          <w:b w:val="0"/>
          <w:bCs w:val="0"/>
          <w:color w:val="FF0000"/>
          <w:spacing w:val="-17"/>
          <w:w w:val="45"/>
          <w:sz w:val="144"/>
          <w:szCs w:val="144"/>
        </w:rPr>
      </w:pPr>
      <w:r>
        <w:rPr>
          <w:rFonts w:hint="eastAsia" w:ascii="方正小标宋_GBK" w:hAnsi="方正小标宋_GBK" w:eastAsia="方正小标宋_GBK" w:cs="方正小标宋_GBK"/>
          <w:b w:val="0"/>
          <w:bCs w:val="0"/>
          <w:color w:val="FF0000"/>
          <w:spacing w:val="-17"/>
          <w:w w:val="45"/>
          <w:sz w:val="144"/>
          <w:szCs w:val="144"/>
        </w:rPr>
        <w:t>重庆市沙坪坝区</w:t>
      </w:r>
      <w:r>
        <w:rPr>
          <w:rFonts w:hint="eastAsia" w:ascii="方正小标宋_GBK" w:hAnsi="方正小标宋_GBK" w:eastAsia="方正小标宋_GBK" w:cs="方正小标宋_GBK"/>
          <w:b w:val="0"/>
          <w:bCs w:val="0"/>
          <w:color w:val="FF0000"/>
          <w:spacing w:val="-17"/>
          <w:w w:val="45"/>
          <w:sz w:val="144"/>
          <w:szCs w:val="144"/>
          <w:lang w:eastAsia="zh-CN"/>
        </w:rPr>
        <w:t>医疗</w:t>
      </w:r>
      <w:r>
        <w:rPr>
          <w:rFonts w:hint="eastAsia" w:ascii="方正小标宋_GBK" w:hAnsi="方正小标宋_GBK" w:eastAsia="方正小标宋_GBK" w:cs="方正小标宋_GBK"/>
          <w:b w:val="0"/>
          <w:bCs w:val="0"/>
          <w:color w:val="FF0000"/>
          <w:spacing w:val="-17"/>
          <w:w w:val="45"/>
          <w:sz w:val="144"/>
          <w:szCs w:val="144"/>
        </w:rPr>
        <w:t>保障局文件</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outlineLvl w:val="9"/>
        <w:rPr>
          <w:rFonts w:hint="eastAsia" w:ascii="方正仿宋_GBK" w:hAnsi="Calibri" w:eastAsia="方正仿宋_GBK" w:cs="Times New Roman"/>
          <w:sz w:val="32"/>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outlineLvl w:val="9"/>
        <w:rPr>
          <w:rFonts w:hint="eastAsia" w:ascii="方正仿宋_GBK" w:hAnsi="Calibri" w:eastAsia="方正仿宋_GBK" w:cs="Times New Roman"/>
          <w:sz w:val="32"/>
        </w:rPr>
      </w:pPr>
    </w:p>
    <w:p>
      <w:pPr>
        <w:jc w:val="center"/>
        <w:rPr>
          <w:rFonts w:hint="eastAsia" w:ascii="方正仿宋_GBK" w:hAnsi="Calibri" w:eastAsia="方正仿宋_GBK" w:cs="Times New Roman"/>
          <w:sz w:val="32"/>
        </w:rPr>
      </w:pPr>
      <w:r>
        <w:rPr>
          <w:rFonts w:hint="eastAsia" w:ascii="方正仿宋_GBK" w:hAnsi="Calibri" w:eastAsia="方正仿宋_GBK" w:cs="Times New Roman"/>
          <w:sz w:val="32"/>
        </w:rPr>
        <w:t>沙</w:t>
      </w:r>
      <w:r>
        <w:rPr>
          <w:rFonts w:hint="eastAsia" w:ascii="方正仿宋_GBK" w:hAnsi="Calibri" w:eastAsia="方正仿宋_GBK" w:cs="Times New Roman"/>
          <w:sz w:val="32"/>
          <w:lang w:eastAsia="zh-CN"/>
        </w:rPr>
        <w:t>医保</w:t>
      </w:r>
      <w:r>
        <w:rPr>
          <w:rFonts w:hint="eastAsia" w:ascii="方正仿宋_GBK" w:hAnsi="Calibri" w:eastAsia="方正仿宋_GBK" w:cs="Times New Roman"/>
          <w:sz w:val="32"/>
        </w:rPr>
        <w:t>发〔</w:t>
      </w:r>
      <w:r>
        <w:rPr>
          <w:rFonts w:hint="eastAsia" w:ascii="Times New Roman" w:hAnsi="Times New Roman" w:cs="Times New Roman"/>
          <w:sz w:val="32"/>
          <w:lang w:val="en-US" w:eastAsia="zh-CN"/>
        </w:rPr>
        <w:t>2024</w:t>
      </w:r>
      <w:r>
        <w:rPr>
          <w:rFonts w:hint="eastAsia" w:ascii="方正仿宋_GBK" w:hAnsi="Calibri" w:eastAsia="方正仿宋_GBK" w:cs="Times New Roman"/>
          <w:sz w:val="32"/>
        </w:rPr>
        <w:t>〕</w:t>
      </w:r>
      <w:r>
        <w:rPr>
          <w:rFonts w:hint="eastAsia" w:cs="Times New Roman"/>
          <w:sz w:val="32"/>
          <w:lang w:val="en-US" w:eastAsia="zh-CN"/>
        </w:rPr>
        <w:t>14</w:t>
      </w:r>
      <w:r>
        <w:rPr>
          <w:rFonts w:hint="eastAsia" w:ascii="方正仿宋_GBK" w:hAnsi="Calibri" w:eastAsia="方正仿宋_GBK" w:cs="Times New Roman"/>
          <w:sz w:val="32"/>
        </w:rPr>
        <w:t>号</w:t>
      </w:r>
    </w:p>
    <w:p>
      <w:pPr>
        <w:tabs>
          <w:tab w:val="left" w:pos="3885"/>
        </w:tabs>
        <w:jc w:val="center"/>
        <w:rPr>
          <w:rFonts w:ascii="黑体" w:eastAsia="黑体"/>
          <w:sz w:val="36"/>
        </w:rPr>
      </w:pPr>
      <w:r>
        <w:rPr>
          <w:rFonts w:ascii="仿宋_GB2312" w:hAnsi="Calibri" w:eastAsia="仿宋_GB2312" w:cs="Times New Roman"/>
          <w:sz w:val="20"/>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6985</wp:posOffset>
                </wp:positionV>
                <wp:extent cx="5608320" cy="4445"/>
                <wp:effectExtent l="0" t="10795" r="11430" b="13335"/>
                <wp:wrapNone/>
                <wp:docPr id="3" name="直线 11"/>
                <wp:cNvGraphicFramePr/>
                <a:graphic xmlns:a="http://schemas.openxmlformats.org/drawingml/2006/main">
                  <a:graphicData uri="http://schemas.microsoft.com/office/word/2010/wordprocessingShape">
                    <wps:wsp>
                      <wps:cNvCnPr/>
                      <wps:spPr>
                        <a:xfrm>
                          <a:off x="0" y="0"/>
                          <a:ext cx="5608320" cy="444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65pt;margin-top:0.55pt;height:0.35pt;width:441.6pt;z-index:251660288;mso-width-relative:page;mso-height-relative:page;" filled="f" stroked="t" coordsize="21600,21600" o:gfxdata="UEsDBAoAAAAAAIdO4kAAAAAAAAAAAAAAAAAEAAAAZHJzL1BLAwQUAAAACACHTuJArfeldtQAAAAF&#10;AQAADwAAAGRycy9kb3ducmV2LnhtbE2Oy07DMBBF90j9B2uQuqNOqAhRiNNFJZDKS0rhA5x4SKLa&#10;4xC7aeHrGVawvHOvzpxyc3ZWzDiFwZOCdJWAQGq9GahT8P52f5WDCFGT0dYTKvjCAJtqcVHqwvgT&#10;1TjvYycYQqHQCvoYx0LK0PbodFj5EYm7Dz85HTlOnTSTPjHcWXmdJJl0eiD+0OsRtz22h/3RMWW+&#10;PTw/vXzXn4+D39UP2WvTWVRqeZkmdyAinuPfGH71WR0qdmr8kUwQVsF6zUM+pyC4zfPsBkTDOQdZ&#10;lfK/ffUDUEsDBBQAAAAIAIdO4kBXB8c87AEAAOADAAAOAAAAZHJzL2Uyb0RvYy54bWytU0tu2zAQ&#10;3RfoHQjua8mOHQSC5SziuJuiNdDmAGOKkgjwBw5t2WfpNbrqpsfJNTqkXKdNN15EC2rIeXyc94Zc&#10;3h+NZgcZUDlb8+mk5Exa4Rplu5o/fdt8uOMMI9gGtLOy5ieJ/H71/t1y8JWcud7pRgZGJBarwde8&#10;j9FXRYGilwZw4ry0lGxdMBBpGrqiCTAQu9HFrCxvi8GFxgcnJCKtrsckPzOGawhd2yoh107sjbRx&#10;ZA1SQyRJ2CuPfJWrbVsp4pe2RRmZrjkpjXmkQyjepbFYLaHqAvheiXMJcE0JrzQZUJYOvVCtIQLb&#10;B/UflVEiOHRtnAhnilFIdoRUTMtX3nztwcushaxGfzEd345WfD5sA1NNzW84s2Co4c/ffzz//MWm&#10;02TO4LEizIPdhvMM/TYkpcc2mPQnDeyYDT1dDJXHyAQtLm7Lu5sZeS0oN5/PF4myeNnrA8aP0hmW&#10;gpprZZNcqODwCeMI/QNJy9qyoeYz+hZECXT5Wmo6hcaTALRd3oxOq2ajtE5bMHS7Bx3YAegCbDYl&#10;feca/oGlU9aA/YjLqQSDqpfQPNqGxZMnayy9CJ5qMLLhTEt6QCnKyAhKX4Mk+dqSC8nZ0csU7Vxz&#10;okbsfVBdT1Zk8zOGGp89O1/SdLP+nmeml4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96V2&#10;1AAAAAUBAAAPAAAAAAAAAAEAIAAAACIAAABkcnMvZG93bnJldi54bWxQSwECFAAUAAAACACHTuJA&#10;VwfHPOwBAADgAwAADgAAAAAAAAABACAAAAAjAQAAZHJzL2Uyb0RvYy54bWxQSwUGAAAAAAYABgBZ&#10;AQAAg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重庆市沙坪坝区医疗保障局</w:t>
      </w:r>
    </w:p>
    <w:bookmarkEnd w:id="0"/>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关于规范定点医药机构接入医保信息平台</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专网的通知</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default"/>
          <w:lang w:val="en-US" w:eastAsia="zh-CN"/>
        </w:rPr>
      </w:pPr>
      <w:r>
        <w:rPr>
          <w:rFonts w:hint="default"/>
          <w:lang w:val="en-US" w:eastAsia="zh-CN"/>
        </w:rPr>
        <w:t>各定点医药机构：</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default"/>
          <w:lang w:val="en-US" w:eastAsia="zh-CN"/>
        </w:rPr>
        <w:t>为进一步规范定点医药机构网络接入方式，防范重大数据和网络安全风险，根据《重庆市医疗保障局网络安全和信息化领导小组办公室关于规范定点医药机构接入医保信息平台专网的通知》</w:t>
      </w:r>
      <w:r>
        <w:rPr>
          <w:rFonts w:hint="eastAsia"/>
          <w:lang w:val="en-US" w:eastAsia="zh-CN"/>
        </w:rPr>
        <w:t>（</w:t>
      </w:r>
      <w:r>
        <w:rPr>
          <w:rFonts w:hint="default"/>
          <w:lang w:val="en-US" w:eastAsia="zh-CN"/>
        </w:rPr>
        <w:t>渝医保网信办〔2023〕1号</w:t>
      </w:r>
      <w:r>
        <w:rPr>
          <w:rFonts w:hint="eastAsia"/>
          <w:lang w:val="en-US" w:eastAsia="zh-CN"/>
        </w:rPr>
        <w:t>）</w:t>
      </w:r>
      <w:r>
        <w:rPr>
          <w:rFonts w:hint="default"/>
          <w:lang w:val="en-US" w:eastAsia="zh-CN"/>
        </w:rPr>
        <w:t>要求，结合沙坪坝区实际，沙坪坝区医保局对定点医药机构和云HIS接入重庆市医保信息平台核心业务区网络</w:t>
      </w:r>
      <w:r>
        <w:rPr>
          <w:rFonts w:hint="eastAsia"/>
          <w:lang w:val="en-US" w:eastAsia="zh-CN"/>
        </w:rPr>
        <w:t>（</w:t>
      </w:r>
      <w:r>
        <w:rPr>
          <w:rFonts w:hint="default"/>
          <w:lang w:val="en-US" w:eastAsia="zh-CN"/>
        </w:rPr>
        <w:t>以下简称</w:t>
      </w:r>
      <w:r>
        <w:rPr>
          <w:rFonts w:hint="eastAsia"/>
          <w:lang w:val="en-US" w:eastAsia="zh-CN"/>
        </w:rPr>
        <w:t>“</w:t>
      </w:r>
      <w:r>
        <w:rPr>
          <w:rFonts w:hint="default"/>
          <w:lang w:val="en-US" w:eastAsia="zh-CN"/>
        </w:rPr>
        <w:t>医保专网</w:t>
      </w:r>
      <w:r>
        <w:rPr>
          <w:rFonts w:hint="eastAsia"/>
          <w:lang w:val="en-US" w:eastAsia="zh-CN"/>
        </w:rPr>
        <w:t>”）</w:t>
      </w:r>
      <w:r>
        <w:rPr>
          <w:rFonts w:hint="default"/>
          <w:lang w:val="en-US" w:eastAsia="zh-CN"/>
        </w:rPr>
        <w:t>进行规范。现将有关事项通知如下：</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一、网络接入规范</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（一）组网模式。</w:t>
      </w:r>
      <w:r>
        <w:rPr>
          <w:rFonts w:hint="default"/>
          <w:lang w:val="en-US" w:eastAsia="zh-CN"/>
        </w:rPr>
        <w:t>各定点医药机构的网络接入模式为</w:t>
      </w:r>
      <w:r>
        <w:rPr>
          <w:rFonts w:hint="eastAsia"/>
          <w:lang w:val="en-US" w:eastAsia="zh-CN"/>
        </w:rPr>
        <w:t>“</w:t>
      </w:r>
      <w:r>
        <w:rPr>
          <w:rFonts w:hint="default"/>
          <w:lang w:val="en-US" w:eastAsia="zh-CN"/>
        </w:rPr>
        <w:t>网对网</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点对网</w:t>
      </w:r>
      <w:r>
        <w:rPr>
          <w:rFonts w:hint="eastAsia"/>
          <w:lang w:val="en-US" w:eastAsia="zh-CN"/>
        </w:rPr>
        <w:t>”</w:t>
      </w:r>
      <w:r>
        <w:rPr>
          <w:rFonts w:hint="default"/>
          <w:lang w:val="en-US" w:eastAsia="zh-CN"/>
        </w:rPr>
        <w:t>。其中</w:t>
      </w:r>
      <w:r>
        <w:rPr>
          <w:rFonts w:hint="eastAsia"/>
          <w:lang w:val="en-US" w:eastAsia="zh-CN"/>
        </w:rPr>
        <w:t>“</w:t>
      </w:r>
      <w:r>
        <w:rPr>
          <w:rFonts w:hint="default"/>
          <w:lang w:val="en-US" w:eastAsia="zh-CN"/>
        </w:rPr>
        <w:t>点对网</w:t>
      </w:r>
      <w:r>
        <w:rPr>
          <w:rFonts w:hint="eastAsia"/>
          <w:lang w:val="en-US" w:eastAsia="zh-CN"/>
        </w:rPr>
        <w:t>”</w:t>
      </w:r>
      <w:r>
        <w:rPr>
          <w:rFonts w:hint="default"/>
          <w:lang w:val="en-US" w:eastAsia="zh-CN"/>
        </w:rPr>
        <w:t>模式是指接入单位只将单个或多个终端连接到医保专网。</w:t>
      </w:r>
      <w:r>
        <w:rPr>
          <w:rFonts w:hint="eastAsia"/>
          <w:lang w:val="en-US" w:eastAsia="zh-CN"/>
        </w:rPr>
        <w:t>“</w:t>
      </w:r>
      <w:r>
        <w:rPr>
          <w:rFonts w:hint="default"/>
          <w:lang w:val="en-US" w:eastAsia="zh-CN"/>
        </w:rPr>
        <w:t>网对网</w:t>
      </w:r>
      <w:r>
        <w:rPr>
          <w:rFonts w:hint="eastAsia"/>
          <w:lang w:val="en-US" w:eastAsia="zh-CN"/>
        </w:rPr>
        <w:t>”</w:t>
      </w:r>
      <w:r>
        <w:rPr>
          <w:rFonts w:hint="default"/>
          <w:lang w:val="en-US" w:eastAsia="zh-CN"/>
        </w:rPr>
        <w:t>模式是指接入单位将其单位内部网络按照一定的安全保障措施连接到医保专网。对于采用</w:t>
      </w:r>
      <w:r>
        <w:rPr>
          <w:rFonts w:hint="eastAsia"/>
          <w:lang w:val="en-US" w:eastAsia="zh-CN"/>
        </w:rPr>
        <w:t>“</w:t>
      </w:r>
      <w:r>
        <w:rPr>
          <w:rFonts w:hint="default"/>
          <w:lang w:val="en-US" w:eastAsia="zh-CN"/>
        </w:rPr>
        <w:t>网对网</w:t>
      </w:r>
      <w:r>
        <w:rPr>
          <w:rFonts w:hint="eastAsia"/>
          <w:lang w:val="en-US" w:eastAsia="zh-CN"/>
        </w:rPr>
        <w:t>”</w:t>
      </w:r>
      <w:r>
        <w:rPr>
          <w:rFonts w:hint="default"/>
          <w:lang w:val="en-US" w:eastAsia="zh-CN"/>
        </w:rPr>
        <w:t xml:space="preserve"> 模式的定点医药机构，其内部网络必须符合等保三级要求，在采用访问控制、数据加密等安全防护措施后才可接入医保专网。原则上单条专线仅供同一地理位置的同一医保编码单位接入，不允许多个不同医保编码单位使用同一专线接入医保专网。</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二</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接入方式。</w:t>
      </w:r>
      <w:r>
        <w:rPr>
          <w:rFonts w:hint="default"/>
          <w:lang w:val="en-US" w:eastAsia="zh-CN"/>
        </w:rPr>
        <w:t>各定点医药机构接入医保专网应采用专线或VPDN。其中专线是指运营商提供的裸光纤/MPLS等进行互联的专用线路。VPDN是指运营商基于L2TP/GRE 隧道技术为客户提供的一种可控的4G/5G网络接入方式。对于具有专线接入条件的定点医药机构，选择专线接入医保专网；对于移动终端、自动售药设备以及其他不具备专线接入条件的医保服务场景，可选择VPDN方式接入医保专网。</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三</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备用线路。</w:t>
      </w:r>
      <w:r>
        <w:rPr>
          <w:rFonts w:hint="default"/>
          <w:lang w:val="en-US" w:eastAsia="zh-CN"/>
        </w:rPr>
        <w:t>有条件的定点医药机构可依据接入规范要求建设备用线路，该线路可接入到重庆市医保信息平台灾备中心。备用线路可选择不同运营商承建，以确保医保结算的稳定性和可靠性。</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ascii="方正黑体_GBK" w:hAnsi="方正黑体_GBK" w:eastAsia="方正黑体_GBK" w:cs="方正黑体_GBK"/>
          <w:lang w:val="en-US" w:eastAsia="zh-CN"/>
        </w:rPr>
      </w:pPr>
      <w:r>
        <w:rPr>
          <w:rFonts w:hint="default" w:ascii="方正黑体_GBK" w:hAnsi="方正黑体_GBK" w:eastAsia="方正黑体_GBK" w:cs="方正黑体_GBK"/>
          <w:lang w:val="en-US" w:eastAsia="zh-CN"/>
        </w:rPr>
        <w:t>二、网络安全建设</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一</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专网专用，确保安全隔离。</w:t>
      </w:r>
      <w:r>
        <w:rPr>
          <w:rFonts w:hint="default"/>
          <w:lang w:val="en-US" w:eastAsia="zh-CN"/>
        </w:rPr>
        <w:t>各定点医药机构应采用物理隔离，或部署使用</w:t>
      </w:r>
      <w:r>
        <w:rPr>
          <w:rFonts w:hint="eastAsia"/>
          <w:lang w:val="en-US" w:eastAsia="zh-CN"/>
        </w:rPr>
        <w:t>“</w:t>
      </w:r>
      <w:r>
        <w:rPr>
          <w:rFonts w:hint="default"/>
          <w:lang w:val="en-US" w:eastAsia="zh-CN"/>
        </w:rPr>
        <w:t>安全隔离与信息交换系统</w:t>
      </w:r>
      <w:r>
        <w:rPr>
          <w:rFonts w:hint="eastAsia"/>
          <w:lang w:val="en-US" w:eastAsia="zh-CN"/>
        </w:rPr>
        <w:t>”</w:t>
      </w:r>
      <w:r>
        <w:rPr>
          <w:rFonts w:hint="default"/>
          <w:lang w:val="en-US" w:eastAsia="zh-CN"/>
        </w:rPr>
        <w:t>的方式，将医保专网与其他网络进行隔离，确保医保专网链路在各种情况下均不可直接连接互联网及其他行业专网。重庆市医保信息平台生产中心为医保业务唯一逻辑汇聚点，各接入单位原则上不进行彼此间医保数据交换。对于手持移动终端以及其他通过无线方式开展医保业务的信息系统，仅可通过由重庆市医保信息平台进行身份认证的VPDN网络接入医保专网。</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二</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专机专用，强化终端安全。</w:t>
      </w:r>
      <w:r>
        <w:rPr>
          <w:rFonts w:hint="default"/>
          <w:lang w:val="en-US" w:eastAsia="zh-CN"/>
        </w:rPr>
        <w:t>各定点医药机构应具备相应的保护与防攻击措施，确保医保数据不被篡改和非法获取。其接入医保专网的终端应专机专用，安装终端安全监控和管理软件，不安装来源不明软件，不得一机多网连接，严禁处理涉密信息。 其中终端安全监控和管理软件功能应涵盖病毒查杀、漏洞修复、系统修复、一机多网监测、移动存储介质管理</w:t>
      </w:r>
      <w:r>
        <w:rPr>
          <w:rFonts w:hint="eastAsia"/>
          <w:lang w:val="en-US" w:eastAsia="zh-CN"/>
        </w:rPr>
        <w:t>（</w:t>
      </w:r>
      <w:r>
        <w:rPr>
          <w:rFonts w:hint="default"/>
          <w:lang w:val="en-US" w:eastAsia="zh-CN"/>
        </w:rPr>
        <w:t>详见附件</w:t>
      </w:r>
      <w:r>
        <w:rPr>
          <w:rFonts w:hint="eastAsia"/>
          <w:lang w:val="en-US" w:eastAsia="zh-CN"/>
        </w:rPr>
        <w:t>）</w:t>
      </w:r>
      <w:r>
        <w:rPr>
          <w:rFonts w:hint="default"/>
          <w:lang w:val="en-US" w:eastAsia="zh-CN"/>
        </w:rPr>
        <w:t>等功能。按照市医保局要求将接入医保专网的终端监控数据统一上传，支持在医保信息平台可视化展示。</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default" w:ascii="Times New Roman" w:hAnsi="Times New Roman" w:eastAsia="方正黑体_GBK" w:cs="Times New Roman"/>
          <w:lang w:val="en-US" w:eastAsia="zh-CN"/>
        </w:rPr>
        <w:t>三、云HIS接入规范</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default" w:ascii="Times New Roman" w:hAnsi="Times New Roman" w:eastAsia="方正楷体_GBK" w:cs="Times New Roman"/>
          <w:lang w:val="en-US" w:eastAsia="zh-CN"/>
        </w:rPr>
        <w:t>（一）云HIS基础环境要求。</w:t>
      </w:r>
      <w:r>
        <w:rPr>
          <w:rFonts w:hint="default"/>
          <w:lang w:val="en-US" w:eastAsia="zh-CN"/>
        </w:rPr>
        <w:t>定点医保机构选用云HIS系统对接医保专网的，应要求云HIS服务商采取</w:t>
      </w:r>
      <w:r>
        <w:rPr>
          <w:rFonts w:hint="eastAsia"/>
          <w:lang w:val="en-US" w:eastAsia="zh-CN"/>
        </w:rPr>
        <w:t>“</w:t>
      </w:r>
      <w:r>
        <w:rPr>
          <w:rFonts w:hint="default"/>
          <w:lang w:val="en-US" w:eastAsia="zh-CN"/>
        </w:rPr>
        <w:t>专网建云</w:t>
      </w:r>
      <w:r>
        <w:rPr>
          <w:rFonts w:hint="eastAsia"/>
          <w:lang w:val="en-US" w:eastAsia="zh-CN"/>
        </w:rPr>
        <w:t>”</w:t>
      </w:r>
      <w:r>
        <w:rPr>
          <w:rFonts w:hint="default"/>
          <w:lang w:val="en-US" w:eastAsia="zh-CN"/>
        </w:rPr>
        <w:t>的模式。</w:t>
      </w:r>
      <w:r>
        <w:rPr>
          <w:rFonts w:hint="default"/>
          <w:b/>
          <w:bCs/>
          <w:lang w:val="en-US" w:eastAsia="zh-CN"/>
        </w:rPr>
        <w:t>一是自建专有云，</w:t>
      </w:r>
      <w:r>
        <w:rPr>
          <w:rFonts w:hint="default"/>
          <w:lang w:val="en-US" w:eastAsia="zh-CN"/>
        </w:rPr>
        <w:t>云HIS 服务商可通过自建符合等保三级标准并与互联网及其他行业专网安全隔离的专用云来部署云HIS系统。</w:t>
      </w:r>
      <w:r>
        <w:rPr>
          <w:rFonts w:hint="default" w:ascii="Times New Roman" w:hAnsi="Times New Roman" w:cs="Times New Roman"/>
          <w:b/>
          <w:bCs/>
          <w:lang w:val="en-US" w:eastAsia="zh-CN"/>
        </w:rPr>
        <w:t>二是租用专有云，</w:t>
      </w:r>
      <w:r>
        <w:rPr>
          <w:rFonts w:hint="default"/>
          <w:lang w:val="en-US" w:eastAsia="zh-CN"/>
        </w:rPr>
        <w:t>云HIS 服务商可依托运营商提供的符合《接入规范》的基础环境部署云HIS系统。</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（二）云</w:t>
      </w:r>
      <w:r>
        <w:rPr>
          <w:rFonts w:hint="default" w:ascii="Times New Roman" w:hAnsi="Times New Roman" w:eastAsia="方正楷体_GBK" w:cs="Times New Roman"/>
          <w:lang w:val="en-US" w:eastAsia="zh-CN"/>
        </w:rPr>
        <w:t>HIS</w:t>
      </w:r>
      <w:r>
        <w:rPr>
          <w:rFonts w:hint="eastAsia" w:ascii="方正楷体_GBK" w:hAnsi="方正楷体_GBK" w:eastAsia="方正楷体_GBK" w:cs="方正楷体_GBK"/>
          <w:lang w:val="en-US" w:eastAsia="zh-CN"/>
        </w:rPr>
        <w:t>网络接入。</w:t>
      </w:r>
      <w:r>
        <w:rPr>
          <w:rFonts w:hint="default"/>
          <w:lang w:val="en-US" w:eastAsia="zh-CN"/>
        </w:rPr>
        <w:t>云HIS服务商应保证其服务可覆盖医保专网内所有定点医药机构，在按照基础环境要求完成系统部署后，应采用</w:t>
      </w:r>
      <w:r>
        <w:rPr>
          <w:rFonts w:hint="eastAsia"/>
          <w:lang w:val="en-US" w:eastAsia="zh-CN"/>
        </w:rPr>
        <w:t>“</w:t>
      </w:r>
      <w:r>
        <w:rPr>
          <w:rFonts w:hint="default"/>
          <w:lang w:val="en-US" w:eastAsia="zh-CN"/>
        </w:rPr>
        <w:t>网对网</w:t>
      </w:r>
      <w:r>
        <w:rPr>
          <w:rFonts w:hint="eastAsia"/>
          <w:lang w:val="en-US" w:eastAsia="zh-CN"/>
        </w:rPr>
        <w:t>”</w:t>
      </w:r>
      <w:r>
        <w:rPr>
          <w:rFonts w:hint="default"/>
          <w:lang w:val="en-US" w:eastAsia="zh-CN"/>
        </w:rPr>
        <w:t>的组网模式，通过专线接入医保专网。</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四、工作要求</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（一）明晰责任，闭环管理。</w:t>
      </w:r>
      <w:r>
        <w:rPr>
          <w:rFonts w:hint="default"/>
          <w:lang w:val="en-US" w:eastAsia="zh-CN"/>
        </w:rPr>
        <w:t>各定点医药机构对本机构内医保专网、接入终端的数据和网络安全负主体责任，应制定相关安全制度，完善技术防护措施，配备专职操作人员，规范医保结算流程，建立应急处置机制。有条件的定点医药机构应配备专职人员负责医保专网的数据和网络安全。</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二</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密切配合，全面整改。</w:t>
      </w:r>
      <w:r>
        <w:rPr>
          <w:rFonts w:hint="default"/>
          <w:lang w:val="en-US" w:eastAsia="zh-CN"/>
        </w:rPr>
        <w:t>各定点医药机构要加强与各运营商、云HIS服务商、技术支持单位的沟通协调，各定点医药机构、云HIS服务商按照通知要求在2024年6月前整改完毕。定点医药机构未按照通知要求进行整改的，严格按《定点医药机构服务协议》相关规定进行处理，云HIS服务商未按照通知要求进行重新部署的，将通知运营商禁止接入医保专网向定点医药机构提供服务。</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三</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严防事故，守住安全。</w:t>
      </w:r>
      <w:r>
        <w:rPr>
          <w:rFonts w:hint="default"/>
          <w:lang w:val="en-US" w:eastAsia="zh-CN"/>
        </w:rPr>
        <w:t>各医药机构将网络安全接入、终端安全管理纳入日常管理工作。</w:t>
      </w:r>
      <w:r>
        <w:rPr>
          <w:rFonts w:hint="default"/>
          <w:b/>
          <w:bCs/>
          <w:lang w:val="en-US" w:eastAsia="zh-CN"/>
        </w:rPr>
        <w:t>一是</w:t>
      </w:r>
      <w:r>
        <w:rPr>
          <w:rFonts w:hint="default"/>
          <w:lang w:val="en-US" w:eastAsia="zh-CN"/>
        </w:rPr>
        <w:t>要切实做好数据和网络安全防护工作，严防发生重大数据和网络安全事故。对接入医保专网的计算机安装终端安全管理软件，定期进行安全漏洞修复和病毒查杀，定期修改计算机登录密码，防范医保数据滥用和泄露风险。</w:t>
      </w:r>
      <w:r>
        <w:rPr>
          <w:rFonts w:hint="default" w:ascii="Times New Roman" w:hAnsi="Times New Roman" w:cs="Times New Roman"/>
          <w:b/>
          <w:bCs/>
          <w:lang w:val="en-US" w:eastAsia="zh-CN"/>
        </w:rPr>
        <w:t>二是</w:t>
      </w:r>
      <w:r>
        <w:rPr>
          <w:rFonts w:hint="default"/>
          <w:lang w:val="en-US" w:eastAsia="zh-CN"/>
        </w:rPr>
        <w:t>要定期开展网络安全自查，重点检查</w:t>
      </w:r>
      <w:r>
        <w:rPr>
          <w:rFonts w:hint="eastAsia"/>
          <w:lang w:val="en-US" w:eastAsia="zh-CN"/>
        </w:rPr>
        <w:t>“</w:t>
      </w:r>
      <w:r>
        <w:rPr>
          <w:rFonts w:hint="default"/>
          <w:lang w:val="en-US" w:eastAsia="zh-CN"/>
        </w:rPr>
        <w:t>一机多用</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一机多网</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专网与互联网混用</w:t>
      </w:r>
      <w:r>
        <w:rPr>
          <w:rFonts w:hint="eastAsia"/>
          <w:lang w:val="en-US" w:eastAsia="zh-CN"/>
        </w:rPr>
        <w:t>”</w:t>
      </w:r>
      <w:r>
        <w:rPr>
          <w:rFonts w:hint="default"/>
          <w:lang w:val="en-US" w:eastAsia="zh-CN"/>
        </w:rPr>
        <w:t>等违规行为。</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default"/>
          <w:lang w:val="en-US" w:eastAsia="zh-CN"/>
        </w:rPr>
        <w:t>附件：终端安全管理软件</w:t>
      </w:r>
      <w:r>
        <w:rPr>
          <w:rFonts w:hint="eastAsia"/>
          <w:lang w:val="en-US" w:eastAsia="zh-CN"/>
        </w:rPr>
        <w:t>（</w:t>
      </w:r>
      <w:r>
        <w:rPr>
          <w:rFonts w:hint="default"/>
          <w:lang w:val="en-US" w:eastAsia="zh-CN"/>
        </w:rPr>
        <w:t>系统/平台</w:t>
      </w:r>
      <w:r>
        <w:rPr>
          <w:rFonts w:hint="eastAsia"/>
          <w:lang w:val="en-US" w:eastAsia="zh-CN"/>
        </w:rPr>
        <w:t>）</w:t>
      </w:r>
      <w:r>
        <w:rPr>
          <w:rFonts w:hint="default"/>
          <w:lang w:val="en-US" w:eastAsia="zh-CN"/>
        </w:rPr>
        <w:t>基本功能</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4152" w:firstLineChars="1200"/>
        <w:textAlignment w:val="auto"/>
        <w:rPr>
          <w:rFonts w:hint="default"/>
          <w:lang w:val="en-US" w:eastAsia="zh-CN"/>
        </w:rPr>
      </w:pPr>
      <w:r>
        <w:rPr>
          <w:rFonts w:hint="default"/>
          <w:lang w:val="en-US" w:eastAsia="zh-CN"/>
        </w:rPr>
        <w:t>重庆市沙坪坝区医疗保障局</w:t>
      </w:r>
    </w:p>
    <w:p>
      <w:pPr>
        <w:keepNext w:val="0"/>
        <w:keepLines w:val="0"/>
        <w:pageBreakBefore w:val="0"/>
        <w:widowControl w:val="0"/>
        <w:kinsoku/>
        <w:wordWrap/>
        <w:overflowPunct w:val="0"/>
        <w:topLinePunct w:val="0"/>
        <w:autoSpaceDE/>
        <w:autoSpaceDN/>
        <w:bidi w:val="0"/>
        <w:adjustRightInd/>
        <w:snapToGrid/>
        <w:spacing w:line="580" w:lineRule="exact"/>
        <w:ind w:firstLine="4844" w:firstLineChars="1400"/>
        <w:textAlignment w:val="auto"/>
        <w:rPr>
          <w:rFonts w:hint="default"/>
          <w:lang w:val="en-US" w:eastAsia="zh-CN"/>
        </w:rPr>
      </w:pPr>
      <w:r>
        <w:rPr>
          <w:rFonts w:hint="default"/>
          <w:lang w:val="en-US" w:eastAsia="zh-CN"/>
        </w:rPr>
        <w:t>2024年3月29日</w:t>
      </w:r>
    </w:p>
    <w:p>
      <w:pPr>
        <w:pStyle w:val="5"/>
        <w:keepNext w:val="0"/>
        <w:keepLines w:val="0"/>
        <w:pageBreakBefore w:val="0"/>
        <w:widowControl w:val="0"/>
        <w:kinsoku/>
        <w:wordWrap/>
        <w:overflowPunct w:val="0"/>
        <w:topLinePunct w:val="0"/>
        <w:autoSpaceDE/>
        <w:autoSpaceDN/>
        <w:bidi w:val="0"/>
        <w:adjustRightInd/>
        <w:snapToGrid/>
        <w:spacing w:line="580" w:lineRule="exact"/>
        <w:jc w:val="righ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outlineLvl w:val="9"/>
        <w:rPr>
          <w:rFonts w:hint="default"/>
          <w:lang w:val="en-US" w:eastAsia="zh-CN"/>
        </w:rPr>
      </w:pPr>
      <w:r>
        <w:rPr>
          <w:rFonts w:hint="eastAsia"/>
          <w:lang w:val="en-US" w:eastAsia="zh-CN"/>
        </w:rPr>
        <w:t>（</w:t>
      </w:r>
      <w:r>
        <w:rPr>
          <w:rFonts w:hint="default"/>
          <w:lang w:val="en-US" w:eastAsia="zh-CN"/>
        </w:rPr>
        <w:t>联系人：卢秋宇，联系电话：023-65382676</w:t>
      </w:r>
      <w:r>
        <w:rPr>
          <w:rFonts w:hint="eastAsia"/>
          <w:lang w:val="en-US" w:eastAsia="zh-CN"/>
        </w:rPr>
        <w:t>）</w:t>
      </w:r>
    </w:p>
    <w:p>
      <w:pPr>
        <w:pStyle w:val="5"/>
        <w:keepNext w:val="0"/>
        <w:keepLines w:val="0"/>
        <w:pageBreakBefore w:val="0"/>
        <w:widowControl w:val="0"/>
        <w:kinsoku/>
        <w:wordWrap/>
        <w:overflowPunct w:val="0"/>
        <w:topLinePunct w:val="0"/>
        <w:autoSpaceDE/>
        <w:autoSpaceDN/>
        <w:bidi w:val="0"/>
        <w:adjustRightInd/>
        <w:snapToGrid/>
        <w:spacing w:line="580" w:lineRule="exact"/>
        <w:jc w:val="right"/>
        <w:textAlignment w:val="auto"/>
        <w:outlineLvl w:val="9"/>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eastAsia="仿宋_GB2312"/>
          <w:sz w:val="44"/>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eastAsia="仿宋_GB2312"/>
          <w:sz w:val="44"/>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eastAsia="仿宋_GB2312"/>
          <w:sz w:val="44"/>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eastAsia="仿宋_GB2312"/>
          <w:sz w:val="44"/>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eastAsia="仿宋_GB2312"/>
          <w:sz w:val="44"/>
          <w:lang w:val="en-US" w:eastAsia="zh-CN"/>
        </w:rPr>
      </w:pPr>
    </w:p>
    <w:p>
      <w:pPr>
        <w:pStyle w:val="5"/>
        <w:rPr>
          <w:rFonts w:hint="eastAsia" w:eastAsia="仿宋_GB2312"/>
          <w:sz w:val="44"/>
          <w:lang w:val="en-US" w:eastAsia="zh-CN"/>
        </w:rPr>
      </w:pPr>
    </w:p>
    <w:p>
      <w:pPr>
        <w:pStyle w:val="5"/>
        <w:rPr>
          <w:rFonts w:hint="eastAsia" w:eastAsia="仿宋_GB2312"/>
          <w:sz w:val="44"/>
          <w:lang w:val="en-US" w:eastAsia="zh-CN"/>
        </w:rPr>
      </w:pPr>
    </w:p>
    <w:p>
      <w:pPr>
        <w:pStyle w:val="5"/>
        <w:rPr>
          <w:rFonts w:hint="eastAsia" w:eastAsia="仿宋_GB2312"/>
          <w:sz w:val="44"/>
          <w:lang w:val="en-US" w:eastAsia="zh-CN"/>
        </w:rPr>
      </w:pPr>
    </w:p>
    <w:p>
      <w:pPr>
        <w:pStyle w:val="5"/>
        <w:ind w:left="0" w:leftChars="0" w:firstLine="0" w:firstLineChars="0"/>
        <w:rPr>
          <w:rFonts w:hint="eastAsia" w:eastAsia="仿宋_GB2312"/>
          <w:sz w:val="44"/>
          <w:lang w:val="en-US" w:eastAsia="zh-CN"/>
        </w:rPr>
      </w:pPr>
    </w:p>
    <w:p>
      <w:pPr>
        <w:spacing w:line="220" w:lineRule="atLeast"/>
        <w:rPr>
          <w:rFonts w:hint="default" w:eastAsia="仿宋_GB2312"/>
          <w:sz w:val="44"/>
          <w:lang w:val="en-US" w:eastAsia="zh-CN"/>
        </w:rPr>
      </w:pPr>
      <w:r>
        <w:rPr>
          <w:rFonts w:hint="eastAsia" w:ascii="Times New Roman" w:hAnsi="Times New Roman"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方正小标宋_GBK"/>
          <w:i w:val="0"/>
          <w:color w:val="000000"/>
          <w:kern w:val="0"/>
          <w:sz w:val="44"/>
          <w:szCs w:val="44"/>
          <w:u w:val="none"/>
          <w:lang w:val="en-US" w:eastAsia="zh-CN" w:bidi="ar"/>
        </w:rPr>
      </w:pPr>
      <w:r>
        <w:rPr>
          <w:rFonts w:hint="eastAsia" w:ascii="Times New Roman" w:hAnsi="Times New Roman" w:eastAsia="方正小标宋_GBK" w:cs="方正小标宋_GBK"/>
          <w:i w:val="0"/>
          <w:color w:val="000000"/>
          <w:kern w:val="0"/>
          <w:sz w:val="44"/>
          <w:szCs w:val="44"/>
          <w:u w:val="none"/>
          <w:lang w:val="en-US" w:eastAsia="zh-CN" w:bidi="ar"/>
        </w:rPr>
        <w:t>终端安全管理软件(系统/平台)基本功能</w:t>
      </w:r>
    </w:p>
    <w:p>
      <w:pPr>
        <w:pStyle w:val="2"/>
        <w:keepNext w:val="0"/>
        <w:keepLines w:val="0"/>
        <w:pageBreakBefore w:val="0"/>
        <w:widowControl w:val="0"/>
        <w:kinsoku/>
        <w:wordWrap/>
        <w:overflowPunct w:val="0"/>
        <w:topLinePunct w:val="0"/>
        <w:autoSpaceDE/>
        <w:autoSpaceDN/>
        <w:bidi w:val="0"/>
        <w:adjustRightInd/>
        <w:snapToGrid/>
        <w:spacing w:line="240" w:lineRule="exact"/>
        <w:textAlignment w:val="auto"/>
        <w:outlineLvl w:val="9"/>
        <w:rPr>
          <w:rFonts w:hint="eastAsia"/>
          <w:lang w:eastAsia="zh-CN"/>
        </w:rPr>
      </w:pPr>
    </w:p>
    <w:tbl>
      <w:tblPr>
        <w:tblStyle w:val="1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49"/>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spacing w:before="61" w:line="311" w:lineRule="auto"/>
              <w:ind w:left="103" w:leftChars="0" w:right="93" w:rightChars="0"/>
              <w:jc w:val="center"/>
              <w:rPr>
                <w:rFonts w:hint="eastAsia" w:ascii="方正黑体_GBK" w:hAnsi="方正黑体_GBK" w:eastAsia="方正黑体_GBK" w:cs="方正黑体_GBK"/>
                <w:sz w:val="32"/>
                <w:szCs w:val="32"/>
                <w:vertAlign w:val="baseline"/>
              </w:rPr>
            </w:pPr>
            <w:r>
              <w:rPr>
                <w:rFonts w:hint="eastAsia" w:ascii="Times New Roman" w:hAnsi="Times New Roman" w:eastAsia="方正仿宋_GBK"/>
                <w:b/>
                <w:bCs/>
              </w:rPr>
              <w:t>序号</w:t>
            </w:r>
          </w:p>
        </w:tc>
        <w:tc>
          <w:tcPr>
            <w:tcW w:w="1949" w:type="dxa"/>
            <w:vAlign w:val="top"/>
          </w:tcPr>
          <w:p>
            <w:pPr>
              <w:pStyle w:val="16"/>
              <w:spacing w:before="61" w:line="311" w:lineRule="auto"/>
              <w:ind w:left="103" w:leftChars="0" w:right="93" w:rightChars="0"/>
              <w:jc w:val="center"/>
              <w:rPr>
                <w:rFonts w:hint="eastAsia" w:ascii="方正黑体_GBK" w:hAnsi="方正黑体_GBK" w:eastAsia="方正黑体_GBK" w:cs="方正黑体_GBK"/>
                <w:sz w:val="32"/>
                <w:szCs w:val="32"/>
                <w:vertAlign w:val="baseline"/>
              </w:rPr>
            </w:pPr>
            <w:r>
              <w:rPr>
                <w:rFonts w:hint="eastAsia" w:ascii="Times New Roman" w:hAnsi="Times New Roman" w:eastAsia="方正仿宋_GBK"/>
                <w:b/>
                <w:bCs/>
              </w:rPr>
              <w:t>功能名称</w:t>
            </w:r>
          </w:p>
        </w:tc>
        <w:tc>
          <w:tcPr>
            <w:tcW w:w="6464" w:type="dxa"/>
            <w:vAlign w:val="top"/>
          </w:tcPr>
          <w:p>
            <w:pPr>
              <w:pStyle w:val="16"/>
              <w:spacing w:before="61" w:line="311" w:lineRule="auto"/>
              <w:ind w:left="103" w:leftChars="0" w:right="93" w:rightChars="0"/>
              <w:jc w:val="center"/>
              <w:rPr>
                <w:rFonts w:hint="eastAsia" w:ascii="方正黑体_GBK" w:hAnsi="方正黑体_GBK" w:eastAsia="方正黑体_GBK" w:cs="方正黑体_GBK"/>
                <w:sz w:val="32"/>
                <w:szCs w:val="32"/>
                <w:vertAlign w:val="baseline"/>
              </w:rPr>
            </w:pPr>
            <w:r>
              <w:rPr>
                <w:rFonts w:hint="eastAsia" w:ascii="Times New Roman" w:hAnsi="Times New Roman" w:eastAsia="方正仿宋_GBK"/>
                <w:b/>
                <w:bCs/>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1</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一机多网监测</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系统能够识别终端是否同时接入了专网和互联网，如果终端接入了互联网，则系统会自动进行阻断，从而保证终端仅能访问所属的专网，避免机密信息泄露或受到黑客攻击。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2</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安全监控</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系统会对终端的操作行为进行实时监控，对可疑行为进行警报提 示，对异常行为进行记录并进行分析，及时发现威胁并防范潜在的安全风险。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3</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软件管理</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针对终端设备上的软件进行管理，确保软件完整性以及正版授权，禁止未经允许的软件安装，从而避免因非法软件导致的安全风险。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4</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补丁推送</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系统可以收集、分析并推送最新的安全补丁，为终端设备提供安全防护支持，避免因漏洞被攻击导致的信息泄露。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5</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病毒查杀</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系统能够主动扫描终端设备上可能存在的病毒、木马以及其他恶意软件，并进行清除，避免恶意程序对设备造成损害。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6</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系统修复</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系统可以定期自动检查、修复终端设备上的系统问题，确保终端设备的系统稳定性、安全性。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highlight w:val="none"/>
                <w:u w:val="none"/>
                <w:lang w:val="en-US" w:eastAsia="zh-CN" w:bidi="ar"/>
              </w:rPr>
            </w:pPr>
            <w:r>
              <w:rPr>
                <w:rFonts w:hint="default" w:ascii="Times New Roman" w:hAnsi="Times New Roman" w:eastAsia="方正仿宋_GBK" w:cs="Times New Roman"/>
              </w:rPr>
              <w:t>7</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恶意软件阻拦</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系统可以拦截恶意软件、恶意链接等，有效避免由此导致的系统崩溃、数据泄露等安全问题。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highlight w:val="none"/>
                <w:u w:val="none"/>
                <w:lang w:val="en-US" w:eastAsia="zh-CN" w:bidi="ar"/>
              </w:rPr>
            </w:pPr>
            <w:r>
              <w:rPr>
                <w:rFonts w:hint="default" w:ascii="Times New Roman" w:hAnsi="Times New Roman" w:eastAsia="方正仿宋_GBK" w:cs="Times New Roman"/>
              </w:rPr>
              <w:t>8</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移动介质管理</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both"/>
              <w:textAlignment w:val="baseline"/>
              <w:outlineLvl w:val="9"/>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rPr>
              <w:t>系统能够限制移动介质(如U盘、移动硬盘)的使用，防止其中的病毒、木马或者其他恶意程序通过移动介质进入终端设备。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sz w:val="21"/>
                <w:szCs w:val="24"/>
                <w:highlight w:val="none"/>
                <w:vertAlign w:val="baseline"/>
              </w:rPr>
            </w:pPr>
            <w:r>
              <w:rPr>
                <w:rFonts w:hint="default" w:ascii="Times New Roman" w:hAnsi="Times New Roman" w:eastAsia="方正仿宋_GBK" w:cs="Times New Roman"/>
              </w:rPr>
              <w:t>9</w:t>
            </w:r>
          </w:p>
        </w:tc>
        <w:tc>
          <w:tcPr>
            <w:tcW w:w="1949"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center"/>
              <w:textAlignment w:val="baseline"/>
              <w:outlineLvl w:val="9"/>
              <w:rPr>
                <w:rFonts w:hint="default" w:ascii="Times New Roman" w:hAnsi="Times New Roman" w:eastAsia="方正仿宋_GBK" w:cs="Times New Roman"/>
              </w:rPr>
            </w:pPr>
          </w:p>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leftChars="0" w:right="0" w:rightChars="0"/>
              <w:jc w:val="center"/>
              <w:textAlignment w:val="baseline"/>
              <w:outlineLvl w:val="9"/>
              <w:rPr>
                <w:rFonts w:hint="default" w:ascii="Times New Roman" w:hAnsi="Times New Roman" w:eastAsia="方正仿宋_GBK" w:cs="Times New Roman"/>
                <w:sz w:val="21"/>
                <w:szCs w:val="24"/>
                <w:vertAlign w:val="baseline"/>
              </w:rPr>
            </w:pPr>
            <w:r>
              <w:rPr>
                <w:rFonts w:hint="default" w:ascii="Times New Roman" w:hAnsi="Times New Roman" w:eastAsia="方正仿宋_GBK" w:cs="Times New Roman"/>
              </w:rPr>
              <w:t>可视化展示</w:t>
            </w:r>
          </w:p>
        </w:tc>
        <w:tc>
          <w:tcPr>
            <w:tcW w:w="6464" w:type="dxa"/>
            <w:vAlign w:val="top"/>
          </w:tcPr>
          <w:p>
            <w:pPr>
              <w:pStyle w:val="16"/>
              <w:keepNext w:val="0"/>
              <w:keepLines w:val="0"/>
              <w:pageBreakBefore w:val="0"/>
              <w:widowControl w:val="0"/>
              <w:kinsoku w:val="0"/>
              <w:wordWrap/>
              <w:overflowPunct w:val="0"/>
              <w:topLinePunct w:val="0"/>
              <w:autoSpaceDE w:val="0"/>
              <w:autoSpaceDN w:val="0"/>
              <w:bidi w:val="0"/>
              <w:adjustRightInd w:val="0"/>
              <w:snapToGrid w:val="0"/>
              <w:spacing w:line="360" w:lineRule="exact"/>
              <w:ind w:left="0" w:right="0"/>
              <w:jc w:val="both"/>
              <w:textAlignment w:val="baseline"/>
              <w:outlineLvl w:val="9"/>
              <w:rPr>
                <w:rFonts w:hint="default" w:ascii="Times New Roman" w:hAnsi="Times New Roman" w:eastAsia="方正仿宋_GBK" w:cs="Times New Roman"/>
                <w:sz w:val="21"/>
                <w:szCs w:val="24"/>
                <w:vertAlign w:val="baseline"/>
              </w:rPr>
            </w:pPr>
            <w:r>
              <w:rPr>
                <w:rFonts w:hint="default" w:ascii="Times New Roman" w:hAnsi="Times New Roman" w:eastAsia="方正仿宋_GBK" w:cs="Times New Roman"/>
              </w:rPr>
              <w:t>通过可视化方式展示终端设备的安全状态、防护策略，更加方便管理员监控终端设备的安全情况，及时发现安全问题并进行解决。</w:t>
            </w:r>
          </w:p>
        </w:tc>
      </w:tr>
    </w:tbl>
    <w:p>
      <w:pPr>
        <w:rPr>
          <w:rFonts w:hint="eastAsia"/>
          <w:lang w:val="en-US" w:eastAsia="zh-CN"/>
        </w:rPr>
      </w:pPr>
    </w:p>
    <w:tbl>
      <w:tblPr>
        <w:tblStyle w:val="12"/>
        <w:tblpPr w:leftFromText="180" w:rightFromText="180" w:vertAnchor="text" w:horzAnchor="page" w:tblpX="1361" w:tblpY="1449"/>
        <w:tblW w:w="910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exact"/>
          <w:jc w:val="center"/>
        </w:trPr>
        <w:tc>
          <w:tcPr>
            <w:tcW w:w="9100"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28"/>
                <w:szCs w:val="28"/>
                <w:lang w:val="en-US" w:eastAsia="zh-CN"/>
              </w:rPr>
              <w:t>重庆市</w:t>
            </w:r>
            <w:r>
              <w:rPr>
                <w:rFonts w:hint="eastAsia" w:ascii="方正仿宋_GBK" w:hAnsi="方正仿宋_GBK" w:eastAsia="方正仿宋_GBK" w:cs="方正仿宋_GBK"/>
                <w:sz w:val="28"/>
                <w:szCs w:val="28"/>
              </w:rPr>
              <w:t>沙坪坝区医疗</w:t>
            </w:r>
            <w:r>
              <w:rPr>
                <w:rFonts w:hint="eastAsia" w:ascii="方正仿宋_GBK" w:hAnsi="方正仿宋_GBK" w:eastAsia="方正仿宋_GBK" w:cs="方正仿宋_GBK"/>
                <w:sz w:val="28"/>
                <w:szCs w:val="28"/>
                <w:lang w:eastAsia="zh-CN"/>
              </w:rPr>
              <w:t>保障局办公室</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val="en-US" w:eastAsia="zh-CN"/>
              </w:rPr>
              <w:t>2024</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w:t>
            </w:r>
            <w:r>
              <w:rPr>
                <w:rFonts w:hint="eastAsia" w:ascii="Times New Roman" w:hAnsi="Times New Roman" w:cs="Times New Roman"/>
                <w:sz w:val="28"/>
                <w:szCs w:val="28"/>
                <w:lang w:val="en-US" w:eastAsia="zh-CN"/>
              </w:rPr>
              <w:t>发</w:t>
            </w:r>
          </w:p>
        </w:tc>
      </w:tr>
    </w:tbl>
    <w:p>
      <w:pPr>
        <w:pStyle w:val="2"/>
        <w:rPr>
          <w:rFonts w:hint="eastAsia"/>
          <w:lang w:val="en-US" w:eastAsia="zh-CN"/>
        </w:rPr>
      </w:pPr>
      <w:bookmarkStart w:id="1" w:name="_GoBack"/>
      <w:bookmarkEnd w:id="1"/>
    </w:p>
    <w:sectPr>
      <w:footerReference r:id="rId3" w:type="default"/>
      <w:pgSz w:w="11907" w:h="16840"/>
      <w:pgMar w:top="1984" w:right="1446" w:bottom="1644" w:left="1446" w:header="851" w:footer="1474" w:gutter="0"/>
      <w:pgNumType w:fmt="decimal"/>
      <w:cols w:space="0" w:num="1"/>
      <w:rtlGutter w:val="0"/>
      <w:docGrid w:type="linesAndChars" w:linePitch="600" w:charSpace="5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sVPS5NMAAAAG&#10;AQAADwAAAGRycy9kb3ducmV2LnhtbE2PwU7DMBBE70j8g7VI3KjTgkIa4lSiIhyRaDhwdOMlCdjr&#10;yHbT8PcsJ7jNaFYzb6vd4qyYMcTRk4L1KgOB1HkzUq/grW1uChAxaTLaekIF3xhhV19eVLo0/kyv&#10;OB9SL7iEYqkVDClNpZSxG9DpuPITEmcfPjid2IZemqDPXO6s3GRZLp0eiRcGPeF+wO7rcHIK9k3b&#10;hhljsO/43Nx+vjze4dOi1PXVOnsAkXBJf8fwi8/oUDPT0Z/IRGEV8CNJwTYHweGmKNgfWWzvc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FT0uT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3"/>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WY1ZTM5ZGI3NWI4Zjk5NjliM2ZhYjI0NjQyOGUifQ=="/>
  </w:docVars>
  <w:rsids>
    <w:rsidRoot w:val="00E040C2"/>
    <w:rsid w:val="0001375E"/>
    <w:rsid w:val="000B4DAC"/>
    <w:rsid w:val="00117BAB"/>
    <w:rsid w:val="00125752"/>
    <w:rsid w:val="00204FE2"/>
    <w:rsid w:val="00262F82"/>
    <w:rsid w:val="00284433"/>
    <w:rsid w:val="003F7860"/>
    <w:rsid w:val="00410732"/>
    <w:rsid w:val="00430F19"/>
    <w:rsid w:val="0045533E"/>
    <w:rsid w:val="005449ED"/>
    <w:rsid w:val="005C10FD"/>
    <w:rsid w:val="005F5300"/>
    <w:rsid w:val="006864A6"/>
    <w:rsid w:val="006920CD"/>
    <w:rsid w:val="006A3B29"/>
    <w:rsid w:val="006A5C82"/>
    <w:rsid w:val="007103B0"/>
    <w:rsid w:val="00752857"/>
    <w:rsid w:val="0078559C"/>
    <w:rsid w:val="0082235A"/>
    <w:rsid w:val="008562AA"/>
    <w:rsid w:val="00893BB2"/>
    <w:rsid w:val="00931E44"/>
    <w:rsid w:val="0097752B"/>
    <w:rsid w:val="009F6151"/>
    <w:rsid w:val="00A37A75"/>
    <w:rsid w:val="00A41CAB"/>
    <w:rsid w:val="00A437EA"/>
    <w:rsid w:val="00B05115"/>
    <w:rsid w:val="00B132B2"/>
    <w:rsid w:val="00B464BC"/>
    <w:rsid w:val="00B96A6A"/>
    <w:rsid w:val="00C84B3F"/>
    <w:rsid w:val="00DF170F"/>
    <w:rsid w:val="00E040C2"/>
    <w:rsid w:val="00E43AB0"/>
    <w:rsid w:val="00E84F93"/>
    <w:rsid w:val="00F300AA"/>
    <w:rsid w:val="00F855C1"/>
    <w:rsid w:val="00FD09FF"/>
    <w:rsid w:val="0DB17560"/>
    <w:rsid w:val="0DCB39F7"/>
    <w:rsid w:val="100E7E68"/>
    <w:rsid w:val="131C4A49"/>
    <w:rsid w:val="16A07A1D"/>
    <w:rsid w:val="1DD142F0"/>
    <w:rsid w:val="1FB26ECF"/>
    <w:rsid w:val="25573C1C"/>
    <w:rsid w:val="299F108C"/>
    <w:rsid w:val="2DE4305C"/>
    <w:rsid w:val="2EF24479"/>
    <w:rsid w:val="2FAF4559"/>
    <w:rsid w:val="2FFD7DDB"/>
    <w:rsid w:val="33D32452"/>
    <w:rsid w:val="34A50474"/>
    <w:rsid w:val="34B24354"/>
    <w:rsid w:val="353F3518"/>
    <w:rsid w:val="37574125"/>
    <w:rsid w:val="3957149F"/>
    <w:rsid w:val="3DA4545D"/>
    <w:rsid w:val="417E3850"/>
    <w:rsid w:val="42802BFD"/>
    <w:rsid w:val="449329D2"/>
    <w:rsid w:val="4B4375D1"/>
    <w:rsid w:val="4BE861A3"/>
    <w:rsid w:val="4CDA57BE"/>
    <w:rsid w:val="51651153"/>
    <w:rsid w:val="540028CB"/>
    <w:rsid w:val="568B5F24"/>
    <w:rsid w:val="5B431FC5"/>
    <w:rsid w:val="5C0017C0"/>
    <w:rsid w:val="5D743737"/>
    <w:rsid w:val="5F4E6945"/>
    <w:rsid w:val="62FE3851"/>
    <w:rsid w:val="64C65FD1"/>
    <w:rsid w:val="657D0D59"/>
    <w:rsid w:val="65BB2E08"/>
    <w:rsid w:val="671506B9"/>
    <w:rsid w:val="67736E9D"/>
    <w:rsid w:val="69707D6A"/>
    <w:rsid w:val="6C132049"/>
    <w:rsid w:val="6C6D7F47"/>
    <w:rsid w:val="737E0665"/>
    <w:rsid w:val="747D3C2E"/>
    <w:rsid w:val="771B412F"/>
    <w:rsid w:val="77DB2B3B"/>
    <w:rsid w:val="7BB8748E"/>
    <w:rsid w:val="7EB117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oc 5"/>
    <w:basedOn w:val="1"/>
    <w:next w:val="1"/>
    <w:qFormat/>
    <w:uiPriority w:val="99"/>
    <w:pPr>
      <w:ind w:left="1680" w:leftChars="800"/>
    </w:pPr>
    <w:rPr>
      <w:rFonts w:ascii="Times New Roman" w:hAnsi="Times New Roman"/>
    </w:rPr>
  </w:style>
  <w:style w:type="paragraph" w:styleId="5">
    <w:name w:val="Normal Indent"/>
    <w:basedOn w:val="1"/>
    <w:qFormat/>
    <w:uiPriority w:val="0"/>
    <w:pPr>
      <w:spacing w:line="520" w:lineRule="atLeast"/>
      <w:ind w:firstLine="510"/>
    </w:pPr>
    <w:rPr>
      <w:sz w:val="28"/>
      <w:szCs w:val="24"/>
    </w:rPr>
  </w:style>
  <w:style w:type="paragraph" w:styleId="6">
    <w:name w:val="Body Text Indent"/>
    <w:basedOn w:val="1"/>
    <w:qFormat/>
    <w:uiPriority w:val="0"/>
    <w:pPr>
      <w:spacing w:after="120"/>
      <w:ind w:left="420" w:leftChars="200"/>
    </w:pPr>
    <w:rPr>
      <w:rFonts w:ascii="等线" w:hAnsi="等线" w:eastAsia="仿宋_GB2312"/>
      <w:kern w:val="0"/>
      <w:szCs w:val="20"/>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Chars="2500"/>
    </w:pPr>
    <w:rPr>
      <w:rFonts w:hint="eastAsia" w:ascii="仿宋_GB2312" w:eastAsia="仿宋_GB2312"/>
      <w:sz w:val="32"/>
      <w:szCs w:val="32"/>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01"/>
    <w:qFormat/>
    <w:uiPriority w:val="0"/>
    <w:rPr>
      <w:rFonts w:hint="eastAsia" w:ascii="宋体" w:hAnsi="宋体" w:eastAsia="宋体" w:cs="宋体"/>
      <w:color w:val="000000"/>
      <w:sz w:val="30"/>
      <w:szCs w:val="30"/>
      <w:u w:val="none"/>
    </w:r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table" w:customStyle="1" w:styleId="17">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Words>
  <Characters>52</Characters>
  <Lines>1</Lines>
  <Paragraphs>1</Paragraphs>
  <TotalTime>9</TotalTime>
  <ScaleCrop>false</ScaleCrop>
  <LinksUpToDate>false</LinksUpToDate>
  <CharactersWithSpaces>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2003-04-22T01:53:00Z</dcterms:created>
  <dc:creator>user</dc:creator>
  <cp:lastModifiedBy>Administrator</cp:lastModifiedBy>
  <cp:lastPrinted>2021-08-30T02:06:00Z</cp:lastPrinted>
  <dcterms:modified xsi:type="dcterms:W3CDTF">2024-05-30T06:11:28Z</dcterms:modified>
  <dc:title>关于调整区城镇职工医疗保险制度</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BE23E0B43F034C4E9536ACCDA4A2DF96_13</vt:lpwstr>
  </property>
</Properties>
</file>