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bookmarkStart w:id="1" w:name="_GoBack"/>
      <w:bookmarkEnd w:id="1"/>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eastAsia="方正小标宋_GBK"/>
          <w:b/>
          <w:color w:val="FF0000"/>
          <w:spacing w:val="-60"/>
          <w:w w:val="50"/>
          <w:sz w:val="130"/>
          <w:szCs w:val="130"/>
        </w:rPr>
      </w:pPr>
      <w:r>
        <w:rPr>
          <w:rFonts w:hint="eastAsia" w:ascii="方正小标宋_GBK" w:eastAsia="方正小标宋_GBK"/>
          <w:b/>
          <w:color w:val="FF0000"/>
          <w:spacing w:val="-60"/>
          <w:w w:val="50"/>
          <w:sz w:val="130"/>
          <w:szCs w:val="130"/>
        </w:rPr>
        <w:t>重庆市医疗保障局办公室文件</w:t>
      </w:r>
    </w:p>
    <w:p>
      <w:pPr>
        <w:spacing w:line="600" w:lineRule="exact"/>
        <w:jc w:val="center"/>
        <w:rPr>
          <w:rFonts w:eastAsia="方正小标宋_GBK"/>
        </w:rPr>
      </w:pPr>
    </w:p>
    <w:p>
      <w:pPr>
        <w:jc w:val="center"/>
        <w:rPr>
          <w:rFonts w:eastAsia="方正仿宋_GBK" w:cs="方正仿宋_GBK"/>
        </w:rPr>
      </w:pPr>
      <w:r>
        <w:rPr>
          <w:rFonts w:hint="eastAsia" w:eastAsia="方正仿宋_GBK" w:cs="方正仿宋_GBK"/>
        </w:rPr>
        <w:t>渝医保办〔2021〕</w:t>
      </w:r>
      <w:r>
        <w:rPr>
          <w:rFonts w:hint="eastAsia" w:eastAsia="方正仿宋_GBK"/>
        </w:rPr>
        <w:t>54</w:t>
      </w:r>
      <w:r>
        <w:rPr>
          <w:rFonts w:hint="eastAsia" w:eastAsia="方正仿宋_GBK" w:cs="方正仿宋_GBK"/>
        </w:rPr>
        <w:t>号</w:t>
      </w:r>
    </w:p>
    <w:p>
      <w:pPr>
        <w:spacing w:line="80" w:lineRule="exact"/>
        <w:jc w:val="center"/>
        <w:rPr>
          <w:rFonts w:eastAsia="方正仿宋简体"/>
          <w:sz w:val="34"/>
          <w:szCs w:val="34"/>
        </w:rPr>
      </w:pPr>
    </w:p>
    <w:tbl>
      <w:tblPr>
        <w:tblStyle w:val="12"/>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9164" w:type="dxa"/>
            <w:tcBorders>
              <w:top w:val="single" w:color="FF0000" w:sz="18" w:space="0"/>
            </w:tcBorders>
          </w:tcPr>
          <w:p>
            <w:pPr>
              <w:spacing w:line="560" w:lineRule="exact"/>
              <w:rPr>
                <w:rFonts w:eastAsia="方正小标宋_GBK"/>
              </w:rPr>
            </w:pPr>
          </w:p>
        </w:tc>
      </w:tr>
    </w:tbl>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重庆市医疗保障局办公室</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关于开展门诊慢特病跨省异地就医费用</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直接结算试点的通知</w:t>
      </w:r>
    </w:p>
    <w:p>
      <w:pPr>
        <w:spacing w:line="600" w:lineRule="exact"/>
        <w:jc w:val="center"/>
        <w:rPr>
          <w:rFonts w:ascii="方正仿宋_GBK" w:hAnsi="方正仿宋_GBK" w:eastAsia="方正仿宋_GBK" w:cs="方正仿宋_GBK"/>
        </w:rPr>
      </w:pPr>
    </w:p>
    <w:p>
      <w:pPr>
        <w:snapToGrid w:val="0"/>
        <w:spacing w:line="580" w:lineRule="exact"/>
        <w:rPr>
          <w:rFonts w:eastAsia="方正仿宋_GBK"/>
          <w:color w:val="000000"/>
        </w:rPr>
      </w:pPr>
      <w:r>
        <w:rPr>
          <w:rFonts w:hint="eastAsia" w:eastAsia="方正仿宋_GBK" w:cs="方正仿宋_GBK"/>
        </w:rPr>
        <w:t>各区县（自治县）</w:t>
      </w:r>
      <w:r>
        <w:rPr>
          <w:rFonts w:hint="eastAsia" w:eastAsia="方正仿宋_GBK"/>
          <w:color w:val="000000"/>
        </w:rPr>
        <w:t>医疗保障局，两江新区社会保障局、高新区政务服务和社会事务中心、万盛经开区人力社保局</w:t>
      </w:r>
      <w:r>
        <w:rPr>
          <w:rFonts w:hint="eastAsia" w:eastAsia="方正仿宋_GBK" w:cstheme="minorBidi"/>
          <w:color w:val="000000"/>
        </w:rPr>
        <w:t>：</w:t>
      </w:r>
    </w:p>
    <w:p>
      <w:pPr>
        <w:snapToGrid w:val="0"/>
        <w:spacing w:line="580" w:lineRule="exact"/>
        <w:ind w:firstLine="640" w:firstLineChars="200"/>
        <w:rPr>
          <w:rFonts w:eastAsia="方正仿宋_GBK"/>
          <w:color w:val="000000"/>
        </w:rPr>
      </w:pPr>
      <w:r>
        <w:rPr>
          <w:rFonts w:hint="eastAsia" w:eastAsia="方正仿宋_GBK" w:cstheme="minorBidi"/>
          <w:color w:val="000000"/>
        </w:rPr>
        <w:t>按照国家医保局办公室、财政部办公厅《关于开展门诊慢特病相关治疗费用跨省直接结算试点工作的通知》（医保办函﹝2021﹞4号），我市在试点高血压、糖尿病特病门诊直接结算的基础上，于2021年12月25日起开通高血压、糖尿病、恶性肿瘤门诊放化疗、尿毒症透析、器官移植术后抗排异治疗等5个门诊慢特病相关治疗费用跨省直接结算，现将有关事宜通知如下：</w:t>
      </w:r>
    </w:p>
    <w:p>
      <w:pPr>
        <w:numPr>
          <w:ilvl w:val="255"/>
          <w:numId w:val="0"/>
        </w:numPr>
        <w:snapToGrid w:val="0"/>
        <w:spacing w:line="580" w:lineRule="exact"/>
        <w:ind w:firstLine="640" w:firstLineChars="200"/>
        <w:rPr>
          <w:rFonts w:eastAsia="方正黑体_GBK" w:cs="宋体"/>
          <w:bCs/>
        </w:rPr>
      </w:pPr>
      <w:r>
        <w:rPr>
          <w:rFonts w:hint="eastAsia" w:eastAsia="方正黑体_GBK" w:cs="宋体"/>
          <w:bCs/>
        </w:rPr>
        <w:t>一、试点人群范围</w:t>
      </w:r>
    </w:p>
    <w:p>
      <w:pPr>
        <w:numPr>
          <w:ilvl w:val="255"/>
          <w:numId w:val="0"/>
        </w:numPr>
        <w:snapToGrid w:val="0"/>
        <w:spacing w:line="580" w:lineRule="exact"/>
        <w:ind w:firstLine="640"/>
        <w:rPr>
          <w:rFonts w:eastAsia="方正仿宋_GBK" w:cs="方正仿宋_GBK"/>
        </w:rPr>
      </w:pPr>
      <w:r>
        <w:rPr>
          <w:rFonts w:hint="eastAsia" w:eastAsia="方正仿宋_GBK" w:cs="方正仿宋_GBK"/>
        </w:rPr>
        <w:t>已在我市完成上述5个门诊慢特病待遇资格认定，并按规定办理了跨省异地就医备案手续的人员。</w:t>
      </w:r>
    </w:p>
    <w:p>
      <w:pPr>
        <w:widowControl/>
        <w:numPr>
          <w:ilvl w:val="255"/>
          <w:numId w:val="0"/>
        </w:numPr>
        <w:snapToGrid w:val="0"/>
        <w:spacing w:line="580" w:lineRule="exact"/>
        <w:ind w:firstLine="640"/>
        <w:rPr>
          <w:rFonts w:eastAsia="方正黑体_GBK" w:cs="方正黑体_GBK"/>
        </w:rPr>
      </w:pPr>
      <w:r>
        <w:rPr>
          <w:rFonts w:hint="eastAsia" w:hAnsi="方正黑体_GBK" w:eastAsia="方正黑体_GBK" w:cs="方正黑体_GBK"/>
        </w:rPr>
        <w:t>二、试点门诊慢特病病种名称和代码</w:t>
      </w:r>
    </w:p>
    <w:p>
      <w:pPr>
        <w:widowControl/>
        <w:numPr>
          <w:ilvl w:val="255"/>
          <w:numId w:val="0"/>
        </w:numPr>
        <w:snapToGrid w:val="0"/>
        <w:spacing w:line="580" w:lineRule="exact"/>
        <w:ind w:firstLine="640"/>
        <w:rPr>
          <w:rFonts w:eastAsia="方正仿宋_GBK" w:cs="方正仿宋_GBK"/>
        </w:rPr>
      </w:pPr>
      <w:r>
        <w:rPr>
          <w:rFonts w:hint="eastAsia" w:eastAsia="方正仿宋_GBK" w:cs="方正仿宋_GBK"/>
        </w:rPr>
        <w:t>为了保障此项工作的顺利开展，参照国家医疗保障信息业务编码标准中门诊慢特病病种代码及病种名称，现需对移植抗排异这一病种按照文件规定进行维护（肾移植抗排异治疗M08301、骨髓移植抗排异治疗M08302、心移植抗排异治疗M08303、肝移植抗排异治疗M08304、肺移植抗排异治疗M08305、肝肾移植抗排异治疗M08306）。</w:t>
      </w:r>
    </w:p>
    <w:p>
      <w:pPr>
        <w:numPr>
          <w:ilvl w:val="255"/>
          <w:numId w:val="0"/>
        </w:numPr>
        <w:snapToGrid w:val="0"/>
        <w:spacing w:line="580" w:lineRule="exact"/>
        <w:ind w:firstLine="640"/>
        <w:rPr>
          <w:rFonts w:eastAsia="方正仿宋_GBK" w:cs="方正仿宋_GBK"/>
        </w:rPr>
      </w:pPr>
      <w:r>
        <w:rPr>
          <w:rFonts w:hint="eastAsia" w:eastAsia="方正仿宋_GBK" w:cs="方正仿宋_GBK"/>
        </w:rPr>
        <w:t>区县经办机构需从2021年12月1日起按照新的病种编码对新增移植抗排异特病病人进行特病资格办理，并逐步完成对存量病人的病种维护；定点医疗机构需从2021年12月25日按照新的病种编码进行联网结算。</w:t>
      </w:r>
    </w:p>
    <w:p>
      <w:pPr>
        <w:numPr>
          <w:ilvl w:val="255"/>
          <w:numId w:val="0"/>
        </w:numPr>
        <w:snapToGrid w:val="0"/>
        <w:spacing w:line="580" w:lineRule="exact"/>
        <w:ind w:firstLine="640"/>
        <w:rPr>
          <w:rFonts w:eastAsia="方正黑体_GBK" w:cs="方正黑体_GBK"/>
        </w:rPr>
      </w:pPr>
      <w:r>
        <w:rPr>
          <w:rFonts w:hint="eastAsia" w:hAnsi="方正黑体_GBK" w:eastAsia="方正黑体_GBK" w:cs="方正黑体_GBK"/>
        </w:rPr>
        <w:t>三、我市试点医疗机构</w:t>
      </w:r>
    </w:p>
    <w:p>
      <w:pPr>
        <w:snapToGrid w:val="0"/>
        <w:spacing w:line="580" w:lineRule="exact"/>
        <w:ind w:firstLine="640"/>
        <w:rPr>
          <w:rFonts w:eastAsia="方正仿宋_GBK" w:cs="方正仿宋_GBK"/>
        </w:rPr>
      </w:pPr>
      <w:r>
        <w:rPr>
          <w:rFonts w:hint="eastAsia" w:eastAsia="方正仿宋_GBK" w:cs="方正仿宋_GBK"/>
        </w:rPr>
        <w:t>按照需求导向、合理分布原则，确定全市试点医疗机构95家，具体名单见附件。</w:t>
      </w:r>
    </w:p>
    <w:p>
      <w:pPr>
        <w:snapToGrid w:val="0"/>
        <w:spacing w:line="580" w:lineRule="exact"/>
        <w:ind w:firstLine="640"/>
        <w:rPr>
          <w:rFonts w:eastAsia="方正黑体_GBK" w:cs="方正黑体_GBK"/>
        </w:rPr>
      </w:pPr>
      <w:r>
        <w:rPr>
          <w:rFonts w:hint="eastAsia" w:hAnsi="方正黑体_GBK" w:eastAsia="方正黑体_GBK" w:cs="方正黑体_GBK"/>
        </w:rPr>
        <w:t>四、工作要求</w:t>
      </w:r>
    </w:p>
    <w:p>
      <w:pPr>
        <w:spacing w:line="576" w:lineRule="exact"/>
        <w:ind w:firstLine="640" w:firstLineChars="200"/>
        <w:rPr>
          <w:rFonts w:eastAsia="方正仿宋_GBK" w:cs="方正仿宋_GBK"/>
        </w:rPr>
      </w:pPr>
      <w:r>
        <w:rPr>
          <w:rFonts w:hint="eastAsia" w:eastAsia="方正楷体_GBK" w:cs="楷体"/>
        </w:rPr>
        <w:t>（一）做好医疗机构联网工作。</w:t>
      </w:r>
      <w:r>
        <w:rPr>
          <w:rFonts w:hint="eastAsia" w:eastAsia="方正仿宋_GBK" w:cs="方正仿宋_GBK"/>
        </w:rPr>
        <w:t>要高度重视门诊慢特病跨省直接结算工作，指导督促辖区内定点医疗机构进行接口改造及联网测试，确保各试点医疗机构能正常开展门诊慢特病跨省直接结算。</w:t>
      </w:r>
    </w:p>
    <w:p>
      <w:pPr>
        <w:spacing w:line="576" w:lineRule="exact"/>
        <w:ind w:firstLine="640" w:firstLineChars="200"/>
        <w:rPr>
          <w:rFonts w:eastAsia="方正仿宋_GBK" w:cs="方正仿宋_GBK"/>
        </w:rPr>
      </w:pPr>
      <w:r>
        <w:rPr>
          <w:rFonts w:hint="eastAsia" w:eastAsia="方正楷体_GBK" w:cs="楷体"/>
        </w:rPr>
        <w:t>（二）加强异地就医经办服务。</w:t>
      </w:r>
      <w:r>
        <w:rPr>
          <w:rFonts w:hint="eastAsia" w:eastAsia="方正仿宋_GBK" w:cs="方正仿宋_GBK"/>
        </w:rPr>
        <w:t>做好参保人异地就医备案工作，为参保人提供便捷化的异地就医登记备案，指导定点医疗机构为异地就医参保人提供高效的就医服务和医保报销结算。</w:t>
      </w:r>
    </w:p>
    <w:p>
      <w:pPr>
        <w:spacing w:line="576" w:lineRule="exact"/>
        <w:ind w:firstLine="640" w:firstLineChars="200"/>
        <w:rPr>
          <w:rFonts w:eastAsia="方正仿宋_GBK" w:cs="方正仿宋_GBK"/>
        </w:rPr>
      </w:pPr>
      <w:r>
        <w:rPr>
          <w:rFonts w:hint="eastAsia" w:eastAsia="方正楷体_GBK" w:cs="楷体"/>
        </w:rPr>
        <w:t>（三）落实监管责任。</w:t>
      </w:r>
      <w:r>
        <w:rPr>
          <w:rFonts w:hint="eastAsia" w:eastAsia="方正仿宋_GBK" w:cs="方正仿宋_GBK"/>
        </w:rPr>
        <w:t>将门诊慢特病跨省直接结算服务纳入医保定点医疗机构协议管理，切实落实就医地管理责任，创新监管手段，引导定点医疗机构规范诊疗行为，严厉打击医保欺诈骗保行为，防范基金风险。</w:t>
      </w:r>
    </w:p>
    <w:p>
      <w:pPr>
        <w:spacing w:line="576" w:lineRule="exact"/>
        <w:ind w:firstLine="640" w:firstLineChars="200"/>
        <w:rPr>
          <w:rFonts w:eastAsia="方正仿宋_GBK" w:cs="方正仿宋_GBK"/>
        </w:rPr>
      </w:pPr>
      <w:r>
        <w:rPr>
          <w:rFonts w:hint="eastAsia" w:eastAsia="方正楷体_GBK" w:cs="楷体"/>
        </w:rPr>
        <w:t>（四）加强试点运行监管。</w:t>
      </w:r>
      <w:r>
        <w:rPr>
          <w:rFonts w:hint="eastAsia" w:eastAsia="方正仿宋_GBK" w:cs="方正仿宋_GBK"/>
        </w:rPr>
        <w:t>及时收集运行中在的问题，做好协调处理，重大问题及时向市医保事务中心反馈。</w:t>
      </w:r>
    </w:p>
    <w:p>
      <w:pPr>
        <w:spacing w:line="576" w:lineRule="exact"/>
        <w:ind w:firstLine="640" w:firstLineChars="200"/>
        <w:rPr>
          <w:rFonts w:eastAsia="方正仿宋_GBK" w:cs="方正仿宋_GBK"/>
        </w:rPr>
      </w:pPr>
      <w:r>
        <w:rPr>
          <w:rFonts w:hint="eastAsia" w:eastAsia="方正楷体_GBK" w:cs="楷体"/>
        </w:rPr>
        <w:t>（五）做好宣传解释工作。</w:t>
      </w:r>
      <w:r>
        <w:rPr>
          <w:rFonts w:hint="eastAsia" w:eastAsia="方正仿宋_GBK" w:cs="方正仿宋_GBK"/>
        </w:rPr>
        <w:t>目前，门诊慢特病跨省直接结算试点仅在全国部分统筹区开展，请各区县经办机构和医疗机构结合门诊慢特病跨省直接结算试点工作推进情况，设置宣传栏、向参保人员发放宣传资料等线下方式开展宣传。</w:t>
      </w:r>
    </w:p>
    <w:p>
      <w:pPr>
        <w:spacing w:line="576" w:lineRule="exact"/>
        <w:ind w:firstLine="640" w:firstLineChars="200"/>
        <w:rPr>
          <w:rFonts w:eastAsia="方正仿宋_GBK" w:cs="方正仿宋_GBK"/>
        </w:rPr>
      </w:pPr>
    </w:p>
    <w:p>
      <w:pPr>
        <w:spacing w:line="576" w:lineRule="exact"/>
        <w:ind w:firstLine="640" w:firstLineChars="200"/>
        <w:rPr>
          <w:rFonts w:eastAsia="方正仿宋_GBK"/>
          <w:spacing w:val="-14"/>
        </w:rPr>
      </w:pPr>
      <w:r>
        <w:rPr>
          <w:rFonts w:hint="eastAsia" w:eastAsia="方正仿宋_GBK" w:cs="方正仿宋_GBK"/>
        </w:rPr>
        <w:t>附件：</w:t>
      </w:r>
      <w:r>
        <w:rPr>
          <w:rFonts w:hint="eastAsia" w:eastAsia="方正仿宋_GBK"/>
          <w:spacing w:val="-14"/>
        </w:rPr>
        <w:t>重庆门诊慢特病跨省异地就医直接结算试点医疗机构名单</w:t>
      </w:r>
    </w:p>
    <w:p>
      <w:pPr>
        <w:spacing w:line="576" w:lineRule="exact"/>
        <w:ind w:firstLine="200"/>
        <w:rPr>
          <w:rFonts w:hint="eastAsia" w:eastAsia="方正仿宋_GBK"/>
        </w:rPr>
      </w:pPr>
      <w:r>
        <w:rPr>
          <w:sz w:val="32"/>
        </w:rPr>
        <w:drawing>
          <wp:anchor distT="0" distB="0" distL="114300" distR="114300" simplePos="0" relativeHeight="251660288" behindDoc="1" locked="0" layoutInCell="1" allowOverlap="1">
            <wp:simplePos x="0" y="0"/>
            <wp:positionH relativeFrom="column">
              <wp:posOffset>2628900</wp:posOffset>
            </wp:positionH>
            <wp:positionV relativeFrom="paragraph">
              <wp:posOffset>299085</wp:posOffset>
            </wp:positionV>
            <wp:extent cx="2419350" cy="1714500"/>
            <wp:effectExtent l="0" t="0" r="0" b="0"/>
            <wp:wrapNone/>
            <wp:docPr id="1" name="图片 1"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rintAction"/>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419350" cy="1714500"/>
                    </a:xfrm>
                    <a:prstGeom prst="rect">
                      <a:avLst/>
                    </a:prstGeom>
                  </pic:spPr>
                </pic:pic>
              </a:graphicData>
            </a:graphic>
          </wp:anchor>
        </w:drawing>
      </w:r>
    </w:p>
    <w:p>
      <w:pPr>
        <w:spacing w:line="576" w:lineRule="exact"/>
        <w:ind w:firstLine="200"/>
        <w:rPr>
          <w:rFonts w:hint="eastAsia" w:eastAsia="方正仿宋_GBK"/>
        </w:rPr>
      </w:pPr>
    </w:p>
    <w:p>
      <w:pPr>
        <w:spacing w:line="576" w:lineRule="exact"/>
        <w:ind w:firstLine="200"/>
        <w:rPr>
          <w:rFonts w:eastAsia="方正仿宋_GBK"/>
        </w:rPr>
      </w:pPr>
      <w:r>
        <w:rPr>
          <w:rFonts w:hint="eastAsia" w:eastAsia="方正仿宋_GBK"/>
        </w:rPr>
        <w:t xml:space="preserve">                         重庆市医疗保障局办公室</w:t>
      </w:r>
    </w:p>
    <w:p>
      <w:pPr>
        <w:spacing w:line="576" w:lineRule="exact"/>
        <w:ind w:firstLine="200"/>
        <w:rPr>
          <w:rFonts w:eastAsia="方正仿宋_GBK"/>
        </w:rPr>
      </w:pPr>
      <w:r>
        <w:rPr>
          <w:rFonts w:hint="eastAsia" w:eastAsia="方正仿宋_GBK"/>
        </w:rPr>
        <w:t xml:space="preserve">                            2021年11月25日</w:t>
      </w:r>
    </w:p>
    <w:p>
      <w:pPr>
        <w:spacing w:line="580" w:lineRule="exact"/>
        <w:ind w:firstLine="640" w:firstLineChars="200"/>
        <w:rPr>
          <w:rFonts w:eastAsia="方正仿宋_GBK"/>
        </w:rPr>
      </w:pPr>
      <w:r>
        <w:rPr>
          <w:rFonts w:hint="eastAsia" w:eastAsia="方正仿宋_GBK"/>
        </w:rPr>
        <w:t>（此件公开发布）</w:t>
      </w:r>
    </w:p>
    <w:p>
      <w:pPr>
        <w:spacing w:line="600" w:lineRule="exact"/>
        <w:jc w:val="left"/>
        <w:rPr>
          <w:rFonts w:ascii="方正仿宋_GBK" w:eastAsia="方正仿宋_GBK"/>
        </w:rPr>
      </w:pPr>
    </w:p>
    <w:tbl>
      <w:tblPr>
        <w:tblStyle w:val="12"/>
        <w:tblW w:w="8478" w:type="dxa"/>
        <w:jc w:val="center"/>
        <w:tblLayout w:type="fixed"/>
        <w:tblCellMar>
          <w:top w:w="0" w:type="dxa"/>
          <w:left w:w="0" w:type="dxa"/>
          <w:bottom w:w="0" w:type="dxa"/>
          <w:right w:w="0" w:type="dxa"/>
        </w:tblCellMar>
      </w:tblPr>
      <w:tblGrid>
        <w:gridCol w:w="620"/>
        <w:gridCol w:w="1018"/>
        <w:gridCol w:w="1848"/>
        <w:gridCol w:w="3702"/>
        <w:gridCol w:w="1290"/>
      </w:tblGrid>
      <w:tr>
        <w:tblPrEx>
          <w:tblCellMar>
            <w:top w:w="0" w:type="dxa"/>
            <w:left w:w="0" w:type="dxa"/>
            <w:bottom w:w="0" w:type="dxa"/>
            <w:right w:w="0" w:type="dxa"/>
          </w:tblCellMar>
        </w:tblPrEx>
        <w:trPr>
          <w:trHeight w:val="944" w:hRule="atLeast"/>
          <w:jc w:val="center"/>
        </w:trPr>
        <w:tc>
          <w:tcPr>
            <w:tcW w:w="8478"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line="600" w:lineRule="exact"/>
              <w:jc w:val="left"/>
              <w:rPr>
                <w:rFonts w:eastAsia="方正黑体_GBK" w:cs="方正黑体_GBK"/>
                <w:color w:val="000000"/>
                <w:kern w:val="0"/>
              </w:rPr>
            </w:pPr>
            <w:r>
              <w:rPr>
                <w:rFonts w:hint="eastAsia" w:hAnsi="方正黑体_GBK" w:eastAsia="方正黑体_GBK" w:cs="方正黑体_GBK"/>
                <w:color w:val="000000"/>
                <w:kern w:val="0"/>
              </w:rPr>
              <w:t>附件</w:t>
            </w:r>
          </w:p>
          <w:p>
            <w:pPr>
              <w:widowControl/>
              <w:spacing w:line="600" w:lineRule="exact"/>
              <w:jc w:val="center"/>
              <w:rPr>
                <w:rFonts w:eastAsia="方正小标宋_GBK" w:cs="方正小标宋_GBK"/>
                <w:color w:val="000000"/>
              </w:rPr>
            </w:pPr>
            <w:r>
              <w:rPr>
                <w:rFonts w:hint="eastAsia" w:hAnsi="方正小标宋_GBK" w:eastAsia="方正小标宋_GBK" w:cs="方正小标宋_GBK"/>
                <w:color w:val="000000"/>
                <w:kern w:val="0"/>
              </w:rPr>
              <w:t>重庆门诊慢特病跨省异地就医直接结算试点医疗机构名单</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序号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区县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机构编码</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医疗机构名称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黑体_GBK" w:cs="方正仿宋_GBK"/>
                <w:color w:val="000000"/>
                <w:sz w:val="26"/>
                <w:szCs w:val="26"/>
              </w:rPr>
            </w:pPr>
            <w:r>
              <w:rPr>
                <w:rFonts w:hint="eastAsia" w:hAnsi="方正仿宋_GBK" w:eastAsia="方正黑体_GBK" w:cs="方正仿宋_GBK"/>
                <w:color w:val="000000"/>
                <w:kern w:val="0"/>
                <w:sz w:val="26"/>
                <w:szCs w:val="26"/>
              </w:rPr>
              <w:t>医院等级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w:t>
            </w:r>
          </w:p>
        </w:tc>
        <w:tc>
          <w:tcPr>
            <w:tcW w:w="101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市本级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陆军军医大学第一附属医院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陆军军医大学第二附属医院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陆军特色医学中心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重庆医科大学附属第一医院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重庆医科大学附属第二医院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重庆医科大学附属第一医院金山医院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重庆医科大学附属大学城医院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重庆医科大学附属永川医院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5000001000082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重庆医科大学附属第三医院（捷尔医院）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10</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重庆大学附属肿瘤医院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11</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eastAsia="方正仿宋_GBK" w:cs="方正仿宋_GBK"/>
                <w:color w:val="000000"/>
                <w:kern w:val="0"/>
                <w:sz w:val="24"/>
                <w:szCs w:val="24"/>
              </w:rPr>
              <w:t>12</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eastAsia="方正仿宋_GBK" w:cs="方正仿宋_GBK"/>
                <w:color w:val="000000"/>
                <w:kern w:val="0"/>
                <w:sz w:val="24"/>
                <w:szCs w:val="24"/>
              </w:rPr>
              <w:t>5000001000019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kern w:val="0"/>
                <w:szCs w:val="21"/>
              </w:rPr>
            </w:pPr>
            <w:r>
              <w:rPr>
                <w:rFonts w:hint="eastAsia" w:hAnsi="方正仿宋_GBK" w:eastAsia="方正仿宋_GBK" w:cs="方正仿宋_GBK"/>
                <w:color w:val="000000"/>
                <w:kern w:val="0"/>
                <w:sz w:val="21"/>
                <w:szCs w:val="21"/>
              </w:rPr>
              <w:t>重庆医科大学附属儿童医院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eastAsia="方正仿宋_GBK" w:cs="方正仿宋_GBK"/>
                <w:color w:val="000000"/>
                <w:kern w:val="0"/>
                <w:sz w:val="24"/>
                <w:szCs w:val="24"/>
              </w:rPr>
              <w:t>13</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eastAsia="方正仿宋_GBK" w:cs="方正仿宋_GBK"/>
                <w:color w:val="000000"/>
                <w:kern w:val="0"/>
                <w:sz w:val="24"/>
                <w:szCs w:val="24"/>
              </w:rPr>
              <w:t>5000001000011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kern w:val="0"/>
                <w:szCs w:val="21"/>
              </w:rPr>
            </w:pPr>
            <w:r>
              <w:rPr>
                <w:rFonts w:hint="eastAsia" w:hAnsi="方正仿宋_GBK" w:eastAsia="方正仿宋_GBK" w:cs="方正仿宋_GBK"/>
                <w:color w:val="000000"/>
                <w:kern w:val="0"/>
                <w:sz w:val="21"/>
                <w:szCs w:val="21"/>
              </w:rPr>
              <w:t>重庆医科大学附属第一医院第一分院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kern w:val="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14</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重庆市中医院（道门口院部）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15</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万州区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重庆大学附属三峡医院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16</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5000001007333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重庆市万州区第一人民医院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17</w:t>
            </w:r>
          </w:p>
        </w:tc>
        <w:tc>
          <w:tcPr>
            <w:tcW w:w="10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黔江区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重庆市黔江区中医院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涪陵区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5000001000085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重庆市涪陵中心医院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19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重庆市涪陵区中医院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渝中区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5000001000020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重庆市第四人民医院</w:t>
            </w:r>
            <w:r>
              <w:rPr>
                <w:rFonts w:hint="eastAsia" w:eastAsia="方正仿宋_GBK" w:cs="方正仿宋_GBK"/>
                <w:color w:val="000000"/>
                <w:kern w:val="0"/>
                <w:sz w:val="21"/>
                <w:szCs w:val="21"/>
              </w:rPr>
              <w:t>（</w:t>
            </w:r>
            <w:r>
              <w:rPr>
                <w:rFonts w:hint="eastAsia" w:hAnsi="方正仿宋_GBK" w:eastAsia="方正仿宋_GBK" w:cs="方正仿宋_GBK"/>
                <w:color w:val="000000"/>
                <w:kern w:val="0"/>
                <w:sz w:val="21"/>
                <w:szCs w:val="21"/>
              </w:rPr>
              <w:t>急救中心</w:t>
            </w:r>
            <w:r>
              <w:rPr>
                <w:rFonts w:hint="eastAsia" w:eastAsia="方正仿宋_GBK" w:cs="方正仿宋_GBK"/>
                <w:color w:val="000000"/>
                <w:kern w:val="0"/>
                <w:sz w:val="21"/>
                <w:szCs w:val="21"/>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重庆市人民医院（三院院区）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大渡口区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5000001000029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重庆市大渡口区人民医院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重钢总医院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江北区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5000001000027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重庆市红十字会医院（江北区人民医院）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5000001000028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重庆市江北区中医院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沙坪坝区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重庆市沙坪坝区人民医院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419"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5000001006061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重庆市沙坪坝区陈家桥医院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九龙坡区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重庆市九龙坡区人民医院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29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5000001007972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重庆建设医院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南岸区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重庆市第五人民医院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5000001006050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重庆市南岸区中西医结合医院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北碚区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重庆市第九人民医院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5000001008910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西南大学医院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渝北区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重庆市渝北区人民医院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渝北区中医院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巴南区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巴南区人民医院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5000001000128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重庆市第七人民医院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长寿区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重庆市长寿区人民医院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39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重庆市长寿区中医院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40</w:t>
            </w:r>
          </w:p>
        </w:tc>
        <w:tc>
          <w:tcPr>
            <w:tcW w:w="101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江津区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重庆市江津区中心医院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41</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重庆市江津区中医院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42</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重庆市江津区第二人民医院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43</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合川区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重庆市合川区人民医院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44</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重庆市合川区中医院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45</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永川区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永川区中医院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46</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永川区人民医院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47</w:t>
            </w:r>
          </w:p>
        </w:tc>
        <w:tc>
          <w:tcPr>
            <w:tcW w:w="101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南川区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重庆市南川区人民医院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48</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重庆市南川区中医医院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49</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綦江区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5000001000017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重庆市綦江区人民医院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5000001000131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重庆市綦江区中医院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51</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大足区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重庆市大足区人民医院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52</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5000001006348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重庆市双桥经济技术开发区人民医院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5000001000124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重庆市大足区中医院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璧山区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璧山区人民医院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重庆市璧山区中医院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铜梁区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重庆市铜梁区人民医院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5000001000122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重庆市铜梁区中医院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潼南区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重庆市潼南区人民医院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重庆市潼南区中医院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荣昌区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重庆市荣昌区人民医院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重庆市荣昌区中医院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开州区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5000001000075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重庆市开州区人民医院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5000001000120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重庆市开州区中医院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梁平区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5000001000050</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重庆市梁平区人民医院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重庆市梁平区中医医院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武隆区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5000001000006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重庆市武隆区人民医院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重庆市武隆区中医院本部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城口县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5000001000041</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城口县人民医院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69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城口县中医院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丰都县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丰都县人民医院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丰都县中医院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垫江县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重庆市垫江县人民医院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重庆市垫江县中医院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忠县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5000001000058</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忠县人民医院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5000001000103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忠县中医医院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云阳县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云阳县人民医院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云阳县中医院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奉节县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奉节县人民医院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79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奉节县中医院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巫山县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巫山县中医院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巫山县人民医院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巫溪县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巫溪县人民医院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5000001009489</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巫溪县中医医院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石柱县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石柱土家族自治县人民医院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石柱土家族自治县中医院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秀山县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秀山土家族苗族自治县人民医院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5000001000115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秀山土家族苗族自治县中医医院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酉阳县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5000001000067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酉阳土家族苗族自治县人民医院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89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5000001000132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酉阳土家族苗族自治县中医院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彭水县</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5000001000054</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彭水苗族土家族自治县人民医院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5000001000097</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彭水苗族土家族自治县中医院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两江新区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5000001000036</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重庆两江新区第一人民医院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5000001006003</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重庆两江新区第二人民医院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eastAsia="方正仿宋_GBK" w:cs="方正仿宋_GBK"/>
                <w:color w:val="000000"/>
                <w:kern w:val="0"/>
                <w:sz w:val="24"/>
                <w:szCs w:val="24"/>
              </w:rPr>
            </w:pPr>
            <w:r>
              <w:rPr>
                <w:rFonts w:hint="eastAsia" w:hAnsi="方正仿宋_GBK" w:eastAsia="方正仿宋_GBK" w:cs="方正仿宋_GBK"/>
                <w:color w:val="000000"/>
                <w:kern w:val="0"/>
                <w:sz w:val="24"/>
                <w:szCs w:val="24"/>
              </w:rPr>
              <w:t>万盛经</w:t>
            </w:r>
          </w:p>
          <w:p>
            <w:pPr>
              <w:widowControl/>
              <w:spacing w:line="400" w:lineRule="exact"/>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开区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5000001000092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重庆南桐矿业有限责任公司总医院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95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00" w:lineRule="exact"/>
              <w:jc w:val="center"/>
              <w:rPr>
                <w:rFonts w:eastAsia="方正仿宋_GBK" w:cs="方正仿宋_GBK"/>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eastAsia="方正仿宋_GBK" w:cs="方正仿宋_GBK"/>
                <w:color w:val="000000"/>
                <w:kern w:val="0"/>
                <w:sz w:val="24"/>
                <w:szCs w:val="24"/>
              </w:rPr>
              <w:t>5000001000045</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方正仿宋_GBK" w:cs="方正仿宋_GBK"/>
                <w:color w:val="000000"/>
                <w:szCs w:val="21"/>
              </w:rPr>
            </w:pPr>
            <w:r>
              <w:rPr>
                <w:rFonts w:hint="eastAsia" w:hAnsi="方正仿宋_GBK" w:eastAsia="方正仿宋_GBK" w:cs="方正仿宋_GBK"/>
                <w:color w:val="000000"/>
                <w:kern w:val="0"/>
                <w:sz w:val="21"/>
                <w:szCs w:val="21"/>
              </w:rPr>
              <w:t>重庆市万盛经济技术开发区人民医院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方正仿宋_GBK" w:cs="方正仿宋_GBK"/>
                <w:color w:val="000000"/>
                <w:sz w:val="24"/>
                <w:szCs w:val="24"/>
              </w:rPr>
            </w:pPr>
            <w:r>
              <w:rPr>
                <w:rFonts w:hint="eastAsia" w:hAnsi="方正仿宋_GBK" w:eastAsia="方正仿宋_GBK" w:cs="方正仿宋_GBK"/>
                <w:color w:val="000000"/>
                <w:kern w:val="0"/>
                <w:sz w:val="24"/>
                <w:szCs w:val="24"/>
              </w:rPr>
              <w:t>二级</w:t>
            </w:r>
          </w:p>
        </w:tc>
      </w:tr>
    </w:tbl>
    <w:p>
      <w:pPr>
        <w:spacing w:line="600" w:lineRule="exact"/>
      </w:pPr>
    </w:p>
    <w:p>
      <w:pPr>
        <w:spacing w:line="600" w:lineRule="exact"/>
      </w:pPr>
    </w:p>
    <w:p>
      <w:pPr>
        <w:snapToGrid w:val="0"/>
        <w:spacing w:line="540" w:lineRule="exact"/>
        <w:rPr>
          <w:rFonts w:eastAsia="方正小标宋_GBK" w:cs="方正小标宋_GBK"/>
          <w:sz w:val="44"/>
          <w:szCs w:val="44"/>
        </w:rPr>
      </w:pPr>
    </w:p>
    <w:p/>
    <w:p/>
    <w:p/>
    <w:p/>
    <w:p/>
    <w:p/>
    <w:p/>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p>
      <w:pPr>
        <w:pStyle w:val="3"/>
        <w:snapToGrid w:val="0"/>
        <w:spacing w:line="144" w:lineRule="auto"/>
        <w:rPr>
          <w:rFonts w:hint="eastAsia" w:eastAsia="方正仿宋_GBK" w:cs="方正仿宋_GBK"/>
          <w:sz w:val="32"/>
          <w:lang w:eastAsia="zh-CN"/>
        </w:rPr>
      </w:pPr>
    </w:p>
    <w:tbl>
      <w:tblPr>
        <w:tblStyle w:val="12"/>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0" w:name="印发时间"/>
            <w:r>
              <w:rPr>
                <w:rFonts w:hint="eastAsia" w:eastAsia="方正仿宋_GBK"/>
                <w:sz w:val="28"/>
                <w:szCs w:val="28"/>
              </w:rPr>
              <w:t>　  　   2021年11月30日</w:t>
            </w:r>
            <w:bookmarkEnd w:id="0"/>
            <w:r>
              <w:rPr>
                <w:rFonts w:hint="eastAsia" w:eastAsia="方正仿宋_GBK"/>
                <w:sz w:val="28"/>
                <w:szCs w:val="28"/>
              </w:rPr>
              <w:t>印发</w:t>
            </w:r>
          </w:p>
        </w:tc>
      </w:tr>
    </w:tbl>
    <w:p>
      <w:pPr>
        <w:snapToGrid w:val="0"/>
        <w:spacing w:line="15" w:lineRule="auto"/>
      </w:pPr>
    </w:p>
    <w:sectPr>
      <w:headerReference r:id="rId3" w:type="default"/>
      <w:footerReference r:id="rId4" w:type="default"/>
      <w:pgSz w:w="11906" w:h="16838"/>
      <w:pgMar w:top="2098" w:right="1474" w:bottom="1985" w:left="1588" w:header="851" w:footer="992"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DcgRqFEgIAABMEAAAOAAAAAAAAAAEA&#10;IAAAACABAABkcnMvZTJvRG9jLnhtbFBLBQYAAAAABgAGAFkBAACkBQ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2"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0YEdAAAAADAQAADwAAAAAAAAABACAAAAAi&#10;AAAAZHJzL2Rvd25yZXYueG1sUEsBAhQAFAAAAAgAh07iQO7pJxcSAgAAEwQAAA4AAAAAAAAAAQAg&#10;AAAAHwEAAGRycy9lMm9Eb2MueG1sUEsFBgAAAAAGAAYAWQEAAKM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59"/>
    <w:rsid w:val="000021CC"/>
    <w:rsid w:val="00003C03"/>
    <w:rsid w:val="00013AA2"/>
    <w:rsid w:val="000151A0"/>
    <w:rsid w:val="00033299"/>
    <w:rsid w:val="0003438E"/>
    <w:rsid w:val="00046B11"/>
    <w:rsid w:val="0005582E"/>
    <w:rsid w:val="0006362E"/>
    <w:rsid w:val="00082E4C"/>
    <w:rsid w:val="00084A46"/>
    <w:rsid w:val="00094947"/>
    <w:rsid w:val="000A1BAB"/>
    <w:rsid w:val="000A4018"/>
    <w:rsid w:val="000B5339"/>
    <w:rsid w:val="000C4E01"/>
    <w:rsid w:val="000C736E"/>
    <w:rsid w:val="000D381A"/>
    <w:rsid w:val="000E4E46"/>
    <w:rsid w:val="000E5052"/>
    <w:rsid w:val="0010069C"/>
    <w:rsid w:val="0011032B"/>
    <w:rsid w:val="00134C2F"/>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4452E"/>
    <w:rsid w:val="00363154"/>
    <w:rsid w:val="00364D19"/>
    <w:rsid w:val="00366A21"/>
    <w:rsid w:val="00386D73"/>
    <w:rsid w:val="003A5E95"/>
    <w:rsid w:val="003C5061"/>
    <w:rsid w:val="003E22B9"/>
    <w:rsid w:val="003F2763"/>
    <w:rsid w:val="00401B75"/>
    <w:rsid w:val="00402AA6"/>
    <w:rsid w:val="00424448"/>
    <w:rsid w:val="00426C7B"/>
    <w:rsid w:val="00426CC8"/>
    <w:rsid w:val="004276DE"/>
    <w:rsid w:val="00432468"/>
    <w:rsid w:val="00435036"/>
    <w:rsid w:val="0044196B"/>
    <w:rsid w:val="004543F1"/>
    <w:rsid w:val="00473C53"/>
    <w:rsid w:val="00473D40"/>
    <w:rsid w:val="00480A50"/>
    <w:rsid w:val="00491253"/>
    <w:rsid w:val="004946C4"/>
    <w:rsid w:val="004A175D"/>
    <w:rsid w:val="004D199C"/>
    <w:rsid w:val="004D418D"/>
    <w:rsid w:val="004D5FAC"/>
    <w:rsid w:val="004E092E"/>
    <w:rsid w:val="004E4E81"/>
    <w:rsid w:val="004E703F"/>
    <w:rsid w:val="00510D0D"/>
    <w:rsid w:val="00513FF4"/>
    <w:rsid w:val="00535293"/>
    <w:rsid w:val="00556781"/>
    <w:rsid w:val="0056025F"/>
    <w:rsid w:val="0058597A"/>
    <w:rsid w:val="0059785C"/>
    <w:rsid w:val="005A03F7"/>
    <w:rsid w:val="005A61B2"/>
    <w:rsid w:val="005B7E1D"/>
    <w:rsid w:val="005C4DE5"/>
    <w:rsid w:val="005C68BE"/>
    <w:rsid w:val="005D48EF"/>
    <w:rsid w:val="005E77AD"/>
    <w:rsid w:val="005F6952"/>
    <w:rsid w:val="00606FBB"/>
    <w:rsid w:val="006120FB"/>
    <w:rsid w:val="00612DFD"/>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D7443"/>
    <w:rsid w:val="006E206D"/>
    <w:rsid w:val="006E41E3"/>
    <w:rsid w:val="007225A1"/>
    <w:rsid w:val="00731C2F"/>
    <w:rsid w:val="0073488C"/>
    <w:rsid w:val="0074234B"/>
    <w:rsid w:val="00750AF8"/>
    <w:rsid w:val="00752371"/>
    <w:rsid w:val="0075491C"/>
    <w:rsid w:val="0076050D"/>
    <w:rsid w:val="007705D9"/>
    <w:rsid w:val="007735D8"/>
    <w:rsid w:val="007811A8"/>
    <w:rsid w:val="007C4CE2"/>
    <w:rsid w:val="007D2059"/>
    <w:rsid w:val="007E36B2"/>
    <w:rsid w:val="007E71AE"/>
    <w:rsid w:val="008040DC"/>
    <w:rsid w:val="0082135B"/>
    <w:rsid w:val="0082359D"/>
    <w:rsid w:val="008315C9"/>
    <w:rsid w:val="00833943"/>
    <w:rsid w:val="008539C7"/>
    <w:rsid w:val="00871D6E"/>
    <w:rsid w:val="008810C9"/>
    <w:rsid w:val="008854F8"/>
    <w:rsid w:val="00891D18"/>
    <w:rsid w:val="00892839"/>
    <w:rsid w:val="00896438"/>
    <w:rsid w:val="008A47EE"/>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B11A6"/>
    <w:rsid w:val="009C291A"/>
    <w:rsid w:val="009E6E96"/>
    <w:rsid w:val="009F60A5"/>
    <w:rsid w:val="00A00BB0"/>
    <w:rsid w:val="00A017D8"/>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4412"/>
    <w:rsid w:val="00D157BB"/>
    <w:rsid w:val="00D447A8"/>
    <w:rsid w:val="00D51E7A"/>
    <w:rsid w:val="00D70947"/>
    <w:rsid w:val="00D92F03"/>
    <w:rsid w:val="00D946BF"/>
    <w:rsid w:val="00DB171F"/>
    <w:rsid w:val="00DB7DDD"/>
    <w:rsid w:val="00DC2A01"/>
    <w:rsid w:val="00DD088B"/>
    <w:rsid w:val="00DD55C3"/>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C5F4E"/>
    <w:rsid w:val="00ED7EC6"/>
    <w:rsid w:val="00ED7FD4"/>
    <w:rsid w:val="00EE0DB2"/>
    <w:rsid w:val="00EF6178"/>
    <w:rsid w:val="00F05682"/>
    <w:rsid w:val="00F0587C"/>
    <w:rsid w:val="00F108B1"/>
    <w:rsid w:val="00F131B4"/>
    <w:rsid w:val="00F152FF"/>
    <w:rsid w:val="00F37803"/>
    <w:rsid w:val="00F4296D"/>
    <w:rsid w:val="00F55D89"/>
    <w:rsid w:val="00F56B3C"/>
    <w:rsid w:val="00F7420F"/>
    <w:rsid w:val="00F801BA"/>
    <w:rsid w:val="00F828AC"/>
    <w:rsid w:val="00FA7F10"/>
    <w:rsid w:val="00FB6E8B"/>
    <w:rsid w:val="00FC3F77"/>
    <w:rsid w:val="00FD4C98"/>
    <w:rsid w:val="00FD6D6A"/>
    <w:rsid w:val="00FE0140"/>
    <w:rsid w:val="012120EA"/>
    <w:rsid w:val="01AB0EEA"/>
    <w:rsid w:val="021155E1"/>
    <w:rsid w:val="02381CF9"/>
    <w:rsid w:val="02441991"/>
    <w:rsid w:val="025517B2"/>
    <w:rsid w:val="025E71FE"/>
    <w:rsid w:val="03E94935"/>
    <w:rsid w:val="05950F8D"/>
    <w:rsid w:val="070048D5"/>
    <w:rsid w:val="075A21DD"/>
    <w:rsid w:val="07EC6E0C"/>
    <w:rsid w:val="0914781F"/>
    <w:rsid w:val="0918084D"/>
    <w:rsid w:val="09885F51"/>
    <w:rsid w:val="09B43962"/>
    <w:rsid w:val="0BB13BB7"/>
    <w:rsid w:val="0C54147B"/>
    <w:rsid w:val="0CCB7D8E"/>
    <w:rsid w:val="0CF11755"/>
    <w:rsid w:val="0D8B1353"/>
    <w:rsid w:val="1079076C"/>
    <w:rsid w:val="11531582"/>
    <w:rsid w:val="11E8226D"/>
    <w:rsid w:val="123A777F"/>
    <w:rsid w:val="132574D5"/>
    <w:rsid w:val="1357521D"/>
    <w:rsid w:val="14337333"/>
    <w:rsid w:val="144A63DE"/>
    <w:rsid w:val="16C246E7"/>
    <w:rsid w:val="17C024B6"/>
    <w:rsid w:val="1968378C"/>
    <w:rsid w:val="1A5A741F"/>
    <w:rsid w:val="1AC44166"/>
    <w:rsid w:val="1ADC51BC"/>
    <w:rsid w:val="1B2F2EA0"/>
    <w:rsid w:val="1B633972"/>
    <w:rsid w:val="1DBD3183"/>
    <w:rsid w:val="1DC13E8E"/>
    <w:rsid w:val="1DF4732F"/>
    <w:rsid w:val="1E2F6BFE"/>
    <w:rsid w:val="1EB406AA"/>
    <w:rsid w:val="20224B82"/>
    <w:rsid w:val="208507EF"/>
    <w:rsid w:val="2095338A"/>
    <w:rsid w:val="2105730F"/>
    <w:rsid w:val="221727AE"/>
    <w:rsid w:val="236013BA"/>
    <w:rsid w:val="23FD601C"/>
    <w:rsid w:val="24002D3E"/>
    <w:rsid w:val="24D07B88"/>
    <w:rsid w:val="264D363D"/>
    <w:rsid w:val="26FD574A"/>
    <w:rsid w:val="28F44D1D"/>
    <w:rsid w:val="29B31962"/>
    <w:rsid w:val="2B853FFF"/>
    <w:rsid w:val="2B854C48"/>
    <w:rsid w:val="2C7A0633"/>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9885C97"/>
    <w:rsid w:val="3A2C643A"/>
    <w:rsid w:val="3B2D0AC8"/>
    <w:rsid w:val="3CD16A8F"/>
    <w:rsid w:val="3DED3659"/>
    <w:rsid w:val="3E2D13C0"/>
    <w:rsid w:val="3ED05151"/>
    <w:rsid w:val="40450D0B"/>
    <w:rsid w:val="4118065B"/>
    <w:rsid w:val="41BD7918"/>
    <w:rsid w:val="41C457D9"/>
    <w:rsid w:val="424E1501"/>
    <w:rsid w:val="42F651DF"/>
    <w:rsid w:val="435F45BF"/>
    <w:rsid w:val="439B0296"/>
    <w:rsid w:val="442F1979"/>
    <w:rsid w:val="44A57506"/>
    <w:rsid w:val="45706BA0"/>
    <w:rsid w:val="462209E8"/>
    <w:rsid w:val="466A111A"/>
    <w:rsid w:val="4706389A"/>
    <w:rsid w:val="486024E4"/>
    <w:rsid w:val="49CE4388"/>
    <w:rsid w:val="4A8973CF"/>
    <w:rsid w:val="4AE96240"/>
    <w:rsid w:val="4AFC7E5B"/>
    <w:rsid w:val="4B4F0D65"/>
    <w:rsid w:val="4B6E264C"/>
    <w:rsid w:val="4BD434FE"/>
    <w:rsid w:val="4C4706A2"/>
    <w:rsid w:val="4C843B13"/>
    <w:rsid w:val="4D26576E"/>
    <w:rsid w:val="4FB44B8E"/>
    <w:rsid w:val="50100E41"/>
    <w:rsid w:val="514D6AF1"/>
    <w:rsid w:val="51BF1041"/>
    <w:rsid w:val="51D448DF"/>
    <w:rsid w:val="52CA27DA"/>
    <w:rsid w:val="52FC793E"/>
    <w:rsid w:val="534E478B"/>
    <w:rsid w:val="53EF20D7"/>
    <w:rsid w:val="545A5A48"/>
    <w:rsid w:val="56F4369F"/>
    <w:rsid w:val="575B66FE"/>
    <w:rsid w:val="57855D92"/>
    <w:rsid w:val="579B5BB6"/>
    <w:rsid w:val="5AA50FB7"/>
    <w:rsid w:val="5B463F7E"/>
    <w:rsid w:val="5C3418D5"/>
    <w:rsid w:val="5DF91836"/>
    <w:rsid w:val="5F10323B"/>
    <w:rsid w:val="61A637F2"/>
    <w:rsid w:val="61D811B2"/>
    <w:rsid w:val="62D83631"/>
    <w:rsid w:val="62F07BBD"/>
    <w:rsid w:val="63C94BAA"/>
    <w:rsid w:val="64280AB6"/>
    <w:rsid w:val="64461E53"/>
    <w:rsid w:val="646255DF"/>
    <w:rsid w:val="64DC200C"/>
    <w:rsid w:val="659D1143"/>
    <w:rsid w:val="65B41EFD"/>
    <w:rsid w:val="65F85279"/>
    <w:rsid w:val="662B4C75"/>
    <w:rsid w:val="6685660E"/>
    <w:rsid w:val="67887E6E"/>
    <w:rsid w:val="67EB3557"/>
    <w:rsid w:val="6813133D"/>
    <w:rsid w:val="68C717DE"/>
    <w:rsid w:val="697A06DC"/>
    <w:rsid w:val="6A956AC6"/>
    <w:rsid w:val="6CB5381A"/>
    <w:rsid w:val="6D2140D5"/>
    <w:rsid w:val="6DDD337E"/>
    <w:rsid w:val="6FC65ADB"/>
    <w:rsid w:val="6FD138EF"/>
    <w:rsid w:val="71315E0C"/>
    <w:rsid w:val="7139185E"/>
    <w:rsid w:val="727F6D42"/>
    <w:rsid w:val="72B90ED5"/>
    <w:rsid w:val="72E86363"/>
    <w:rsid w:val="73B6418E"/>
    <w:rsid w:val="73B715EA"/>
    <w:rsid w:val="73FD347F"/>
    <w:rsid w:val="74013D68"/>
    <w:rsid w:val="741E0C47"/>
    <w:rsid w:val="754176A5"/>
    <w:rsid w:val="75C44DCE"/>
    <w:rsid w:val="7806177E"/>
    <w:rsid w:val="780D4995"/>
    <w:rsid w:val="78B16511"/>
    <w:rsid w:val="78DE2C63"/>
    <w:rsid w:val="79596BC4"/>
    <w:rsid w:val="79FA3B7B"/>
    <w:rsid w:val="7AA358B2"/>
    <w:rsid w:val="7AB53E5F"/>
    <w:rsid w:val="7BF950F8"/>
    <w:rsid w:val="7D351262"/>
    <w:rsid w:val="7E30247C"/>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rPr>
  </w:style>
  <w:style w:type="paragraph" w:styleId="4">
    <w:name w:val="Date"/>
    <w:basedOn w:val="1"/>
    <w:next w:val="1"/>
    <w:link w:val="17"/>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日期 Char"/>
    <w:link w:val="4"/>
    <w:qFormat/>
    <w:uiPriority w:val="0"/>
    <w:rPr>
      <w:rFonts w:eastAsia="仿宋_GB2312"/>
      <w:kern w:val="2"/>
      <w:sz w:val="32"/>
      <w:szCs w:val="32"/>
    </w:rPr>
  </w:style>
  <w:style w:type="character" w:customStyle="1" w:styleId="18">
    <w:name w:val="font11"/>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2603</Words>
  <Characters>2038</Characters>
  <Lines>16</Lines>
  <Paragraphs>9</Paragraphs>
  <TotalTime>0</TotalTime>
  <ScaleCrop>false</ScaleCrop>
  <LinksUpToDate>false</LinksUpToDate>
  <CharactersWithSpaces>4632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2020-08-03T03:17:00Z</dcterms:created>
  <dc:creator>霍丹</dc:creator>
  <cp:lastModifiedBy>二二相吸</cp:lastModifiedBy>
  <cp:lastPrinted>2019-06-25T03:46:00Z</cp:lastPrinted>
  <dcterms:modified xsi:type="dcterms:W3CDTF">2021-12-01T03:02:17Z</dcterms:modified>
  <dc:title>重庆市人力资源和社会保障局文件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A84A19C53C834EABA1BC0A3B8FC2CA5B</vt:lpwstr>
  </property>
</Properties>
</file>