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1200" w:lineRule="exact"/>
        <w:ind w:firstLine="0" w:firstLineChars="0"/>
        <w:jc w:val="distribute"/>
        <w:textAlignment w:val="auto"/>
        <w:outlineLvl w:val="9"/>
        <w:rPr>
          <w:rFonts w:hint="eastAsia" w:ascii="方正小标宋_GBK" w:eastAsia="方正小标宋_GBK"/>
          <w:snapToGrid w:val="0"/>
          <w:color w:val="FF0000"/>
          <w:spacing w:val="0"/>
          <w:w w:val="50"/>
          <w:kern w:val="0"/>
          <w:sz w:val="120"/>
          <w:szCs w:val="120"/>
        </w:rPr>
      </w:pPr>
      <w:r>
        <mc:AlternateContent>
          <mc:Choice Requires="wps">
            <w:drawing>
              <wp:anchor distT="0" distB="0" distL="114300" distR="114300" simplePos="0" relativeHeight="251660288" behindDoc="0" locked="0" layoutInCell="1" allowOverlap="1">
                <wp:simplePos x="0" y="0"/>
                <wp:positionH relativeFrom="column">
                  <wp:posOffset>4433570</wp:posOffset>
                </wp:positionH>
                <wp:positionV relativeFrom="paragraph">
                  <wp:posOffset>585470</wp:posOffset>
                </wp:positionV>
                <wp:extent cx="1333500" cy="959485"/>
                <wp:effectExtent l="5080" t="4445" r="13970" b="7620"/>
                <wp:wrapNone/>
                <wp:docPr id="1" name="文本框 1"/>
                <wp:cNvGraphicFramePr/>
                <a:graphic xmlns:a="http://schemas.openxmlformats.org/drawingml/2006/main">
                  <a:graphicData uri="http://schemas.microsoft.com/office/word/2010/wordprocessingShape">
                    <wps:wsp>
                      <wps:cNvSpPr txBox="true"/>
                      <wps:spPr>
                        <a:xfrm>
                          <a:off x="0" y="0"/>
                          <a:ext cx="1333500" cy="9594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小标宋_GBK" w:eastAsia="方正小标宋_GBK"/>
                                <w:color w:val="FF0000"/>
                                <w:sz w:val="84"/>
                                <w:szCs w:val="84"/>
                              </w:rPr>
                            </w:pPr>
                            <w:r>
                              <w:rPr>
                                <w:rFonts w:hint="eastAsia" w:ascii="方正小标宋_GBK" w:eastAsia="方正小标宋_GBK"/>
                                <w:color w:val="FF0000"/>
                                <w:sz w:val="84"/>
                                <w:szCs w:val="84"/>
                              </w:rPr>
                              <w:t>文件</w:t>
                            </w:r>
                          </w:p>
                        </w:txbxContent>
                      </wps:txbx>
                      <wps:bodyPr upright="true"/>
                    </wps:wsp>
                  </a:graphicData>
                </a:graphic>
              </wp:anchor>
            </w:drawing>
          </mc:Choice>
          <mc:Fallback>
            <w:pict>
              <v:shape id="_x0000_s1026" o:spid="_x0000_s1026" o:spt="202" type="#_x0000_t202" style="position:absolute;left:0pt;margin-left:349.1pt;margin-top:46.1pt;height:75.55pt;width:105pt;z-index:251660288;mso-width-relative:page;mso-height-relative:page;" fillcolor="#FFFFFF" filled="t" stroked="t" coordsize="21600,21600" o:gfxdata="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p7wXjXAAAACgEAAA8AAAAAAAAAAQAgAAAAOAAAAGRycy9k&#10;b3ducmV2LnhtbFBLAQIUABQAAAAIAIdO4kBzaWEB7QEAAO4DAAAOAAAAAAAAAAEAIAAAADwBAABk&#10;cnMvZTJvRG9jLnhtbFBLBQYAAAAABgAGAFkBAACbBQAAAAA=&#10;">
                <v:fill on="t" focussize="0,0"/>
                <v:stroke color="#FFFFFF" joinstyle="miter"/>
                <v:imagedata o:title=""/>
                <o:lock v:ext="edit" aspectratio="f"/>
                <v:textbox>
                  <w:txbxContent>
                    <w:p>
                      <w:pPr>
                        <w:rPr>
                          <w:rFonts w:hint="eastAsia" w:ascii="方正小标宋_GBK" w:eastAsia="方正小标宋_GBK"/>
                          <w:color w:val="FF0000"/>
                          <w:sz w:val="84"/>
                          <w:szCs w:val="84"/>
                        </w:rPr>
                      </w:pPr>
                      <w:r>
                        <w:rPr>
                          <w:rFonts w:hint="eastAsia" w:ascii="方正小标宋_GBK" w:eastAsia="方正小标宋_GBK"/>
                          <w:color w:val="FF0000"/>
                          <w:sz w:val="84"/>
                          <w:szCs w:val="84"/>
                        </w:rPr>
                        <w:t>文件</w:t>
                      </w:r>
                    </w:p>
                  </w:txbxContent>
                </v:textbox>
              </v:shape>
            </w:pict>
          </mc:Fallback>
        </mc:AlternateContent>
      </w:r>
      <w:r>
        <w:rPr>
          <w:rFonts w:hint="eastAsia" w:ascii="方正小标宋_GBK" w:eastAsia="方正小标宋_GBK"/>
          <w:snapToGrid w:val="0"/>
          <w:color w:val="FF0000"/>
          <w:spacing w:val="1"/>
          <w:w w:val="39"/>
          <w:kern w:val="0"/>
          <w:sz w:val="120"/>
          <w:szCs w:val="120"/>
          <w:fitText w:val="7128" w:id="449992182"/>
        </w:rPr>
        <w:t>重庆市</w:t>
      </w:r>
      <w:r>
        <w:rPr>
          <w:rFonts w:hint="eastAsia" w:ascii="方正小标宋_GBK" w:eastAsia="方正小标宋_GBK"/>
          <w:snapToGrid w:val="0"/>
          <w:color w:val="FF0000"/>
          <w:spacing w:val="1"/>
          <w:w w:val="39"/>
          <w:kern w:val="0"/>
          <w:sz w:val="120"/>
          <w:szCs w:val="120"/>
          <w:fitText w:val="7128" w:id="449992182"/>
          <w:lang w:val="en-US" w:eastAsia="zh-CN"/>
        </w:rPr>
        <w:t>沙坪坝区</w:t>
      </w:r>
      <w:r>
        <w:rPr>
          <w:rFonts w:hint="eastAsia" w:ascii="方正小标宋_GBK" w:eastAsia="方正小标宋_GBK"/>
          <w:snapToGrid w:val="0"/>
          <w:color w:val="FF0000"/>
          <w:spacing w:val="1"/>
          <w:w w:val="39"/>
          <w:kern w:val="0"/>
          <w:sz w:val="120"/>
          <w:szCs w:val="120"/>
          <w:fitText w:val="7128" w:id="449992182"/>
        </w:rPr>
        <w:t>规划和自然资源</w:t>
      </w:r>
      <w:r>
        <w:rPr>
          <w:rFonts w:hint="eastAsia" w:ascii="方正小标宋_GBK" w:eastAsia="方正小标宋_GBK"/>
          <w:snapToGrid w:val="0"/>
          <w:color w:val="FF0000"/>
          <w:spacing w:val="70"/>
          <w:w w:val="39"/>
          <w:kern w:val="0"/>
          <w:sz w:val="120"/>
          <w:szCs w:val="120"/>
          <w:fitText w:val="7128" w:id="449992182"/>
        </w:rPr>
        <w:t>局</w:t>
      </w:r>
    </w:p>
    <w:p>
      <w:pPr>
        <w:keepNext w:val="0"/>
        <w:keepLines w:val="0"/>
        <w:pageBreakBefore w:val="0"/>
        <w:widowControl w:val="0"/>
        <w:shd w:val="clear"/>
        <w:kinsoku/>
        <w:wordWrap/>
        <w:overflowPunct/>
        <w:topLinePunct w:val="0"/>
        <w:autoSpaceDE/>
        <w:autoSpaceDN/>
        <w:bidi w:val="0"/>
        <w:adjustRightInd/>
        <w:snapToGrid/>
        <w:spacing w:line="1200" w:lineRule="exact"/>
        <w:ind w:firstLine="0" w:firstLineChars="0"/>
        <w:jc w:val="distribute"/>
        <w:textAlignment w:val="auto"/>
        <w:outlineLvl w:val="9"/>
        <w:rPr>
          <w:rFonts w:hint="eastAsia" w:ascii="方正小标宋_GBK" w:hAnsi="Times New Roman" w:eastAsia="方正小标宋_GBK" w:cs="Times New Roman"/>
          <w:snapToGrid w:val="0"/>
          <w:color w:val="FF0000"/>
          <w:spacing w:val="0"/>
          <w:w w:val="50"/>
          <w:kern w:val="0"/>
          <w:sz w:val="120"/>
          <w:szCs w:val="120"/>
          <w:lang w:eastAsia="zh-CN"/>
        </w:rPr>
      </w:pPr>
      <w:r>
        <w:rPr>
          <w:rFonts w:hint="eastAsia" w:ascii="方正小标宋_GBK" w:hAnsi="Times New Roman" w:eastAsia="方正小标宋_GBK" w:cs="Times New Roman"/>
          <w:snapToGrid w:val="0"/>
          <w:color w:val="FF0000"/>
          <w:spacing w:val="1"/>
          <w:w w:val="59"/>
          <w:kern w:val="0"/>
          <w:sz w:val="120"/>
          <w:szCs w:val="120"/>
          <w:fitText w:val="7140" w:id="1868983461"/>
        </w:rPr>
        <w:t>重庆市</w:t>
      </w:r>
      <w:r>
        <w:rPr>
          <w:rFonts w:hint="eastAsia" w:ascii="方正小标宋_GBK" w:hAnsi="Times New Roman" w:eastAsia="方正小标宋_GBK" w:cs="Times New Roman"/>
          <w:snapToGrid w:val="0"/>
          <w:color w:val="FF0000"/>
          <w:spacing w:val="1"/>
          <w:w w:val="59"/>
          <w:kern w:val="0"/>
          <w:sz w:val="120"/>
          <w:szCs w:val="120"/>
          <w:fitText w:val="7140" w:id="1868983461"/>
          <w:lang w:val="en-US" w:eastAsia="zh-CN"/>
        </w:rPr>
        <w:t>沙坪坝区</w:t>
      </w:r>
      <w:r>
        <w:rPr>
          <w:rFonts w:hint="eastAsia" w:ascii="方正小标宋_GBK" w:hAnsi="Times New Roman" w:eastAsia="方正小标宋_GBK" w:cs="Times New Roman"/>
          <w:snapToGrid w:val="0"/>
          <w:color w:val="FF0000"/>
          <w:spacing w:val="1"/>
          <w:w w:val="59"/>
          <w:kern w:val="0"/>
          <w:sz w:val="120"/>
          <w:szCs w:val="120"/>
          <w:fitText w:val="7140" w:id="1868983461"/>
          <w:lang w:eastAsia="zh-CN"/>
        </w:rPr>
        <w:t>财政</w:t>
      </w:r>
      <w:r>
        <w:rPr>
          <w:rFonts w:hint="eastAsia" w:ascii="方正小标宋_GBK" w:hAnsi="Times New Roman" w:eastAsia="方正小标宋_GBK" w:cs="Times New Roman"/>
          <w:snapToGrid w:val="0"/>
          <w:color w:val="FF0000"/>
          <w:spacing w:val="45"/>
          <w:w w:val="59"/>
          <w:kern w:val="0"/>
          <w:sz w:val="120"/>
          <w:szCs w:val="120"/>
          <w:fitText w:val="7140" w:id="1868983461"/>
          <w:lang w:eastAsia="zh-CN"/>
        </w:rPr>
        <w:t>局</w:t>
      </w:r>
    </w:p>
    <w:p>
      <w:pPr>
        <w:keepNext w:val="0"/>
        <w:keepLines w:val="0"/>
        <w:pageBreakBefore w:val="0"/>
        <w:widowControl w:val="0"/>
        <w:shd w:val="clear"/>
        <w:kinsoku/>
        <w:wordWrap/>
        <w:overflowPunct/>
        <w:topLinePunct w:val="0"/>
        <w:autoSpaceDE/>
        <w:autoSpaceDN/>
        <w:bidi w:val="0"/>
        <w:adjustRightInd/>
        <w:snapToGrid/>
        <w:spacing w:line="1200" w:lineRule="exact"/>
        <w:ind w:firstLine="0" w:firstLineChars="0"/>
        <w:jc w:val="distribute"/>
        <w:textAlignment w:val="auto"/>
        <w:outlineLvl w:val="9"/>
        <w:rPr>
          <w:rFonts w:hint="eastAsia" w:ascii="方正小标宋_GBK" w:hAnsi="Times New Roman" w:eastAsia="方正小标宋_GBK" w:cs="Times New Roman"/>
          <w:snapToGrid w:val="0"/>
          <w:color w:val="FF0000"/>
          <w:spacing w:val="0"/>
          <w:w w:val="50"/>
          <w:kern w:val="0"/>
          <w:sz w:val="120"/>
          <w:szCs w:val="120"/>
          <w:lang w:eastAsia="zh-CN"/>
        </w:rPr>
      </w:pPr>
      <w:r>
        <w:rPr>
          <w:rFonts w:hint="eastAsia" w:ascii="方正小标宋_GBK" w:hAnsi="Times New Roman" w:eastAsia="方正小标宋_GBK"/>
          <w:snapToGrid w:val="0"/>
          <w:color w:val="FF0000"/>
          <w:spacing w:val="1"/>
          <w:w w:val="49"/>
          <w:kern w:val="0"/>
          <w:sz w:val="120"/>
          <w:szCs w:val="120"/>
          <w:fitText w:val="7080" w:id="768225830"/>
        </w:rPr>
        <w:t>重庆市</w:t>
      </w:r>
      <w:r>
        <w:rPr>
          <w:rFonts w:hint="eastAsia" w:ascii="方正小标宋_GBK" w:hAnsi="Times New Roman" w:eastAsia="方正小标宋_GBK"/>
          <w:snapToGrid w:val="0"/>
          <w:color w:val="FF0000"/>
          <w:spacing w:val="1"/>
          <w:w w:val="49"/>
          <w:kern w:val="0"/>
          <w:sz w:val="120"/>
          <w:szCs w:val="120"/>
          <w:fitText w:val="7080" w:id="768225830"/>
          <w:lang w:val="en-US" w:eastAsia="zh-CN"/>
        </w:rPr>
        <w:t>沙坪坝区</w:t>
      </w:r>
      <w:r>
        <w:rPr>
          <w:rFonts w:hint="eastAsia" w:ascii="方正小标宋_GBK" w:hAnsi="Times New Roman" w:eastAsia="方正小标宋_GBK" w:cs="Times New Roman"/>
          <w:snapToGrid w:val="0"/>
          <w:color w:val="FF0000"/>
          <w:spacing w:val="1"/>
          <w:w w:val="49"/>
          <w:kern w:val="0"/>
          <w:sz w:val="120"/>
          <w:szCs w:val="120"/>
          <w:fitText w:val="7080" w:id="768225830"/>
          <w:lang w:eastAsia="zh-CN"/>
        </w:rPr>
        <w:t>应急管理</w:t>
      </w:r>
      <w:r>
        <w:rPr>
          <w:rFonts w:hint="eastAsia" w:ascii="方正小标宋_GBK" w:hAnsi="Times New Roman" w:eastAsia="方正小标宋_GBK" w:cs="Times New Roman"/>
          <w:snapToGrid w:val="0"/>
          <w:color w:val="FF0000"/>
          <w:spacing w:val="42"/>
          <w:w w:val="49"/>
          <w:kern w:val="0"/>
          <w:sz w:val="120"/>
          <w:szCs w:val="120"/>
          <w:fitText w:val="7080" w:id="768225830"/>
          <w:lang w:eastAsia="zh-CN"/>
        </w:rPr>
        <w:t>局</w:t>
      </w:r>
    </w:p>
    <w:p>
      <w:pPr>
        <w:shd w:val="clear"/>
        <w:snapToGrid w:val="0"/>
        <w:spacing w:line="240" w:lineRule="exact"/>
        <w:ind w:firstLine="641"/>
        <w:jc w:val="right"/>
        <w:rPr>
          <w:rFonts w:eastAsia="方正仿宋_GBK"/>
          <w:snapToGrid w:val="0"/>
          <w:kern w:val="0"/>
        </w:rPr>
      </w:pPr>
      <w:r>
        <w:rPr>
          <w:rFonts w:hint="eastAsia" w:ascii="Times New Roman" w:hAnsi="Times New Roman" w:eastAsia="方正仿宋_GBK" w:cs="Times New Roman"/>
          <w:snapToGrid w:val="0"/>
          <w:color w:val="FF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18415</wp:posOffset>
                </wp:positionV>
                <wp:extent cx="5819140" cy="3175"/>
                <wp:effectExtent l="0" t="28575" r="10160" b="44450"/>
                <wp:wrapNone/>
                <wp:docPr id="2" name="直接连接符 2"/>
                <wp:cNvGraphicFramePr/>
                <a:graphic xmlns:a="http://schemas.openxmlformats.org/drawingml/2006/main">
                  <a:graphicData uri="http://schemas.microsoft.com/office/word/2010/wordprocessingShape">
                    <wps:wsp>
                      <wps:cNvCnPr/>
                      <wps:spPr>
                        <a:xfrm flipV="true">
                          <a:off x="0" y="0"/>
                          <a:ext cx="5819140" cy="3175"/>
                        </a:xfrm>
                        <a:prstGeom prst="line">
                          <a:avLst/>
                        </a:prstGeom>
                        <a:ln w="57150" cap="flat" cmpd="thickThin">
                          <a:solidFill>
                            <a:srgbClr val="FF0000"/>
                          </a:solidFill>
                          <a:prstDash val="solid"/>
                          <a:round/>
                          <a:headEnd type="none" w="med" len="med"/>
                          <a:tailEnd type="none" w="med" len="med"/>
                        </a:ln>
                        <a:effectLst/>
                      </wps:spPr>
                      <wps:bodyPr upright="true"/>
                    </wps:wsp>
                  </a:graphicData>
                </a:graphic>
              </wp:anchor>
            </w:drawing>
          </mc:Choice>
          <mc:Fallback>
            <w:pict>
              <v:line id="_x0000_s1026" o:spid="_x0000_s1026" o:spt="20" style="position:absolute;left:0pt;flip:y;margin-left:-11.65pt;margin-top:1.45pt;height:0.25pt;width:458.2pt;z-index:251659264;mso-width-relative:page;mso-height-relative:page;" filled="f" stroked="t" coordsize="21600,21600" o:gfxdata="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oeWmT1gAAAAcBAAAPAAAAAAAAAAEAIAAAADgA&#10;AABkcnMvZG93bnJldi54bWxQSwECFAAUAAAACACHTuJA50CNo/UBAADIAwAADgAAAAAAAAABACAA&#10;AAA7AQAAZHJzL2Uyb0RvYy54bWxQSwUGAAAAAAYABgBZAQAAogUAAAAA&#10;">
                <v:fill on="f" focussize="0,0"/>
                <v:stroke weight="4.5pt" color="#FF0000" linestyle="thickThin" joinstyle="round"/>
                <v:imagedata o:title=""/>
                <o:lock v:ext="edit" aspectratio="f"/>
              </v:line>
            </w:pict>
          </mc:Fallback>
        </mc:AlternateContent>
      </w:r>
    </w:p>
    <w:p>
      <w:pPr>
        <w:keepNext w:val="0"/>
        <w:keepLines w:val="0"/>
        <w:pageBreakBefore w:val="0"/>
        <w:shd w:val="clear"/>
        <w:kinsoku/>
        <w:wordWrap w:val="0"/>
        <w:overflowPunct/>
        <w:topLinePunct w:val="0"/>
        <w:autoSpaceDE/>
        <w:autoSpaceDN/>
        <w:bidi w:val="0"/>
        <w:adjustRightInd/>
        <w:spacing w:line="580" w:lineRule="exact"/>
        <w:jc w:val="right"/>
        <w:textAlignment w:val="auto"/>
        <w:rPr>
          <w:rFonts w:ascii="方正仿宋_GBK" w:hAnsi="方正小标宋简体" w:eastAsia="方正仿宋_GBK"/>
          <w:sz w:val="32"/>
          <w:szCs w:val="32"/>
        </w:rPr>
      </w:pPr>
      <w:r>
        <w:rPr>
          <w:rFonts w:hint="eastAsia" w:ascii="方正仿宋_GBK" w:hAnsi="方正小标宋简体" w:eastAsia="方正仿宋_GBK"/>
          <w:sz w:val="32"/>
          <w:szCs w:val="32"/>
        </w:rPr>
        <w:t>沙规资</w:t>
      </w:r>
      <w:r>
        <w:rPr>
          <w:rFonts w:eastAsia="方正仿宋_GBK"/>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eastAsia="方正仿宋_GBK"/>
          <w:sz w:val="32"/>
          <w:szCs w:val="32"/>
        </w:rPr>
        <w:t>〕</w:t>
      </w:r>
      <w:r>
        <w:rPr>
          <w:rFonts w:hint="default" w:ascii="Times New Roman" w:hAnsi="Times New Roman" w:eastAsia="方正仿宋_GBK" w:cs="Times New Roman"/>
          <w:sz w:val="32"/>
          <w:szCs w:val="32"/>
          <w:lang w:val="en-US" w:eastAsia="zh-CN"/>
        </w:rPr>
        <w:t>47</w:t>
      </w:r>
      <w:r>
        <w:rPr>
          <w:rFonts w:hint="eastAsia" w:ascii="方正仿宋_GBK" w:hAnsi="方正小标宋简体" w:eastAsia="方正仿宋_GBK"/>
          <w:sz w:val="32"/>
          <w:szCs w:val="32"/>
        </w:rPr>
        <w:t xml:space="preserve">号 </w:t>
      </w:r>
      <w:r>
        <w:rPr>
          <w:rFonts w:ascii="方正仿宋_GBK" w:hAnsi="方正小标宋简体" w:eastAsia="方正仿宋_GBK"/>
          <w:sz w:val="32"/>
          <w:szCs w:val="32"/>
        </w:rPr>
        <w:t xml:space="preserve"> </w:t>
      </w:r>
    </w:p>
    <w:p>
      <w:pPr>
        <w:keepNext w:val="0"/>
        <w:keepLines w:val="0"/>
        <w:pageBreakBefore w:val="0"/>
        <w:shd w:val="clear"/>
        <w:kinsoku/>
        <w:overflowPunct/>
        <w:topLinePunct w:val="0"/>
        <w:autoSpaceDE/>
        <w:autoSpaceDN/>
        <w:bidi w:val="0"/>
        <w:adjustRightInd/>
        <w:spacing w:line="580" w:lineRule="exact"/>
        <w:jc w:val="center"/>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p>
    <w:p>
      <w:pPr>
        <w:keepNext w:val="0"/>
        <w:keepLines w:val="0"/>
        <w:pageBreakBefore w:val="0"/>
        <w:shd w:val="clear"/>
        <w:kinsoku/>
        <w:overflowPunct/>
        <w:topLinePunct w:val="0"/>
        <w:autoSpaceDE/>
        <w:autoSpaceDN/>
        <w:bidi w:val="0"/>
        <w:adjustRightInd/>
        <w:spacing w:line="580" w:lineRule="exact"/>
        <w:jc w:val="center"/>
        <w:textAlignment w:val="auto"/>
        <w:rPr>
          <w:rFonts w:ascii="Times New Roman" w:hAnsi="Times New Roman" w:eastAsia="方正仿宋_GBK"/>
          <w:color w:val="000000"/>
          <w:sz w:val="32"/>
          <w:szCs w:val="32"/>
        </w:rPr>
      </w:pPr>
    </w:p>
    <w:p>
      <w:pPr>
        <w:keepNext w:val="0"/>
        <w:keepLines w:val="0"/>
        <w:pageBreakBefore w:val="0"/>
        <w:shd w:val="clear"/>
        <w:kinsoku/>
        <w:overflowPunct/>
        <w:topLinePunct w:val="0"/>
        <w:autoSpaceDE/>
        <w:autoSpaceDN/>
        <w:bidi w:val="0"/>
        <w:adjustRightInd/>
        <w:spacing w:line="58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重庆市沙坪坝区规划和自然资源局</w:t>
      </w:r>
    </w:p>
    <w:p>
      <w:pPr>
        <w:keepNext w:val="0"/>
        <w:keepLines w:val="0"/>
        <w:pageBreakBefore w:val="0"/>
        <w:shd w:val="clear"/>
        <w:kinsoku/>
        <w:overflowPunct/>
        <w:topLinePunct w:val="0"/>
        <w:autoSpaceDE/>
        <w:autoSpaceDN/>
        <w:bidi w:val="0"/>
        <w:adjustRightInd/>
        <w:spacing w:line="580" w:lineRule="exact"/>
        <w:jc w:val="center"/>
        <w:textAlignment w:val="auto"/>
        <w:rPr>
          <w:rFonts w:hint="eastAsia" w:ascii="方正小标宋_GBK" w:hAnsi="Times New Roman" w:eastAsia="方正小标宋_GBK"/>
          <w:sz w:val="44"/>
          <w:szCs w:val="44"/>
          <w:lang w:val="en-US" w:eastAsia="zh-CN"/>
        </w:rPr>
      </w:pPr>
      <w:r>
        <w:rPr>
          <w:rFonts w:hint="eastAsia" w:ascii="方正小标宋_GBK" w:hAnsi="Times New Roman" w:eastAsia="方正小标宋_GBK"/>
          <w:spacing w:val="122"/>
          <w:kern w:val="0"/>
          <w:sz w:val="44"/>
          <w:szCs w:val="44"/>
          <w:fitText w:val="6600" w:id="1147551847"/>
          <w:lang w:val="en-US" w:eastAsia="zh-CN"/>
        </w:rPr>
        <w:t>重庆市沙坪坝区财政</w:t>
      </w:r>
      <w:r>
        <w:rPr>
          <w:rFonts w:hint="eastAsia" w:ascii="方正小标宋_GBK" w:hAnsi="Times New Roman" w:eastAsia="方正小标宋_GBK"/>
          <w:spacing w:val="2"/>
          <w:kern w:val="0"/>
          <w:sz w:val="44"/>
          <w:szCs w:val="44"/>
          <w:fitText w:val="6600" w:id="1147551847"/>
          <w:lang w:val="en-US" w:eastAsia="zh-CN"/>
        </w:rPr>
        <w:t>局</w:t>
      </w:r>
    </w:p>
    <w:p>
      <w:pPr>
        <w:keepNext w:val="0"/>
        <w:keepLines w:val="0"/>
        <w:pageBreakBefore w:val="0"/>
        <w:shd w:val="clear"/>
        <w:kinsoku/>
        <w:overflowPunct/>
        <w:topLinePunct w:val="0"/>
        <w:autoSpaceDE/>
        <w:autoSpaceDN/>
        <w:bidi w:val="0"/>
        <w:adjustRightInd/>
        <w:spacing w:line="580" w:lineRule="exact"/>
        <w:jc w:val="center"/>
        <w:textAlignment w:val="auto"/>
        <w:rPr>
          <w:rFonts w:hint="default" w:ascii="方正小标宋_GBK" w:hAnsi="Times New Roman" w:eastAsia="方正小标宋_GBK"/>
          <w:sz w:val="44"/>
          <w:szCs w:val="44"/>
          <w:lang w:val="en-US" w:eastAsia="zh-CN"/>
        </w:rPr>
      </w:pPr>
      <w:r>
        <w:rPr>
          <w:rFonts w:hint="eastAsia" w:ascii="方正小标宋_GBK" w:hAnsi="Times New Roman" w:eastAsia="方正小标宋_GBK"/>
          <w:spacing w:val="60"/>
          <w:kern w:val="0"/>
          <w:sz w:val="44"/>
          <w:szCs w:val="44"/>
          <w:fitText w:val="6600" w:id="1215848340"/>
          <w:lang w:val="en-US" w:eastAsia="zh-CN"/>
        </w:rPr>
        <w:t>重庆市沙坪坝区应急管理</w:t>
      </w:r>
      <w:r>
        <w:rPr>
          <w:rFonts w:hint="eastAsia" w:ascii="方正小标宋_GBK" w:hAnsi="Times New Roman" w:eastAsia="方正小标宋_GBK"/>
          <w:spacing w:val="0"/>
          <w:kern w:val="0"/>
          <w:sz w:val="44"/>
          <w:szCs w:val="44"/>
          <w:fitText w:val="6600" w:id="1215848340"/>
          <w:lang w:val="en-US" w:eastAsia="zh-CN"/>
        </w:rPr>
        <w:t>局</w:t>
      </w:r>
    </w:p>
    <w:p>
      <w:pPr>
        <w:keepNext w:val="0"/>
        <w:keepLines w:val="0"/>
        <w:pageBreakBefore w:val="0"/>
        <w:shd w:val="clear"/>
        <w:kinsoku/>
        <w:overflowPunct/>
        <w:topLinePunct w:val="0"/>
        <w:autoSpaceDE/>
        <w:autoSpaceDN/>
        <w:bidi w:val="0"/>
        <w:adjustRightInd/>
        <w:spacing w:line="580" w:lineRule="exact"/>
        <w:ind w:right="-313" w:rightChars="-149"/>
        <w:jc w:val="center"/>
        <w:textAlignment w:val="auto"/>
        <w:rPr>
          <w:rFonts w:hint="eastAsia" w:ascii="方正小标宋_GBK" w:hAnsi="Times New Roman" w:eastAsia="方正小标宋_GBK"/>
          <w:sz w:val="44"/>
          <w:szCs w:val="44"/>
          <w:lang w:val="en-US" w:eastAsia="zh-CN"/>
        </w:rPr>
      </w:pPr>
      <w:r>
        <w:rPr>
          <w:rFonts w:hint="eastAsia" w:ascii="方正小标宋_GBK" w:hAnsi="Times New Roman" w:eastAsia="方正小标宋_GBK"/>
          <w:sz w:val="44"/>
          <w:szCs w:val="44"/>
        </w:rPr>
        <w:t>关于</w:t>
      </w:r>
      <w:r>
        <w:rPr>
          <w:rFonts w:hint="eastAsia" w:ascii="方正小标宋_GBK" w:hAnsi="Times New Roman" w:eastAsia="方正小标宋_GBK"/>
          <w:sz w:val="44"/>
          <w:szCs w:val="44"/>
          <w:lang w:val="en-US" w:eastAsia="zh-CN"/>
        </w:rPr>
        <w:t>印发</w:t>
      </w:r>
      <w:r>
        <w:rPr>
          <w:rFonts w:hint="eastAsia" w:ascii="方正小标宋_GBK" w:hAnsi="Times New Roman" w:eastAsia="方正小标宋_GBK"/>
          <w:sz w:val="44"/>
          <w:szCs w:val="44"/>
          <w:lang w:eastAsia="zh-CN"/>
        </w:rPr>
        <w:t>《</w:t>
      </w:r>
      <w:r>
        <w:rPr>
          <w:rFonts w:hint="eastAsia" w:ascii="方正小标宋_GBK" w:hAnsi="Times New Roman" w:eastAsia="方正小标宋_GBK"/>
          <w:sz w:val="44"/>
          <w:szCs w:val="44"/>
        </w:rPr>
        <w:t>重庆市沙坪坝区地质灾害成功避险奖励暂行规定</w:t>
      </w:r>
      <w:r>
        <w:rPr>
          <w:rFonts w:hint="eastAsia" w:ascii="方正小标宋_GBK" w:hAnsi="Times New Roman" w:eastAsia="方正小标宋_GBK"/>
          <w:sz w:val="44"/>
          <w:szCs w:val="44"/>
          <w:lang w:eastAsia="zh-CN"/>
        </w:rPr>
        <w:t>》</w:t>
      </w:r>
      <w:r>
        <w:rPr>
          <w:rFonts w:hint="eastAsia" w:ascii="方正小标宋_GBK" w:hAnsi="Times New Roman" w:eastAsia="方正小标宋_GBK"/>
          <w:sz w:val="44"/>
          <w:szCs w:val="44"/>
        </w:rPr>
        <w:t>的</w:t>
      </w:r>
      <w:r>
        <w:rPr>
          <w:rFonts w:hint="eastAsia" w:ascii="方正小标宋_GBK" w:hAnsi="Times New Roman" w:eastAsia="方正小标宋_GBK"/>
          <w:sz w:val="44"/>
          <w:szCs w:val="44"/>
          <w:lang w:val="en-US" w:eastAsia="zh-CN"/>
        </w:rPr>
        <w:t>通知</w:t>
      </w:r>
    </w:p>
    <w:p>
      <w:pPr>
        <w:keepNext w:val="0"/>
        <w:keepLines w:val="0"/>
        <w:pageBreakBefore w:val="0"/>
        <w:shd w:val="clear"/>
        <w:kinsoku/>
        <w:overflowPunct/>
        <w:topLinePunct w:val="0"/>
        <w:autoSpaceDE/>
        <w:autoSpaceDN/>
        <w:bidi w:val="0"/>
        <w:adjustRightInd/>
        <w:spacing w:line="580" w:lineRule="exact"/>
        <w:jc w:val="center"/>
        <w:textAlignment w:val="auto"/>
        <w:rPr>
          <w:rFonts w:ascii="Times New Roman" w:hAnsi="Times New Roman" w:eastAsia="方正仿宋_GBK"/>
          <w:sz w:val="32"/>
          <w:szCs w:val="32"/>
        </w:rPr>
      </w:pPr>
    </w:p>
    <w:p>
      <w:pPr>
        <w:keepNext w:val="0"/>
        <w:keepLines w:val="0"/>
        <w:pageBreakBefore w:val="0"/>
        <w:shd w:val="clear"/>
        <w:kinsoku/>
        <w:overflowPunct/>
        <w:topLinePunct w:val="0"/>
        <w:autoSpaceDE/>
        <w:autoSpaceDN/>
        <w:bidi w:val="0"/>
        <w:adjustRightInd/>
        <w:spacing w:line="580" w:lineRule="exact"/>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各镇人民政府、街道办事处，区级各部门，有关单位</w:t>
      </w:r>
      <w:r>
        <w:rPr>
          <w:rFonts w:ascii="Times New Roman" w:hAnsi="Times New Roman" w:eastAsia="方正仿宋_GBK"/>
          <w:sz w:val="32"/>
          <w:szCs w:val="32"/>
        </w:rPr>
        <w:t>：</w:t>
      </w:r>
    </w:p>
    <w:p>
      <w:pPr>
        <w:keepNext w:val="0"/>
        <w:keepLines w:val="0"/>
        <w:pageBreakBefore w:val="0"/>
        <w:shd w:val="clear"/>
        <w:kinsoku/>
        <w:overflowPunct/>
        <w:topLinePunct w:val="0"/>
        <w:autoSpaceDE/>
        <w:autoSpaceDN/>
        <w:bidi w:val="0"/>
        <w:adjustRightInd/>
        <w:spacing w:line="580" w:lineRule="exact"/>
        <w:ind w:left="0" w:leftChars="0" w:firstLine="640" w:firstLineChars="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根据《地质灾害防治条例》《重庆市地质灾害防治条例》《国务院关于加强地质灾害防治工作的决定》等相关规定，</w:t>
      </w:r>
      <w:r>
        <w:rPr>
          <w:rFonts w:hint="eastAsia" w:ascii="Times New Roman" w:hAnsi="Times New Roman" w:eastAsia="方正仿宋_GBK"/>
          <w:sz w:val="32"/>
          <w:szCs w:val="32"/>
          <w:lang w:val="en-US" w:eastAsia="zh-CN"/>
        </w:rPr>
        <w:t>区</w:t>
      </w:r>
      <w:r>
        <w:rPr>
          <w:rFonts w:hint="eastAsia" w:ascii="Times New Roman" w:hAnsi="Times New Roman" w:eastAsia="方正仿宋_GBK"/>
          <w:sz w:val="32"/>
          <w:szCs w:val="32"/>
        </w:rPr>
        <w:t>规划自然资源局、</w:t>
      </w:r>
      <w:r>
        <w:rPr>
          <w:rFonts w:hint="eastAsia" w:ascii="Times New Roman" w:hAnsi="Times New Roman" w:eastAsia="方正仿宋_GBK"/>
          <w:sz w:val="32"/>
          <w:szCs w:val="32"/>
          <w:lang w:val="en-US" w:eastAsia="zh-CN"/>
        </w:rPr>
        <w:t>区</w:t>
      </w:r>
      <w:r>
        <w:rPr>
          <w:rFonts w:hint="eastAsia" w:ascii="Times New Roman" w:hAnsi="Times New Roman" w:eastAsia="方正仿宋_GBK"/>
          <w:sz w:val="32"/>
          <w:szCs w:val="32"/>
        </w:rPr>
        <w:t>财政局和</w:t>
      </w:r>
      <w:r>
        <w:rPr>
          <w:rFonts w:hint="eastAsia" w:ascii="Times New Roman" w:hAnsi="Times New Roman" w:eastAsia="方正仿宋_GBK"/>
          <w:sz w:val="32"/>
          <w:szCs w:val="32"/>
          <w:lang w:val="en-US" w:eastAsia="zh-CN"/>
        </w:rPr>
        <w:t>区</w:t>
      </w:r>
      <w:r>
        <w:rPr>
          <w:rFonts w:hint="eastAsia" w:ascii="Times New Roman" w:hAnsi="Times New Roman" w:eastAsia="方正仿宋_GBK"/>
          <w:sz w:val="32"/>
          <w:szCs w:val="32"/>
        </w:rPr>
        <w:t>应急</w:t>
      </w:r>
      <w:r>
        <w:rPr>
          <w:rFonts w:hint="eastAsia" w:ascii="Times New Roman" w:hAnsi="Times New Roman" w:eastAsia="方正仿宋_GBK"/>
          <w:sz w:val="32"/>
          <w:szCs w:val="32"/>
          <w:lang w:val="en-US" w:eastAsia="zh-CN"/>
        </w:rPr>
        <w:t>管理</w:t>
      </w:r>
      <w:r>
        <w:rPr>
          <w:rFonts w:hint="eastAsia" w:ascii="Times New Roman" w:hAnsi="Times New Roman" w:eastAsia="方正仿宋_GBK"/>
          <w:sz w:val="32"/>
          <w:szCs w:val="32"/>
        </w:rPr>
        <w:t>局</w:t>
      </w:r>
      <w:r>
        <w:rPr>
          <w:rFonts w:hint="eastAsia" w:ascii="Times New Roman" w:hAnsi="Times New Roman" w:eastAsia="方正仿宋_GBK"/>
          <w:sz w:val="32"/>
          <w:szCs w:val="32"/>
          <w:lang w:val="en-US" w:eastAsia="zh-CN"/>
        </w:rPr>
        <w:t>联合编制</w:t>
      </w:r>
      <w:r>
        <w:rPr>
          <w:rFonts w:hint="eastAsia" w:ascii="Times New Roman" w:hAnsi="Times New Roman" w:eastAsia="方正仿宋_GBK"/>
          <w:sz w:val="32"/>
          <w:szCs w:val="32"/>
        </w:rPr>
        <w:t>了《</w:t>
      </w:r>
      <w:r>
        <w:rPr>
          <w:rFonts w:hint="eastAsia" w:ascii="Times New Roman" w:hAnsi="Times New Roman" w:eastAsia="方正仿宋_GBK"/>
          <w:sz w:val="32"/>
          <w:szCs w:val="32"/>
          <w:lang w:val="en-US" w:eastAsia="zh-CN"/>
        </w:rPr>
        <w:t>重庆市沙坪坝区</w:t>
      </w:r>
      <w:r>
        <w:rPr>
          <w:rFonts w:hint="eastAsia" w:ascii="Times New Roman" w:hAnsi="Times New Roman" w:eastAsia="方正仿宋_GBK"/>
          <w:sz w:val="32"/>
          <w:szCs w:val="32"/>
        </w:rPr>
        <w:t>地质灾害成功避险奖励暂行规定》，现印发给你们，请认真执行。</w:t>
      </w:r>
    </w:p>
    <w:p>
      <w:pPr>
        <w:keepNext w:val="0"/>
        <w:keepLines w:val="0"/>
        <w:pageBreakBefore w:val="0"/>
        <w:shd w:val="clear"/>
        <w:kinsoku/>
        <w:overflowPunct/>
        <w:topLinePunct w:val="0"/>
        <w:autoSpaceDE/>
        <w:autoSpaceDN/>
        <w:bidi w:val="0"/>
        <w:adjustRightInd/>
        <w:spacing w:line="580" w:lineRule="exact"/>
        <w:ind w:firstLine="560"/>
        <w:jc w:val="left"/>
        <w:textAlignment w:val="auto"/>
        <w:rPr>
          <w:rFonts w:hint="eastAsia" w:ascii="Times New Roman" w:hAnsi="Times New Roman" w:eastAsia="方正仿宋_GBK"/>
          <w:sz w:val="32"/>
          <w:szCs w:val="32"/>
          <w:lang w:val="en-US" w:eastAsia="zh-CN"/>
        </w:rPr>
        <w:sectPr>
          <w:footerReference r:id="rId3" w:type="even"/>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shd w:val="clear"/>
        <w:kinsoku/>
        <w:overflowPunct/>
        <w:topLinePunct w:val="0"/>
        <w:autoSpaceDE/>
        <w:autoSpaceDN/>
        <w:bidi w:val="0"/>
        <w:adjustRightInd/>
        <w:spacing w:line="580" w:lineRule="exact"/>
        <w:ind w:firstLine="320" w:firstLineChars="1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重庆市沙坪坝区地质灾害成功避险奖励暂行规定</w:t>
      </w:r>
    </w:p>
    <w:p>
      <w:pPr>
        <w:keepNext w:val="0"/>
        <w:keepLines w:val="0"/>
        <w:pageBreakBefore w:val="0"/>
        <w:shd w:val="clear"/>
        <w:kinsoku/>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sz w:val="32"/>
          <w:szCs w:val="32"/>
        </w:rPr>
      </w:pPr>
    </w:p>
    <w:p>
      <w:pPr>
        <w:keepNext w:val="0"/>
        <w:keepLines w:val="0"/>
        <w:pageBreakBefore w:val="0"/>
        <w:shd w:val="clear"/>
        <w:kinsoku/>
        <w:overflowPunct/>
        <w:topLinePunct w:val="0"/>
        <w:autoSpaceDE/>
        <w:autoSpaceDN/>
        <w:bidi w:val="0"/>
        <w:adjustRightInd/>
        <w:spacing w:line="580" w:lineRule="exact"/>
        <w:ind w:firstLine="640" w:firstLineChars="200"/>
        <w:textAlignment w:val="auto"/>
        <w:rPr>
          <w:rFonts w:hint="eastAsia" w:ascii="Times New Roman" w:hAnsi="Times New Roman" w:eastAsia="方正仿宋_GBK"/>
          <w:sz w:val="32"/>
          <w:szCs w:val="32"/>
        </w:rPr>
      </w:pPr>
    </w:p>
    <w:p>
      <w:pPr>
        <w:keepNext w:val="0"/>
        <w:keepLines w:val="0"/>
        <w:pageBreakBefore w:val="0"/>
        <w:shd w:val="clear"/>
        <w:kinsoku/>
        <w:wordWrap w:val="0"/>
        <w:overflowPunct/>
        <w:topLinePunct w:val="0"/>
        <w:autoSpaceDE/>
        <w:autoSpaceDN/>
        <w:bidi w:val="0"/>
        <w:adjustRightInd/>
        <w:spacing w:line="580" w:lineRule="exact"/>
        <w:ind w:right="-199" w:rightChars="-95"/>
        <w:jc w:val="both"/>
        <w:textAlignment w:val="auto"/>
        <w:rPr>
          <w:rFonts w:hint="eastAsia" w:ascii="Times New Roman" w:hAnsi="Times New Roman" w:eastAsia="方正仿宋_GBK"/>
          <w:sz w:val="32"/>
          <w:szCs w:val="32"/>
        </w:rPr>
      </w:pPr>
      <w:r>
        <w:rPr>
          <w:rFonts w:ascii="Times New Roman" w:hAnsi="Times New Roman" w:eastAsia="方正仿宋_GBK"/>
          <w:sz w:val="32"/>
          <w:szCs w:val="32"/>
        </w:rPr>
        <w:t>重庆市沙坪坝区规划和自然资源局</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重庆市</w:t>
      </w:r>
      <w:r>
        <w:rPr>
          <w:rFonts w:hint="eastAsia" w:ascii="Times New Roman" w:hAnsi="Times New Roman" w:eastAsia="方正仿宋_GBK"/>
          <w:sz w:val="32"/>
          <w:szCs w:val="32"/>
          <w:lang w:val="en-US" w:eastAsia="zh-CN"/>
        </w:rPr>
        <w:t>沙坪坝区</w:t>
      </w:r>
      <w:r>
        <w:rPr>
          <w:rFonts w:hint="eastAsia" w:ascii="Times New Roman" w:hAnsi="Times New Roman" w:eastAsia="方正仿宋_GBK"/>
          <w:sz w:val="32"/>
          <w:szCs w:val="32"/>
        </w:rPr>
        <w:t>财政局</w:t>
      </w:r>
    </w:p>
    <w:p>
      <w:pPr>
        <w:keepNext w:val="0"/>
        <w:keepLines w:val="0"/>
        <w:pageBreakBefore w:val="0"/>
        <w:shd w:val="clear"/>
        <w:kinsoku/>
        <w:wordWrap w:val="0"/>
        <w:overflowPunct/>
        <w:topLinePunct w:val="0"/>
        <w:autoSpaceDE/>
        <w:autoSpaceDN/>
        <w:bidi w:val="0"/>
        <w:adjustRightInd/>
        <w:spacing w:line="580" w:lineRule="exact"/>
        <w:ind w:firstLine="640" w:firstLineChars="200"/>
        <w:jc w:val="right"/>
        <w:textAlignment w:val="auto"/>
        <w:rPr>
          <w:rFonts w:hint="eastAsia" w:ascii="Times New Roman" w:hAnsi="Times New Roman" w:eastAsia="方正仿宋_GBK"/>
          <w:sz w:val="32"/>
          <w:szCs w:val="32"/>
        </w:rPr>
      </w:pPr>
    </w:p>
    <w:p>
      <w:pPr>
        <w:keepNext w:val="0"/>
        <w:keepLines w:val="0"/>
        <w:pageBreakBefore w:val="0"/>
        <w:shd w:val="clear"/>
        <w:kinsoku/>
        <w:wordWrap w:val="0"/>
        <w:overflowPunct/>
        <w:topLinePunct w:val="0"/>
        <w:autoSpaceDE/>
        <w:autoSpaceDN/>
        <w:bidi w:val="0"/>
        <w:adjustRightInd/>
        <w:spacing w:line="580" w:lineRule="exact"/>
        <w:ind w:firstLine="640" w:firstLineChars="200"/>
        <w:jc w:val="right"/>
        <w:textAlignment w:val="auto"/>
        <w:rPr>
          <w:rFonts w:hint="eastAsia" w:ascii="Times New Roman" w:hAnsi="Times New Roman" w:eastAsia="方正仿宋_GBK"/>
          <w:sz w:val="32"/>
          <w:szCs w:val="32"/>
        </w:rPr>
      </w:pPr>
    </w:p>
    <w:p>
      <w:pPr>
        <w:keepNext w:val="0"/>
        <w:keepLines w:val="0"/>
        <w:pageBreakBefore w:val="0"/>
        <w:shd w:val="clear"/>
        <w:kinsoku/>
        <w:wordWrap w:val="0"/>
        <w:overflowPunct/>
        <w:topLinePunct w:val="0"/>
        <w:autoSpaceDE/>
        <w:autoSpaceDN/>
        <w:bidi w:val="0"/>
        <w:adjustRightInd/>
        <w:spacing w:line="580" w:lineRule="exact"/>
        <w:ind w:firstLine="640" w:firstLineChars="200"/>
        <w:jc w:val="right"/>
        <w:textAlignment w:val="auto"/>
        <w:rPr>
          <w:rFonts w:hint="eastAsia" w:ascii="Times New Roman" w:hAnsi="Times New Roman" w:eastAsia="方正仿宋_GBK"/>
          <w:sz w:val="32"/>
          <w:szCs w:val="32"/>
        </w:rPr>
      </w:pPr>
    </w:p>
    <w:p>
      <w:pPr>
        <w:keepNext w:val="0"/>
        <w:keepLines w:val="0"/>
        <w:pageBreakBefore w:val="0"/>
        <w:shd w:val="clear"/>
        <w:kinsoku/>
        <w:wordWrap w:val="0"/>
        <w:overflowPunct/>
        <w:topLinePunct w:val="0"/>
        <w:autoSpaceDE/>
        <w:autoSpaceDN/>
        <w:bidi w:val="0"/>
        <w:adjustRightInd/>
        <w:spacing w:line="580" w:lineRule="exact"/>
        <w:ind w:firstLine="640" w:firstLineChars="200"/>
        <w:jc w:val="right"/>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w:t>
      </w:r>
      <w:r>
        <w:rPr>
          <w:rFonts w:hint="eastAsia" w:ascii="Times New Roman" w:hAnsi="Times New Roman" w:eastAsia="方正仿宋_GBK"/>
          <w:sz w:val="32"/>
          <w:szCs w:val="32"/>
          <w:lang w:val="en-US" w:eastAsia="zh-CN"/>
        </w:rPr>
        <w:t>沙坪坝区</w:t>
      </w:r>
      <w:r>
        <w:rPr>
          <w:rFonts w:hint="eastAsia" w:ascii="Times New Roman" w:hAnsi="Times New Roman" w:eastAsia="方正仿宋_GBK"/>
          <w:sz w:val="32"/>
          <w:szCs w:val="32"/>
        </w:rPr>
        <w:t xml:space="preserve">应急管理局 </w:t>
      </w:r>
      <w:r>
        <w:rPr>
          <w:rFonts w:ascii="Times New Roman" w:hAnsi="Times New Roman" w:eastAsia="方正仿宋_GBK"/>
          <w:sz w:val="32"/>
          <w:szCs w:val="32"/>
        </w:rPr>
        <w:t xml:space="preserve"> </w:t>
      </w:r>
    </w:p>
    <w:p>
      <w:pPr>
        <w:keepNext w:val="0"/>
        <w:keepLines w:val="0"/>
        <w:pageBreakBefore w:val="0"/>
        <w:shd w:val="clear"/>
        <w:kinsoku/>
        <w:wordWrap w:val="0"/>
        <w:overflowPunct/>
        <w:topLinePunct w:val="0"/>
        <w:autoSpaceDE/>
        <w:autoSpaceDN/>
        <w:bidi w:val="0"/>
        <w:adjustRightInd/>
        <w:spacing w:line="580" w:lineRule="exact"/>
        <w:ind w:firstLine="640" w:firstLineChars="200"/>
        <w:jc w:val="right"/>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xml:space="preserve">日 </w:t>
      </w:r>
      <w:r>
        <w:rPr>
          <w:rFonts w:ascii="Times New Roman" w:hAnsi="Times New Roman" w:eastAsia="方正仿宋_GBK"/>
          <w:sz w:val="32"/>
          <w:szCs w:val="32"/>
        </w:rPr>
        <w:t xml:space="preserve">       </w:t>
      </w:r>
    </w:p>
    <w:p>
      <w:pPr>
        <w:keepNext w:val="0"/>
        <w:keepLines w:val="0"/>
        <w:pageBreakBefore w:val="0"/>
        <w:shd w:val="clear"/>
        <w:kinsoku/>
        <w:wordWrap/>
        <w:overflowPunct/>
        <w:topLinePunct w:val="0"/>
        <w:autoSpaceDE/>
        <w:autoSpaceDN/>
        <w:bidi w:val="0"/>
        <w:adjustRightInd/>
        <w:spacing w:line="580" w:lineRule="exact"/>
        <w:jc w:val="both"/>
        <w:textAlignment w:val="auto"/>
        <w:rPr>
          <w:rFonts w:ascii="Times New Roman" w:hAnsi="Times New Roman" w:eastAsia="方正仿宋_GBK"/>
          <w:sz w:val="32"/>
          <w:szCs w:val="32"/>
        </w:rPr>
      </w:pPr>
    </w:p>
    <w:p>
      <w:pPr>
        <w:keepNext w:val="0"/>
        <w:keepLines w:val="0"/>
        <w:pageBreakBefore w:val="0"/>
        <w:shd w:val="clear"/>
        <w:kinsoku/>
        <w:wordWrap/>
        <w:overflowPunct/>
        <w:topLinePunct w:val="0"/>
        <w:autoSpaceDE/>
        <w:autoSpaceDN/>
        <w:bidi w:val="0"/>
        <w:adjustRightInd/>
        <w:spacing w:line="580" w:lineRule="exact"/>
        <w:jc w:val="both"/>
        <w:textAlignment w:val="auto"/>
        <w:rPr>
          <w:rFonts w:hint="eastAsia" w:ascii="方正黑体_GBK" w:hAnsi="方正黑体_GBK" w:eastAsia="方正黑体_GBK" w:cs="方正黑体_GBK"/>
          <w:sz w:val="32"/>
          <w:szCs w:val="28"/>
          <w:lang w:val="en-US" w:eastAsia="zh-CN"/>
        </w:rPr>
      </w:pPr>
      <w:r>
        <w:rPr>
          <w:rFonts w:hint="eastAsia" w:ascii="Times New Roman" w:hAnsi="Times New Roman" w:eastAsia="方正仿宋_GBK"/>
          <w:sz w:val="32"/>
          <w:szCs w:val="32"/>
          <w:lang w:eastAsia="zh-CN"/>
        </w:rPr>
        <w:t>（此件公开发布</w:t>
      </w:r>
      <w:bookmarkStart w:id="0" w:name="_GoBack"/>
      <w:bookmarkEnd w:id="0"/>
      <w:r>
        <w:rPr>
          <w:rFonts w:hint="eastAsia" w:ascii="Times New Roman" w:hAnsi="Times New Roman" w:eastAsia="方正仿宋_GBK"/>
          <w:sz w:val="32"/>
          <w:szCs w:val="32"/>
          <w:lang w:eastAsia="zh-CN"/>
        </w:rPr>
        <w:t>）</w:t>
      </w:r>
      <w:r>
        <w:rPr>
          <w:rFonts w:ascii="Times New Roman" w:hAnsi="Times New Roman" w:eastAsia="方正仿宋_GBK"/>
          <w:sz w:val="32"/>
          <w:szCs w:val="32"/>
        </w:rPr>
        <w:br w:type="page"/>
      </w:r>
      <w:r>
        <w:rPr>
          <w:rFonts w:hint="eastAsia" w:ascii="方正黑体_GBK" w:hAnsi="方正黑体_GBK" w:eastAsia="方正黑体_GBK" w:cs="方正黑体_GBK"/>
          <w:sz w:val="32"/>
          <w:szCs w:val="28"/>
          <w:lang w:val="en-US" w:eastAsia="zh-CN"/>
        </w:rPr>
        <w:t>附件</w:t>
      </w:r>
    </w:p>
    <w:p>
      <w:pPr>
        <w:keepNext w:val="0"/>
        <w:keepLines w:val="0"/>
        <w:pageBreakBefore w:val="0"/>
        <w:shd w:val="clear"/>
        <w:kinsoku/>
        <w:overflowPunct/>
        <w:topLinePunct w:val="0"/>
        <w:autoSpaceDE/>
        <w:autoSpaceDN/>
        <w:bidi w:val="0"/>
        <w:adjustRightInd/>
        <w:spacing w:line="580" w:lineRule="exact"/>
        <w:textAlignment w:val="auto"/>
        <w:rPr>
          <w:rFonts w:hint="eastAsia"/>
          <w:lang w:val="en-US" w:eastAsia="zh-CN"/>
        </w:rPr>
      </w:pPr>
    </w:p>
    <w:p>
      <w:pPr>
        <w:keepNext w:val="0"/>
        <w:keepLines w:val="0"/>
        <w:pageBreakBefore w:val="0"/>
        <w:widowControl/>
        <w:shd w:val="clear" w:color="auto"/>
        <w:kinsoku/>
        <w:wordWrap/>
        <w:overflowPunct/>
        <w:topLinePunct w:val="0"/>
        <w:autoSpaceDE/>
        <w:autoSpaceDN/>
        <w:bidi w:val="0"/>
        <w:adjustRightInd/>
        <w:snapToGrid w:val="0"/>
        <w:spacing w:line="580" w:lineRule="exact"/>
        <w:jc w:val="center"/>
        <w:textAlignment w:val="auto"/>
        <w:rPr>
          <w:rFonts w:hint="eastAsia" w:ascii="Times New Roman" w:hAnsi="Times New Roman" w:eastAsia="方正小标宋_GBK" w:cs="Times New Roman"/>
          <w:w w:val="90"/>
          <w:sz w:val="28"/>
          <w:szCs w:val="28"/>
          <w:lang w:eastAsia="zh-CN"/>
        </w:rPr>
      </w:pPr>
      <w:r>
        <w:rPr>
          <w:rFonts w:hint="eastAsia" w:ascii="Times New Roman" w:hAnsi="Times New Roman" w:eastAsia="方正小标宋_GBK" w:cs="Times New Roman"/>
          <w:spacing w:val="-9"/>
          <w:w w:val="90"/>
          <w:sz w:val="44"/>
          <w:szCs w:val="44"/>
          <w:lang w:val="en-US" w:eastAsia="zh-CN"/>
        </w:rPr>
        <w:t>重庆市</w:t>
      </w:r>
      <w:r>
        <w:rPr>
          <w:rFonts w:hint="default" w:ascii="Times New Roman" w:hAnsi="Times New Roman" w:eastAsia="方正小标宋_GBK" w:cs="Times New Roman"/>
          <w:spacing w:val="-9"/>
          <w:w w:val="90"/>
          <w:sz w:val="44"/>
          <w:szCs w:val="44"/>
          <w:lang w:val="en-US" w:eastAsia="zh-CN"/>
        </w:rPr>
        <w:t>沙坪坝区</w:t>
      </w:r>
      <w:r>
        <w:rPr>
          <w:rFonts w:hint="default" w:ascii="Times New Roman" w:hAnsi="Times New Roman" w:eastAsia="方正小标宋_GBK" w:cs="Times New Roman"/>
          <w:spacing w:val="-9"/>
          <w:w w:val="90"/>
          <w:sz w:val="44"/>
          <w:szCs w:val="44"/>
        </w:rPr>
        <w:t>地质灾害成功避险奖励暂行规定</w:t>
      </w:r>
    </w:p>
    <w:p>
      <w:pPr>
        <w:keepNext w:val="0"/>
        <w:keepLines w:val="0"/>
        <w:pageBreakBefore w:val="0"/>
        <w:shd w:val="clear"/>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楷体_GBK" w:cs="Times New Roman"/>
          <w:sz w:val="28"/>
          <w:szCs w:val="28"/>
        </w:rPr>
      </w:pP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333333"/>
          <w:kern w:val="0"/>
          <w:sz w:val="32"/>
          <w:szCs w:val="32"/>
        </w:rPr>
        <w:t>第一条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为加强全</w:t>
      </w:r>
      <w:r>
        <w:rPr>
          <w:rFonts w:hint="eastAsia" w:ascii="方正仿宋_GBK" w:hAnsi="方正仿宋_GBK" w:eastAsia="方正仿宋_GBK" w:cs="方正仿宋_GBK"/>
          <w:color w:val="000000"/>
          <w:kern w:val="0"/>
          <w:sz w:val="32"/>
          <w:szCs w:val="32"/>
          <w:lang w:val="en-US" w:eastAsia="zh-CN"/>
        </w:rPr>
        <w:t>区</w:t>
      </w:r>
      <w:r>
        <w:rPr>
          <w:rFonts w:hint="eastAsia" w:ascii="方正仿宋_GBK" w:hAnsi="方正仿宋_GBK" w:eastAsia="方正仿宋_GBK" w:cs="方正仿宋_GBK"/>
          <w:color w:val="000000"/>
          <w:kern w:val="0"/>
          <w:sz w:val="32"/>
          <w:szCs w:val="32"/>
        </w:rPr>
        <w:t>地质灾害防治工作，鼓励表扬在地质灾害成功避险工作中做出突出贡献的个人和单位，充分调动发挥广大群众参与地质灾害防治的积极性和主动性，最大限度减少因灾人员伤亡，根据《地质灾害防治条例》《重庆市地质灾害防治条例》《国务院关于加强地质灾害防治工作的决定》《重庆市地质灾害成功避险奖励暂行规定》等相关规定，结合</w:t>
      </w:r>
      <w:r>
        <w:rPr>
          <w:rFonts w:hint="eastAsia" w:ascii="方正仿宋_GBK" w:hAnsi="方正仿宋_GBK" w:eastAsia="方正仿宋_GBK" w:cs="方正仿宋_GBK"/>
          <w:color w:val="000000"/>
          <w:kern w:val="0"/>
          <w:sz w:val="32"/>
          <w:szCs w:val="32"/>
          <w:lang w:eastAsia="zh-CN"/>
        </w:rPr>
        <w:t>我区</w:t>
      </w:r>
      <w:r>
        <w:rPr>
          <w:rFonts w:hint="eastAsia" w:ascii="方正仿宋_GBK" w:hAnsi="方正仿宋_GBK" w:eastAsia="方正仿宋_GBK" w:cs="方正仿宋_GBK"/>
          <w:color w:val="000000"/>
          <w:kern w:val="0"/>
          <w:sz w:val="32"/>
          <w:szCs w:val="32"/>
        </w:rPr>
        <w:t>实际，制定本暂行规定。</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bCs/>
          <w:color w:val="333333"/>
          <w:kern w:val="0"/>
          <w:sz w:val="32"/>
          <w:szCs w:val="32"/>
        </w:rPr>
        <w:t>第二条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除当地政府根据地质灾害监测预警信息组织的避险转移及专门执行地质灾害防治公务外，对在我</w:t>
      </w:r>
      <w:r>
        <w:rPr>
          <w:rFonts w:hint="eastAsia" w:ascii="方正仿宋_GBK" w:hAnsi="方正仿宋_GBK" w:eastAsia="方正仿宋_GBK" w:cs="方正仿宋_GBK"/>
          <w:color w:val="000000"/>
          <w:kern w:val="0"/>
          <w:sz w:val="32"/>
          <w:szCs w:val="32"/>
          <w:lang w:val="en-US" w:eastAsia="zh-CN"/>
        </w:rPr>
        <w:t>区辖区</w:t>
      </w:r>
      <w:r>
        <w:rPr>
          <w:rFonts w:hint="eastAsia" w:ascii="方正仿宋_GBK" w:hAnsi="方正仿宋_GBK" w:eastAsia="方正仿宋_GBK" w:cs="方正仿宋_GBK"/>
          <w:color w:val="000000"/>
          <w:kern w:val="0"/>
          <w:sz w:val="32"/>
          <w:szCs w:val="32"/>
        </w:rPr>
        <w:t>内为地质灾害成功避险工作做出突出贡献的个人和单位的奖励，适用本规定。</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bCs/>
          <w:color w:val="333333"/>
          <w:kern w:val="0"/>
          <w:sz w:val="32"/>
          <w:szCs w:val="32"/>
        </w:rPr>
        <w:t>第三条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本规定认定的成功避险是指发现因自然因素诱发的突发地质灾害前兆信息，较为准确判断地质灾害可能发生的时间、地点和范围等，及时向受威胁群众进行灾前预警，使受威胁人员在地质灾害发生前得到及时转移，避免了因灾</w:t>
      </w:r>
      <w:r>
        <w:rPr>
          <w:rFonts w:hint="eastAsia" w:ascii="方正仿宋_GBK" w:hAnsi="方正仿宋_GBK" w:eastAsia="方正仿宋_GBK" w:cs="方正仿宋_GBK"/>
          <w:color w:val="000000"/>
          <w:kern w:val="0"/>
          <w:sz w:val="32"/>
          <w:szCs w:val="32"/>
          <w:lang w:val="en-US" w:eastAsia="zh-CN"/>
        </w:rPr>
        <w:t>造成</w:t>
      </w:r>
      <w:r>
        <w:rPr>
          <w:rFonts w:hint="eastAsia" w:ascii="方正仿宋_GBK" w:hAnsi="方正仿宋_GBK" w:eastAsia="方正仿宋_GBK" w:cs="方正仿宋_GBK"/>
          <w:color w:val="000000"/>
          <w:kern w:val="0"/>
          <w:sz w:val="32"/>
          <w:szCs w:val="32"/>
        </w:rPr>
        <w:t>人员伤亡的事件。其中，成功避险人数是指地质灾害发生后，若未及时组织转移可能带来的实际伤亡人数。</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000000"/>
          <w:kern w:val="0"/>
          <w:sz w:val="32"/>
          <w:szCs w:val="32"/>
        </w:rPr>
        <w:sectPr>
          <w:footerReference r:id="rId4" w:type="default"/>
          <w:pgSz w:w="11906" w:h="16838"/>
          <w:pgMar w:top="1440" w:right="1486"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b/>
          <w:bCs/>
          <w:color w:val="333333"/>
          <w:kern w:val="0"/>
          <w:sz w:val="32"/>
          <w:szCs w:val="32"/>
        </w:rPr>
        <w:t>第四条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地质灾害成功避险奖励对象是首先发现地质灾害前兆信息，及时报告或主动采取应急处置措施，避免因灾</w:t>
      </w:r>
      <w:r>
        <w:rPr>
          <w:rFonts w:hint="eastAsia" w:ascii="方正仿宋_GBK" w:hAnsi="方正仿宋_GBK" w:eastAsia="方正仿宋_GBK" w:cs="方正仿宋_GBK"/>
          <w:color w:val="000000"/>
          <w:kern w:val="0"/>
          <w:sz w:val="32"/>
          <w:szCs w:val="32"/>
          <w:lang w:val="en-US" w:eastAsia="zh-CN"/>
        </w:rPr>
        <w:t>造成</w:t>
      </w:r>
      <w:r>
        <w:rPr>
          <w:rFonts w:hint="eastAsia" w:ascii="方正仿宋_GBK" w:hAnsi="方正仿宋_GBK" w:eastAsia="方正仿宋_GBK" w:cs="方正仿宋_GBK"/>
          <w:color w:val="000000"/>
          <w:kern w:val="0"/>
          <w:sz w:val="32"/>
          <w:szCs w:val="32"/>
        </w:rPr>
        <w:t>人员伤亡的个人和单位。其中，多人共同参与成功避险</w:t>
      </w:r>
    </w:p>
    <w:p>
      <w:pPr>
        <w:keepNext w:val="0"/>
        <w:keepLines w:val="0"/>
        <w:pageBreakBefore w:val="0"/>
        <w:widowControl/>
        <w:shd w:val="clear" w:color="auto"/>
        <w:kinsoku/>
        <w:wordWrap/>
        <w:overflowPunct/>
        <w:topLinePunct w:val="0"/>
        <w:autoSpaceDE/>
        <w:autoSpaceDN/>
        <w:bidi w:val="0"/>
        <w:adjustRightInd/>
        <w:spacing w:line="580" w:lineRule="exact"/>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00000"/>
          <w:kern w:val="0"/>
          <w:sz w:val="32"/>
          <w:szCs w:val="32"/>
        </w:rPr>
        <w:t>的，由共同管理单位申报单位奖励；无共同管理单位的，由当地镇人民政府（街道办事处）申报单位奖励。对单位的奖励，由获奖单位根据具体贡献向参与地质灾害成功避险的个人分配奖金。</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对参与地质灾害成功避险的党政机关、事业单位、相关委托或购买服务的地质灾害防治单位及其工作人员，按规定优先推荐其纳入相关评比达标表彰项目评选范围，其相关奖励按照《公务员奖励规定》《事业单位工作人员奖励规定》等有关规定开展，不纳入本奖励办法范围。</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333333"/>
          <w:kern w:val="0"/>
          <w:sz w:val="32"/>
          <w:szCs w:val="32"/>
        </w:rPr>
        <w:t>第五条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按照“精神奖励为主、物质奖励为辅”的原则，由</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规划自然资源局牵头</w:t>
      </w:r>
      <w:r>
        <w:rPr>
          <w:rFonts w:hint="eastAsia" w:ascii="方正仿宋_GBK" w:hAnsi="方正仿宋_GBK" w:eastAsia="方正仿宋_GBK" w:cs="方正仿宋_GBK"/>
          <w:color w:val="000000"/>
          <w:kern w:val="0"/>
          <w:sz w:val="32"/>
          <w:szCs w:val="32"/>
          <w:lang w:val="en-US" w:eastAsia="zh-CN"/>
        </w:rPr>
        <w:t>开展地</w:t>
      </w:r>
      <w:r>
        <w:rPr>
          <w:rFonts w:hint="eastAsia" w:ascii="方正仿宋_GBK" w:hAnsi="方正仿宋_GBK" w:eastAsia="方正仿宋_GBK" w:cs="方正仿宋_GBK"/>
          <w:color w:val="000000"/>
          <w:kern w:val="0"/>
          <w:sz w:val="32"/>
          <w:szCs w:val="32"/>
        </w:rPr>
        <w:t>质灾害成功避险奖励工作。</w:t>
      </w:r>
    </w:p>
    <w:p>
      <w:pPr>
        <w:keepNext w:val="0"/>
        <w:keepLines w:val="0"/>
        <w:pageBreakBefore w:val="0"/>
        <w:widowControl/>
        <w:shd w:val="clear"/>
        <w:kinsoku/>
        <w:wordWrap/>
        <w:overflowPunct/>
        <w:topLinePunct w:val="0"/>
        <w:autoSpaceDE/>
        <w:autoSpaceDN/>
        <w:bidi w:val="0"/>
        <w:adjustRightInd/>
        <w:spacing w:line="580" w:lineRule="exact"/>
        <w:ind w:firstLine="632"/>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精神</w:t>
      </w:r>
      <w:r>
        <w:rPr>
          <w:rFonts w:hint="eastAsia" w:ascii="方正仿宋_GBK" w:hAnsi="方正仿宋_GBK" w:eastAsia="方正仿宋_GBK" w:cs="方正仿宋_GBK"/>
          <w:color w:val="000000"/>
          <w:kern w:val="0"/>
          <w:sz w:val="32"/>
          <w:szCs w:val="32"/>
        </w:rPr>
        <w:t>奖励</w:t>
      </w:r>
      <w:r>
        <w:rPr>
          <w:rFonts w:hint="eastAsia" w:ascii="方正仿宋_GBK" w:hAnsi="方正仿宋_GBK" w:eastAsia="方正仿宋_GBK" w:cs="方正仿宋_GBK"/>
          <w:color w:val="000000"/>
          <w:kern w:val="0"/>
          <w:sz w:val="32"/>
          <w:szCs w:val="32"/>
          <w:lang w:val="en-US" w:eastAsia="zh-CN"/>
        </w:rPr>
        <w:t>采取通报表彰的方式。经审查认定属实，</w:t>
      </w:r>
      <w:r>
        <w:rPr>
          <w:rFonts w:hint="eastAsia" w:ascii="方正仿宋_GBK" w:hAnsi="方正仿宋_GBK" w:eastAsia="方正仿宋_GBK" w:cs="方正仿宋_GBK"/>
          <w:color w:val="000000"/>
          <w:kern w:val="0"/>
          <w:sz w:val="32"/>
          <w:szCs w:val="32"/>
        </w:rPr>
        <w:t>对成功避免一次地质灾害造成人员伤亡</w:t>
      </w:r>
      <w:r>
        <w:rPr>
          <w:rFonts w:hint="default" w:ascii="Times New Roman" w:hAnsi="Times New Roman" w:eastAsia="方正仿宋_GBK" w:cs="Times New Roman"/>
          <w:color w:val="000000"/>
          <w:kern w:val="0"/>
          <w:sz w:val="32"/>
          <w:szCs w:val="32"/>
        </w:rPr>
        <w:t>10</w:t>
      </w:r>
      <w:r>
        <w:rPr>
          <w:rFonts w:hint="eastAsia" w:ascii="方正仿宋_GBK" w:hAnsi="方正仿宋_GBK" w:eastAsia="方正仿宋_GBK" w:cs="方正仿宋_GBK"/>
          <w:color w:val="000000"/>
          <w:kern w:val="0"/>
          <w:sz w:val="32"/>
          <w:szCs w:val="32"/>
        </w:rPr>
        <w:t>人以下事件</w:t>
      </w:r>
      <w:r>
        <w:rPr>
          <w:rFonts w:hint="eastAsia" w:ascii="方正仿宋_GBK" w:hAnsi="方正仿宋_GBK" w:eastAsia="方正仿宋_GBK" w:cs="方正仿宋_GBK"/>
          <w:color w:val="000000"/>
          <w:kern w:val="0"/>
          <w:sz w:val="32"/>
          <w:szCs w:val="32"/>
          <w:lang w:val="en-US" w:eastAsia="zh-CN"/>
        </w:rPr>
        <w:t>的个人和单位，由区抗震救灾和地质灾害防治救援指挥部给予即时通报表扬。</w:t>
      </w:r>
    </w:p>
    <w:p>
      <w:pPr>
        <w:keepNext w:val="0"/>
        <w:keepLines w:val="0"/>
        <w:pageBreakBefore w:val="0"/>
        <w:widowControl/>
        <w:shd w:val="clear"/>
        <w:kinsoku/>
        <w:wordWrap/>
        <w:overflowPunct/>
        <w:topLinePunct w:val="0"/>
        <w:autoSpaceDE/>
        <w:autoSpaceDN/>
        <w:bidi w:val="0"/>
        <w:adjustRightInd/>
        <w:spacing w:line="580" w:lineRule="exact"/>
        <w:ind w:firstLine="632"/>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物质奖励采取发放奖金的方式，</w:t>
      </w:r>
      <w:r>
        <w:rPr>
          <w:rFonts w:hint="eastAsia" w:ascii="方正仿宋_GBK" w:hAnsi="方正仿宋_GBK" w:eastAsia="方正仿宋_GBK" w:cs="方正仿宋_GBK"/>
          <w:color w:val="000000"/>
          <w:kern w:val="0"/>
          <w:sz w:val="32"/>
          <w:szCs w:val="32"/>
          <w:lang w:val="en-US" w:eastAsia="zh-CN"/>
        </w:rPr>
        <w:t>区</w:t>
      </w:r>
      <w:r>
        <w:rPr>
          <w:rFonts w:hint="eastAsia" w:ascii="方正仿宋_GBK" w:hAnsi="方正仿宋_GBK" w:eastAsia="方正仿宋_GBK" w:cs="方正仿宋_GBK"/>
          <w:color w:val="000000"/>
          <w:kern w:val="0"/>
          <w:sz w:val="32"/>
          <w:szCs w:val="32"/>
        </w:rPr>
        <w:t>级设</w:t>
      </w:r>
      <w:r>
        <w:rPr>
          <w:rFonts w:hint="eastAsia" w:ascii="方正仿宋_GBK" w:hAnsi="方正仿宋_GBK" w:eastAsia="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rPr>
        <w:t>个奖励等级</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奖励金额为</w:t>
      </w:r>
      <w:r>
        <w:rPr>
          <w:rFonts w:hint="default" w:ascii="Times New Roman" w:hAnsi="Times New Roman" w:eastAsia="方正仿宋_GBK" w:cs="Times New Roman"/>
          <w:color w:val="000000"/>
          <w:kern w:val="0"/>
          <w:sz w:val="32"/>
          <w:szCs w:val="32"/>
          <w:lang w:val="en-US" w:eastAsia="zh-CN"/>
        </w:rPr>
        <w:t>3000</w:t>
      </w:r>
      <w:r>
        <w:rPr>
          <w:rFonts w:hint="eastAsia" w:ascii="方正仿宋_GBK" w:hAnsi="方正仿宋_GBK" w:eastAsia="方正仿宋_GBK" w:cs="方正仿宋_GBK"/>
          <w:color w:val="000000"/>
          <w:kern w:val="0"/>
          <w:sz w:val="32"/>
          <w:szCs w:val="32"/>
          <w:lang w:val="en-US" w:eastAsia="zh-CN"/>
        </w:rPr>
        <w:t>元</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val="en-US" w:eastAsia="zh-CN"/>
        </w:rPr>
        <w:t>经审查认定属实，对成功避免一次地质灾害造成人员伤亡</w:t>
      </w:r>
      <w:r>
        <w:rPr>
          <w:rFonts w:hint="default" w:ascii="Times New Roman" w:hAnsi="Times New Roman" w:eastAsia="方正仿宋_GBK" w:cs="Times New Roman"/>
          <w:color w:val="000000"/>
          <w:kern w:val="0"/>
          <w:sz w:val="32"/>
          <w:szCs w:val="32"/>
          <w:lang w:val="en-US" w:eastAsia="zh-CN"/>
        </w:rPr>
        <w:t>10</w:t>
      </w:r>
      <w:r>
        <w:rPr>
          <w:rFonts w:hint="eastAsia" w:ascii="方正仿宋_GBK" w:hAnsi="方正仿宋_GBK" w:eastAsia="方正仿宋_GBK" w:cs="方正仿宋_GBK"/>
          <w:color w:val="000000"/>
          <w:kern w:val="0"/>
          <w:sz w:val="32"/>
          <w:szCs w:val="32"/>
          <w:lang w:val="en-US" w:eastAsia="zh-CN"/>
        </w:rPr>
        <w:t>人以下事件的个人和单位，</w:t>
      </w:r>
      <w:r>
        <w:rPr>
          <w:rFonts w:hint="eastAsia" w:ascii="方正仿宋_GBK" w:hAnsi="方正仿宋_GBK" w:eastAsia="方正仿宋_GBK" w:cs="方正仿宋_GBK"/>
          <w:kern w:val="0"/>
          <w:sz w:val="32"/>
          <w:szCs w:val="32"/>
          <w:lang w:val="en-US" w:eastAsia="zh-CN"/>
        </w:rPr>
        <w:t>给予</w:t>
      </w:r>
      <w:r>
        <w:rPr>
          <w:rFonts w:hint="default" w:ascii="Times New Roman" w:hAnsi="Times New Roman" w:eastAsia="方正仿宋_GBK" w:cs="Times New Roman"/>
          <w:kern w:val="0"/>
          <w:sz w:val="32"/>
          <w:szCs w:val="32"/>
          <w:lang w:val="en-US" w:eastAsia="zh-CN"/>
        </w:rPr>
        <w:t>3000</w:t>
      </w:r>
      <w:r>
        <w:rPr>
          <w:rFonts w:hint="eastAsia" w:ascii="方正仿宋_GBK" w:hAnsi="方正仿宋_GBK" w:eastAsia="方正仿宋_GBK" w:cs="方正仿宋_GBK"/>
          <w:kern w:val="0"/>
          <w:sz w:val="32"/>
          <w:szCs w:val="32"/>
          <w:lang w:val="en-US" w:eastAsia="zh-CN"/>
        </w:rPr>
        <w:t>元奖励。</w:t>
      </w:r>
      <w:r>
        <w:rPr>
          <w:rFonts w:hint="eastAsia" w:ascii="方正仿宋_GBK" w:hAnsi="方正仿宋_GBK" w:eastAsia="方正仿宋_GBK" w:cs="方正仿宋_GBK"/>
          <w:kern w:val="0"/>
          <w:sz w:val="32"/>
          <w:szCs w:val="32"/>
        </w:rPr>
        <w:t xml:space="preserve"> </w:t>
      </w:r>
    </w:p>
    <w:p>
      <w:pPr>
        <w:keepNext w:val="0"/>
        <w:keepLines w:val="0"/>
        <w:pageBreakBefore w:val="0"/>
        <w:widowControl/>
        <w:shd w:val="clear"/>
        <w:kinsoku/>
        <w:wordWrap/>
        <w:overflowPunct/>
        <w:topLinePunct w:val="0"/>
        <w:autoSpaceDE/>
        <w:autoSpaceDN/>
        <w:bidi w:val="0"/>
        <w:adjustRightInd/>
        <w:spacing w:line="580" w:lineRule="exact"/>
        <w:ind w:firstLine="632"/>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避免因一次地质灾害造成人员伤亡</w:t>
      </w:r>
      <w:r>
        <w:rPr>
          <w:rFonts w:hint="default" w:ascii="Times New Roman" w:hAnsi="Times New Roman" w:eastAsia="方正仿宋_GBK" w:cs="Times New Roman"/>
          <w:color w:val="000000"/>
          <w:kern w:val="0"/>
          <w:sz w:val="32"/>
          <w:szCs w:val="32"/>
        </w:rPr>
        <w:t>10</w:t>
      </w:r>
      <w:r>
        <w:rPr>
          <w:rFonts w:hint="eastAsia" w:ascii="方正仿宋_GBK" w:hAnsi="方正仿宋_GBK" w:eastAsia="方正仿宋_GBK" w:cs="方正仿宋_GBK"/>
          <w:color w:val="000000"/>
          <w:kern w:val="0"/>
          <w:sz w:val="32"/>
          <w:szCs w:val="32"/>
        </w:rPr>
        <w:t>人（含）以上的事件，按照《重庆市地质灾害成功避险奖励暂行规定》执行，不纳入本奖励办法范围。</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bCs/>
          <w:color w:val="333333"/>
          <w:kern w:val="0"/>
          <w:sz w:val="32"/>
          <w:szCs w:val="32"/>
        </w:rPr>
        <w:t>第</w:t>
      </w:r>
      <w:r>
        <w:rPr>
          <w:rFonts w:hint="eastAsia" w:ascii="方正仿宋_GBK" w:hAnsi="方正仿宋_GBK" w:eastAsia="方正仿宋_GBK" w:cs="方正仿宋_GBK"/>
          <w:b/>
          <w:bCs/>
          <w:color w:val="333333"/>
          <w:kern w:val="0"/>
          <w:sz w:val="32"/>
          <w:szCs w:val="32"/>
          <w:lang w:val="en-US" w:eastAsia="zh-CN"/>
        </w:rPr>
        <w:t>六</w:t>
      </w:r>
      <w:r>
        <w:rPr>
          <w:rFonts w:hint="eastAsia" w:ascii="方正仿宋_GBK" w:hAnsi="方正仿宋_GBK" w:eastAsia="方正仿宋_GBK" w:cs="方正仿宋_GBK"/>
          <w:b/>
          <w:bCs/>
          <w:color w:val="333333"/>
          <w:kern w:val="0"/>
          <w:sz w:val="32"/>
          <w:szCs w:val="32"/>
        </w:rPr>
        <w:t>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符合</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级地质灾害成功避险奖励的，主要奖励程序为：</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00000"/>
          <w:kern w:val="0"/>
          <w:sz w:val="32"/>
          <w:szCs w:val="32"/>
        </w:rPr>
        <w:t>（一）推荐。</w:t>
      </w:r>
      <w:r>
        <w:rPr>
          <w:rFonts w:hint="eastAsia" w:ascii="方正仿宋_GBK" w:hAnsi="方正仿宋_GBK" w:eastAsia="方正仿宋_GBK" w:cs="方正仿宋_GBK"/>
          <w:color w:val="000000"/>
          <w:kern w:val="0"/>
          <w:sz w:val="32"/>
          <w:szCs w:val="32"/>
          <w:lang w:val="en-US" w:eastAsia="zh-CN"/>
        </w:rPr>
        <w:t>各</w:t>
      </w:r>
      <w:r>
        <w:rPr>
          <w:rFonts w:hint="eastAsia" w:ascii="方正仿宋_GBK" w:hAnsi="方正仿宋_GBK" w:eastAsia="方正仿宋_GBK" w:cs="方正仿宋_GBK"/>
          <w:color w:val="000000"/>
          <w:kern w:val="0"/>
          <w:sz w:val="32"/>
          <w:szCs w:val="32"/>
        </w:rPr>
        <w:t>镇人民政府（街道办事处）、各级党政机关、事业单位、相关委托或购买服务的地质灾害防治单位根据辖区内本年度地质灾害成功避险事件避免伤亡人数等确定推荐个人和单位名单，并逐个事件审核填写《</w:t>
      </w:r>
      <w:r>
        <w:rPr>
          <w:rFonts w:hint="eastAsia" w:ascii="方正仿宋_GBK" w:hAnsi="方正仿宋_GBK" w:eastAsia="方正仿宋_GBK" w:cs="方正仿宋_GBK"/>
          <w:color w:val="000000"/>
          <w:kern w:val="0"/>
          <w:sz w:val="32"/>
          <w:szCs w:val="32"/>
          <w:lang w:val="en-US" w:eastAsia="zh-CN"/>
        </w:rPr>
        <w:t>沙坪坝</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地质灾害成功避险奖励推荐表》（附件</w:t>
      </w:r>
      <w:r>
        <w:rPr>
          <w:rFonts w:hint="default" w:ascii="Times New Roman" w:hAnsi="Times New Roman" w:eastAsia="方正仿宋_GBK" w:cs="Times New Roman"/>
          <w:color w:val="000000"/>
          <w:kern w:val="0"/>
          <w:sz w:val="32"/>
          <w:szCs w:val="32"/>
        </w:rPr>
        <w:t>1）</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组织核实成功避险事件的真实性，向</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规划自然资源局报送推荐材料（附件</w:t>
      </w:r>
      <w:r>
        <w:rPr>
          <w:rFonts w:hint="default" w:ascii="Times New Roman" w:hAnsi="Times New Roman" w:eastAsia="方正仿宋_GBK" w:cs="Times New Roman"/>
          <w:color w:val="000000"/>
          <w:kern w:val="0"/>
          <w:sz w:val="32"/>
          <w:szCs w:val="32"/>
        </w:rPr>
        <w:t>2</w:t>
      </w:r>
      <w:r>
        <w:rPr>
          <w:rFonts w:hint="eastAsia" w:ascii="方正仿宋_GBK" w:hAnsi="方正仿宋_GBK" w:eastAsia="方正仿宋_GBK" w:cs="方正仿宋_GBK"/>
          <w:color w:val="000000"/>
          <w:kern w:val="0"/>
          <w:sz w:val="32"/>
          <w:szCs w:val="32"/>
        </w:rPr>
        <w:t>）。</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00000"/>
          <w:kern w:val="0"/>
          <w:sz w:val="32"/>
          <w:szCs w:val="32"/>
        </w:rPr>
        <w:t>（二）审查。按照“随时受理，集中审查”</w:t>
      </w:r>
      <w:r>
        <w:rPr>
          <w:rFonts w:hint="eastAsia" w:ascii="方正仿宋_GBK" w:hAnsi="方正仿宋_GBK" w:eastAsia="方正仿宋_GBK" w:cs="方正仿宋_GBK"/>
          <w:color w:val="auto"/>
          <w:kern w:val="0"/>
          <w:sz w:val="32"/>
          <w:szCs w:val="32"/>
        </w:rPr>
        <w:t>形式</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规划自然资源局会同</w:t>
      </w:r>
      <w:r>
        <w:rPr>
          <w:rFonts w:hint="eastAsia" w:ascii="方正仿宋_GBK" w:hAnsi="方正仿宋_GBK" w:eastAsia="方正仿宋_GBK" w:cs="方正仿宋_GBK"/>
          <w:color w:val="000000"/>
          <w:kern w:val="0"/>
          <w:sz w:val="32"/>
          <w:szCs w:val="32"/>
          <w:lang w:val="en-US" w:eastAsia="zh-CN"/>
        </w:rPr>
        <w:t>区财政局和区</w:t>
      </w:r>
      <w:r>
        <w:rPr>
          <w:rFonts w:hint="eastAsia" w:ascii="方正仿宋_GBK" w:hAnsi="方正仿宋_GBK" w:eastAsia="方正仿宋_GBK" w:cs="方正仿宋_GBK"/>
          <w:color w:val="000000"/>
          <w:kern w:val="0"/>
          <w:sz w:val="32"/>
          <w:szCs w:val="32"/>
        </w:rPr>
        <w:t>应急</w:t>
      </w:r>
      <w:r>
        <w:rPr>
          <w:rFonts w:hint="eastAsia" w:ascii="方正仿宋_GBK" w:hAnsi="方正仿宋_GBK" w:eastAsia="方正仿宋_GBK" w:cs="方正仿宋_GBK"/>
          <w:color w:val="000000"/>
          <w:kern w:val="0"/>
          <w:sz w:val="32"/>
          <w:szCs w:val="32"/>
          <w:lang w:val="en-US" w:eastAsia="zh-CN"/>
        </w:rPr>
        <w:t>管理</w:t>
      </w:r>
      <w:r>
        <w:rPr>
          <w:rFonts w:hint="eastAsia" w:ascii="方正仿宋_GBK" w:hAnsi="方正仿宋_GBK" w:eastAsia="方正仿宋_GBK" w:cs="方正仿宋_GBK"/>
          <w:color w:val="000000"/>
          <w:kern w:val="0"/>
          <w:sz w:val="32"/>
          <w:szCs w:val="32"/>
        </w:rPr>
        <w:t>局于每年11月左右根据推荐情况，组织相关专家集中审查推荐材料，并拟定奖励名单。</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规划自然资源局可派专家前往现场实地核查。</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00000"/>
          <w:kern w:val="0"/>
          <w:sz w:val="32"/>
          <w:szCs w:val="32"/>
        </w:rPr>
        <w:t>（三）公示。</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lang w:val="en-US" w:eastAsia="zh-CN"/>
        </w:rPr>
        <w:t>规划自然资源局</w:t>
      </w:r>
      <w:r>
        <w:rPr>
          <w:rFonts w:hint="eastAsia" w:ascii="方正仿宋_GBK" w:hAnsi="方正仿宋_GBK" w:eastAsia="方正仿宋_GBK" w:cs="方正仿宋_GBK"/>
          <w:color w:val="000000"/>
          <w:kern w:val="0"/>
          <w:sz w:val="32"/>
          <w:szCs w:val="32"/>
        </w:rPr>
        <w:t>在</w:t>
      </w:r>
      <w:r>
        <w:rPr>
          <w:rFonts w:hint="eastAsia" w:ascii="方正仿宋_GBK" w:hAnsi="方正仿宋_GBK" w:eastAsia="方正仿宋_GBK" w:cs="方正仿宋_GBK"/>
          <w:color w:val="000000"/>
          <w:kern w:val="0"/>
          <w:sz w:val="32"/>
          <w:szCs w:val="32"/>
          <w:lang w:val="en-US" w:eastAsia="zh-CN"/>
        </w:rPr>
        <w:t>区政府</w:t>
      </w:r>
      <w:r>
        <w:rPr>
          <w:rFonts w:hint="eastAsia" w:ascii="方正仿宋_GBK" w:hAnsi="方正仿宋_GBK" w:eastAsia="方正仿宋_GBK" w:cs="方正仿宋_GBK"/>
          <w:color w:val="000000"/>
          <w:kern w:val="0"/>
          <w:sz w:val="32"/>
          <w:szCs w:val="32"/>
        </w:rPr>
        <w:t>网站或有关新闻媒体上按规定进行公示，公示时间不少于5个工作日。公示内容包括：地质灾害发生的时间、地点、受灾情况；成功预报地质灾害的个人和单位基本信息及其对成功避险的主要贡献；避免人员伤亡情况；拟定奖金额度等信息。</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000000"/>
          <w:kern w:val="0"/>
          <w:sz w:val="32"/>
          <w:szCs w:val="32"/>
        </w:rPr>
        <w:t>（四）奖励。公示期满无异议的，按程序给予奖励。</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333333"/>
          <w:kern w:val="0"/>
          <w:sz w:val="32"/>
          <w:szCs w:val="32"/>
        </w:rPr>
        <w:t>第</w:t>
      </w:r>
      <w:r>
        <w:rPr>
          <w:rFonts w:hint="eastAsia" w:ascii="方正仿宋_GBK" w:hAnsi="方正仿宋_GBK" w:eastAsia="方正仿宋_GBK" w:cs="方正仿宋_GBK"/>
          <w:b/>
          <w:bCs/>
          <w:color w:val="333333"/>
          <w:kern w:val="0"/>
          <w:sz w:val="32"/>
          <w:szCs w:val="32"/>
          <w:lang w:val="en-US" w:eastAsia="zh-CN"/>
        </w:rPr>
        <w:t>七</w:t>
      </w:r>
      <w:r>
        <w:rPr>
          <w:rFonts w:hint="eastAsia" w:ascii="方正仿宋_GBK" w:hAnsi="方正仿宋_GBK" w:eastAsia="方正仿宋_GBK" w:cs="方正仿宋_GBK"/>
          <w:b/>
          <w:bCs/>
          <w:color w:val="333333"/>
          <w:kern w:val="0"/>
          <w:sz w:val="32"/>
          <w:szCs w:val="32"/>
        </w:rPr>
        <w:t>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各镇人民政府（街道办事处）、各级党政机关、事业单位、相关委托或购买服务的地质灾害防治单位应按照地质灾害信息报送有关要求及时上报地质灾害成功避险信息，</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lang w:val="en-US" w:eastAsia="zh-CN"/>
        </w:rPr>
        <w:t>规划自然资源局、区应急管理局</w:t>
      </w:r>
      <w:r>
        <w:rPr>
          <w:rFonts w:hint="eastAsia" w:ascii="方正仿宋_GBK" w:hAnsi="方正仿宋_GBK" w:eastAsia="方正仿宋_GBK" w:cs="方正仿宋_GBK"/>
          <w:color w:val="000000"/>
          <w:kern w:val="0"/>
          <w:sz w:val="32"/>
          <w:szCs w:val="32"/>
        </w:rPr>
        <w:t>将及时宣传推广相关地质灾害成功避险案例。</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333333"/>
          <w:kern w:val="0"/>
          <w:sz w:val="32"/>
          <w:szCs w:val="32"/>
        </w:rPr>
        <w:t>第</w:t>
      </w:r>
      <w:r>
        <w:rPr>
          <w:rFonts w:hint="eastAsia" w:ascii="方正仿宋_GBK" w:hAnsi="方正仿宋_GBK" w:eastAsia="方正仿宋_GBK" w:cs="方正仿宋_GBK"/>
          <w:b/>
          <w:bCs/>
          <w:color w:val="333333"/>
          <w:kern w:val="0"/>
          <w:sz w:val="32"/>
          <w:szCs w:val="32"/>
          <w:lang w:val="en-US" w:eastAsia="zh-CN"/>
        </w:rPr>
        <w:t>八</w:t>
      </w:r>
      <w:r>
        <w:rPr>
          <w:rFonts w:hint="eastAsia" w:ascii="方正仿宋_GBK" w:hAnsi="方正仿宋_GBK" w:eastAsia="方正仿宋_GBK" w:cs="方正仿宋_GBK"/>
          <w:b/>
          <w:bCs/>
          <w:color w:val="333333"/>
          <w:kern w:val="0"/>
          <w:sz w:val="32"/>
          <w:szCs w:val="32"/>
        </w:rPr>
        <w:t>条</w:t>
      </w:r>
      <w:r>
        <w:rPr>
          <w:rFonts w:hint="eastAsia" w:ascii="方正仿宋_GBK" w:hAnsi="方正仿宋_GBK" w:eastAsia="方正仿宋_GBK" w:cs="方正仿宋_GBK"/>
          <w:b/>
          <w:bCs/>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级地质灾害成功避险奖励经费由</w:t>
      </w:r>
      <w:r>
        <w:rPr>
          <w:rFonts w:hint="eastAsia" w:ascii="方正仿宋_GBK" w:hAnsi="方正仿宋_GBK" w:eastAsia="方正仿宋_GBK" w:cs="方正仿宋_GBK"/>
          <w:color w:val="000000"/>
          <w:kern w:val="0"/>
          <w:sz w:val="32"/>
          <w:szCs w:val="32"/>
          <w:highlight w:val="none"/>
          <w:lang w:val="en-US" w:eastAsia="zh-CN"/>
        </w:rPr>
        <w:t>区规划自然资源局在年度区级地质灾害防治专项资金内</w:t>
      </w:r>
      <w:r>
        <w:rPr>
          <w:rFonts w:hint="eastAsia" w:ascii="方正仿宋_GBK" w:hAnsi="方正仿宋_GBK" w:eastAsia="方正仿宋_GBK" w:cs="方正仿宋_GBK"/>
          <w:color w:val="000000"/>
          <w:kern w:val="0"/>
          <w:sz w:val="32"/>
          <w:szCs w:val="32"/>
        </w:rPr>
        <w:t>予以保障。</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bCs/>
          <w:color w:val="333333"/>
          <w:kern w:val="0"/>
          <w:sz w:val="32"/>
          <w:szCs w:val="32"/>
        </w:rPr>
        <w:t>第</w:t>
      </w:r>
      <w:r>
        <w:rPr>
          <w:rFonts w:hint="eastAsia" w:ascii="方正仿宋_GBK" w:hAnsi="方正仿宋_GBK" w:eastAsia="方正仿宋_GBK" w:cs="方正仿宋_GBK"/>
          <w:b/>
          <w:bCs/>
          <w:color w:val="333333"/>
          <w:kern w:val="0"/>
          <w:sz w:val="32"/>
          <w:szCs w:val="32"/>
          <w:lang w:val="en-US" w:eastAsia="zh-CN"/>
        </w:rPr>
        <w:t>九</w:t>
      </w:r>
      <w:r>
        <w:rPr>
          <w:rFonts w:hint="eastAsia" w:ascii="方正仿宋_GBK" w:hAnsi="方正仿宋_GBK" w:eastAsia="方正仿宋_GBK" w:cs="方正仿宋_GBK"/>
          <w:b/>
          <w:bCs/>
          <w:color w:val="333333"/>
          <w:kern w:val="0"/>
          <w:sz w:val="32"/>
          <w:szCs w:val="32"/>
        </w:rPr>
        <w:t>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在地质灾害成功避险奖励申报和审查中发现有弄虚作假行为的，一经查实，取消其评选资格；已领取奖金的，全部予以追回，相关奖励认定结果予以撤销，同时向社会公告，并根据具体情况对直接责任人和有关人员做出相应处理，情节严重的依法依规追究其法律责任。</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b/>
          <w:bCs/>
          <w:color w:val="333333"/>
          <w:kern w:val="0"/>
          <w:sz w:val="32"/>
          <w:szCs w:val="32"/>
        </w:rPr>
        <w:t>第十条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本规定由</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规划自然资源局、</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财政局和</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应急</w:t>
      </w:r>
      <w:r>
        <w:rPr>
          <w:rFonts w:hint="eastAsia" w:ascii="方正仿宋_GBK" w:hAnsi="方正仿宋_GBK" w:eastAsia="方正仿宋_GBK" w:cs="方正仿宋_GBK"/>
          <w:color w:val="000000"/>
          <w:kern w:val="0"/>
          <w:sz w:val="32"/>
          <w:szCs w:val="32"/>
          <w:lang w:val="en-US" w:eastAsia="zh-CN"/>
        </w:rPr>
        <w:t>管理</w:t>
      </w:r>
      <w:r>
        <w:rPr>
          <w:rFonts w:hint="eastAsia" w:ascii="方正仿宋_GBK" w:hAnsi="方正仿宋_GBK" w:eastAsia="方正仿宋_GBK" w:cs="方正仿宋_GBK"/>
          <w:color w:val="000000"/>
          <w:kern w:val="0"/>
          <w:sz w:val="32"/>
          <w:szCs w:val="32"/>
        </w:rPr>
        <w:t>局负责解释。</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333333"/>
          <w:kern w:val="0"/>
          <w:sz w:val="32"/>
          <w:szCs w:val="32"/>
        </w:rPr>
        <w:t>第十</w:t>
      </w:r>
      <w:r>
        <w:rPr>
          <w:rFonts w:hint="eastAsia" w:ascii="方正仿宋_GBK" w:hAnsi="方正仿宋_GBK" w:eastAsia="方正仿宋_GBK" w:cs="方正仿宋_GBK"/>
          <w:b/>
          <w:bCs/>
          <w:color w:val="333333"/>
          <w:kern w:val="0"/>
          <w:sz w:val="32"/>
          <w:szCs w:val="32"/>
          <w:lang w:val="en-US" w:eastAsia="zh-CN"/>
        </w:rPr>
        <w:t>一</w:t>
      </w:r>
      <w:r>
        <w:rPr>
          <w:rFonts w:hint="eastAsia" w:ascii="方正仿宋_GBK" w:hAnsi="方正仿宋_GBK" w:eastAsia="方正仿宋_GBK" w:cs="方正仿宋_GBK"/>
          <w:b/>
          <w:bCs/>
          <w:color w:val="333333"/>
          <w:kern w:val="0"/>
          <w:sz w:val="32"/>
          <w:szCs w:val="32"/>
        </w:rPr>
        <w:t>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本规定自</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8</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日起施行，有效期</w:t>
      </w:r>
      <w:r>
        <w:rPr>
          <w:rFonts w:hint="default" w:ascii="Times New Roman" w:hAnsi="Times New Roman" w:eastAsia="方正仿宋_GBK" w:cs="Times New Roman"/>
          <w:color w:val="000000"/>
          <w:kern w:val="0"/>
          <w:sz w:val="32"/>
          <w:szCs w:val="32"/>
          <w:lang w:val="en-US" w:eastAsia="zh-CN"/>
        </w:rPr>
        <w:t>2</w:t>
      </w:r>
      <w:r>
        <w:rPr>
          <w:rFonts w:hint="eastAsia" w:ascii="方正仿宋_GBK" w:hAnsi="方正仿宋_GBK" w:eastAsia="方正仿宋_GBK" w:cs="方正仿宋_GBK"/>
          <w:color w:val="000000"/>
          <w:kern w:val="0"/>
          <w:sz w:val="32"/>
          <w:szCs w:val="32"/>
          <w:lang w:val="en-US" w:eastAsia="zh-CN"/>
        </w:rPr>
        <w:t>年</w:t>
      </w:r>
      <w:r>
        <w:rPr>
          <w:rFonts w:hint="eastAsia" w:ascii="方正仿宋_GBK" w:hAnsi="方正仿宋_GBK" w:eastAsia="方正仿宋_GBK" w:cs="方正仿宋_GBK"/>
          <w:color w:val="000000"/>
          <w:kern w:val="0"/>
          <w:sz w:val="32"/>
          <w:szCs w:val="32"/>
        </w:rPr>
        <w:t>。</w:t>
      </w: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shd w:val="clear" w:color="auto"/>
        <w:kinsoku/>
        <w:wordWrap/>
        <w:overflowPunct/>
        <w:topLinePunct w:val="0"/>
        <w:autoSpaceDE/>
        <w:autoSpaceDN/>
        <w:bidi w:val="0"/>
        <w:adjustRightInd/>
        <w:spacing w:line="580" w:lineRule="exact"/>
        <w:ind w:firstLine="632"/>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w:t>
      </w:r>
      <w:r>
        <w:rPr>
          <w:rFonts w:hint="default" w:ascii="Times New Roman" w:hAnsi="Times New Roman" w:eastAsia="方正仿宋_GBK" w:cs="Times New Roman"/>
          <w:color w:val="000000"/>
          <w:kern w:val="0"/>
          <w:sz w:val="32"/>
          <w:szCs w:val="32"/>
        </w:rPr>
        <w:t>1.</w:t>
      </w:r>
      <w:r>
        <w:rPr>
          <w:rFonts w:hint="eastAsia" w:ascii="方正仿宋_GBK" w:hAnsi="方正仿宋_GBK" w:eastAsia="方正仿宋_GBK" w:cs="方正仿宋_GBK"/>
          <w:color w:val="000000"/>
          <w:kern w:val="0"/>
          <w:sz w:val="32"/>
          <w:szCs w:val="32"/>
          <w:lang w:val="en-US" w:eastAsia="zh-CN"/>
        </w:rPr>
        <w:t xml:space="preserve"> 沙坪坝</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地质灾害成功避险奖励推荐表</w:t>
      </w:r>
    </w:p>
    <w:p>
      <w:pPr>
        <w:keepNext w:val="0"/>
        <w:keepLines w:val="0"/>
        <w:pageBreakBefore w:val="0"/>
        <w:widowControl/>
        <w:numPr>
          <w:ilvl w:val="0"/>
          <w:numId w:val="1"/>
        </w:numPr>
        <w:shd w:val="clear" w:color="auto"/>
        <w:kinsoku/>
        <w:wordWrap/>
        <w:overflowPunct/>
        <w:topLinePunct w:val="0"/>
        <w:autoSpaceDE/>
        <w:autoSpaceDN/>
        <w:bidi w:val="0"/>
        <w:adjustRightInd/>
        <w:spacing w:line="580" w:lineRule="exact"/>
        <w:ind w:firstLine="1600" w:firstLineChars="500"/>
        <w:jc w:val="left"/>
        <w:textAlignment w:val="auto"/>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val="en-US" w:eastAsia="zh-CN"/>
        </w:rPr>
        <w:t>沙坪坝</w:t>
      </w:r>
      <w:r>
        <w:rPr>
          <w:rFonts w:hint="eastAsia" w:ascii="方正仿宋_GBK" w:hAnsi="方正仿宋_GBK" w:eastAsia="方正仿宋_GBK" w:cs="方正仿宋_GBK"/>
          <w:color w:val="000000"/>
          <w:kern w:val="0"/>
          <w:sz w:val="32"/>
          <w:szCs w:val="32"/>
          <w:lang w:eastAsia="zh-CN"/>
        </w:rPr>
        <w:t>区</w:t>
      </w:r>
      <w:r>
        <w:rPr>
          <w:rFonts w:hint="default" w:ascii="Times New Roman" w:hAnsi="Times New Roman" w:eastAsia="方正仿宋_GBK" w:cs="Times New Roman"/>
          <w:color w:val="000000"/>
          <w:kern w:val="0"/>
          <w:sz w:val="32"/>
          <w:szCs w:val="32"/>
        </w:rPr>
        <w:t>XX</w:t>
      </w:r>
      <w:r>
        <w:rPr>
          <w:rFonts w:hint="eastAsia" w:ascii="方正仿宋_GBK" w:hAnsi="方正仿宋_GBK" w:eastAsia="方正仿宋_GBK" w:cs="方正仿宋_GBK"/>
          <w:color w:val="000000"/>
          <w:kern w:val="0"/>
          <w:sz w:val="32"/>
          <w:szCs w:val="32"/>
        </w:rPr>
        <w:t>地质灾害成功避险现场核查报告</w:t>
      </w:r>
    </w:p>
    <w:p>
      <w:r>
        <w:br w:type="page"/>
      </w:r>
    </w:p>
    <w:p>
      <w:pPr>
        <w:keepNext w:val="0"/>
        <w:keepLines w:val="0"/>
        <w:pageBreakBefore w:val="0"/>
        <w:widowControl/>
        <w:shd w:val="clear" w:color="auto"/>
        <w:kinsoku/>
        <w:wordWrap/>
        <w:overflowPunct/>
        <w:topLinePunct w:val="0"/>
        <w:bidi w:val="0"/>
        <w:spacing w:line="560" w:lineRule="exact"/>
        <w:textAlignment w:val="auto"/>
        <w:rPr>
          <w:rFonts w:hint="default" w:ascii="Times New Roman" w:hAnsi="Times New Roman" w:eastAsia="方正仿宋_GBK" w:cs="Times New Roman"/>
          <w:color w:val="333333"/>
          <w:kern w:val="0"/>
          <w:sz w:val="32"/>
          <w:szCs w:val="32"/>
        </w:rPr>
      </w:pPr>
      <w:r>
        <w:rPr>
          <w:rFonts w:hint="eastAsia" w:ascii="方正黑体_GBK" w:hAnsi="方正黑体_GBK" w:eastAsia="方正黑体_GBK" w:cs="方正黑体_GBK"/>
          <w:color w:val="000000"/>
          <w:kern w:val="0"/>
          <w:sz w:val="32"/>
          <w:szCs w:val="32"/>
        </w:rPr>
        <w:t>附件1</w:t>
      </w:r>
    </w:p>
    <w:p>
      <w:pPr>
        <w:keepNext w:val="0"/>
        <w:keepLines w:val="0"/>
        <w:pageBreakBefore w:val="0"/>
        <w:widowControl/>
        <w:shd w:val="clear" w:color="auto"/>
        <w:kinsoku/>
        <w:wordWrap/>
        <w:overflowPunct/>
        <w:topLinePunct w:val="0"/>
        <w:bidi w:val="0"/>
        <w:snapToGrid w:val="0"/>
        <w:spacing w:line="560" w:lineRule="exact"/>
        <w:contextualSpacing/>
        <w:jc w:val="center"/>
        <w:textAlignment w:val="auto"/>
        <w:rPr>
          <w:rFonts w:hint="eastAsia" w:ascii="方正小标宋_GBK" w:hAnsi="方正小标宋_GBK" w:eastAsia="方正小标宋_GBK" w:cs="方正小标宋_GBK"/>
          <w:snapToGrid w:val="0"/>
          <w:color w:val="000000"/>
          <w:kern w:val="0"/>
          <w:sz w:val="44"/>
          <w:szCs w:val="44"/>
          <w:lang w:val="en-US" w:eastAsia="zh-CN"/>
        </w:rPr>
      </w:pPr>
    </w:p>
    <w:p>
      <w:pPr>
        <w:keepNext w:val="0"/>
        <w:keepLines w:val="0"/>
        <w:pageBreakBefore w:val="0"/>
        <w:widowControl/>
        <w:shd w:val="clear" w:color="auto"/>
        <w:kinsoku/>
        <w:wordWrap/>
        <w:overflowPunct/>
        <w:topLinePunct w:val="0"/>
        <w:bidi w:val="0"/>
        <w:snapToGrid w:val="0"/>
        <w:spacing w:line="560" w:lineRule="exact"/>
        <w:contextualSpacing/>
        <w:jc w:val="center"/>
        <w:textAlignment w:val="auto"/>
        <w:rPr>
          <w:rFonts w:hint="eastAsia" w:ascii="方正小标宋_GBK" w:hAnsi="方正小标宋_GBK" w:eastAsia="方正小标宋_GBK" w:cs="方正小标宋_GBK"/>
          <w:snapToGrid w:val="0"/>
          <w:color w:val="000000"/>
          <w:kern w:val="0"/>
          <w:sz w:val="44"/>
          <w:szCs w:val="44"/>
          <w:lang w:val="en-US" w:eastAsia="zh-CN"/>
        </w:rPr>
      </w:pPr>
    </w:p>
    <w:p>
      <w:pPr>
        <w:keepNext w:val="0"/>
        <w:keepLines w:val="0"/>
        <w:pageBreakBefore w:val="0"/>
        <w:widowControl/>
        <w:shd w:val="clear" w:color="auto"/>
        <w:kinsoku/>
        <w:wordWrap/>
        <w:overflowPunct/>
        <w:topLinePunct w:val="0"/>
        <w:bidi w:val="0"/>
        <w:snapToGrid w:val="0"/>
        <w:spacing w:line="560" w:lineRule="exact"/>
        <w:contextualSpacing/>
        <w:jc w:val="center"/>
        <w:textAlignment w:val="auto"/>
        <w:rPr>
          <w:rFonts w:hint="eastAsia" w:ascii="方正小标宋_GBK" w:hAnsi="方正小标宋_GBK" w:eastAsia="方正小标宋_GBK" w:cs="方正小标宋_GBK"/>
          <w:snapToGrid w:val="0"/>
          <w:color w:val="000000"/>
          <w:kern w:val="0"/>
          <w:sz w:val="44"/>
          <w:szCs w:val="44"/>
          <w:lang w:val="en-US" w:eastAsia="zh-CN"/>
        </w:rPr>
      </w:pPr>
    </w:p>
    <w:p>
      <w:pPr>
        <w:keepNext w:val="0"/>
        <w:keepLines w:val="0"/>
        <w:pageBreakBefore w:val="0"/>
        <w:widowControl/>
        <w:shd w:val="clear" w:color="auto"/>
        <w:kinsoku/>
        <w:wordWrap/>
        <w:overflowPunct/>
        <w:topLinePunct w:val="0"/>
        <w:bidi w:val="0"/>
        <w:snapToGrid w:val="0"/>
        <w:spacing w:line="560" w:lineRule="exact"/>
        <w:contextualSpacing/>
        <w:jc w:val="center"/>
        <w:textAlignment w:val="auto"/>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lang w:val="en-US" w:eastAsia="zh-CN"/>
        </w:rPr>
        <w:t>沙坪坝</w:t>
      </w:r>
      <w:r>
        <w:rPr>
          <w:rFonts w:hint="eastAsia" w:ascii="方正小标宋_GBK" w:hAnsi="方正小标宋_GBK" w:eastAsia="方正小标宋_GBK" w:cs="方正小标宋_GBK"/>
          <w:snapToGrid w:val="0"/>
          <w:color w:val="000000"/>
          <w:kern w:val="0"/>
          <w:sz w:val="44"/>
          <w:szCs w:val="44"/>
          <w:lang w:eastAsia="zh-CN"/>
        </w:rPr>
        <w:t>区</w:t>
      </w:r>
      <w:r>
        <w:rPr>
          <w:rFonts w:hint="eastAsia" w:ascii="方正小标宋_GBK" w:hAnsi="方正小标宋_GBK" w:eastAsia="方正小标宋_GBK" w:cs="方正小标宋_GBK"/>
          <w:snapToGrid w:val="0"/>
          <w:color w:val="000000"/>
          <w:kern w:val="0"/>
          <w:sz w:val="44"/>
          <w:szCs w:val="44"/>
        </w:rPr>
        <w:t>地质灾害成功避险奖励</w:t>
      </w:r>
    </w:p>
    <w:p>
      <w:pPr>
        <w:keepNext w:val="0"/>
        <w:keepLines w:val="0"/>
        <w:pageBreakBefore w:val="0"/>
        <w:widowControl/>
        <w:shd w:val="clear" w:color="auto"/>
        <w:kinsoku/>
        <w:wordWrap/>
        <w:overflowPunct/>
        <w:topLinePunct w:val="0"/>
        <w:bidi w:val="0"/>
        <w:snapToGrid w:val="0"/>
        <w:spacing w:line="560" w:lineRule="exact"/>
        <w:contextualSpacing/>
        <w:jc w:val="center"/>
        <w:textAlignment w:val="auto"/>
        <w:rPr>
          <w:rFonts w:hint="eastAsia" w:ascii="方正小标宋_GBK" w:hAnsi="方正小标宋_GBK" w:eastAsia="方正小标宋_GBK" w:cs="方正小标宋_GBK"/>
          <w:snapToGrid w:val="0"/>
          <w:color w:val="000000"/>
          <w:kern w:val="0"/>
          <w:sz w:val="44"/>
          <w:szCs w:val="44"/>
        </w:rPr>
      </w:pPr>
    </w:p>
    <w:p>
      <w:pPr>
        <w:keepNext w:val="0"/>
        <w:keepLines w:val="0"/>
        <w:pageBreakBefore w:val="0"/>
        <w:widowControl/>
        <w:shd w:val="clear" w:color="auto"/>
        <w:kinsoku/>
        <w:wordWrap/>
        <w:overflowPunct/>
        <w:topLinePunct w:val="0"/>
        <w:bidi w:val="0"/>
        <w:snapToGrid w:val="0"/>
        <w:spacing w:line="560" w:lineRule="exact"/>
        <w:contextualSpacing/>
        <w:jc w:val="center"/>
        <w:textAlignment w:val="auto"/>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 xml:space="preserve">推 </w:t>
      </w:r>
      <w:r>
        <w:rPr>
          <w:rFonts w:hint="eastAsia" w:ascii="方正小标宋_GBK" w:hAnsi="方正小标宋_GBK" w:eastAsia="方正小标宋_GBK" w:cs="方正小标宋_GBK"/>
          <w:snapToGrid w:val="0"/>
          <w:color w:val="000000"/>
          <w:kern w:val="0"/>
          <w:sz w:val="44"/>
          <w:szCs w:val="44"/>
          <w:lang w:val="en-US" w:eastAsia="zh-CN"/>
        </w:rPr>
        <w:t xml:space="preserve"> </w:t>
      </w:r>
      <w:r>
        <w:rPr>
          <w:rFonts w:hint="eastAsia" w:ascii="方正小标宋_GBK" w:hAnsi="方正小标宋_GBK" w:eastAsia="方正小标宋_GBK" w:cs="方正小标宋_GBK"/>
          <w:snapToGrid w:val="0"/>
          <w:color w:val="000000"/>
          <w:kern w:val="0"/>
          <w:sz w:val="44"/>
          <w:szCs w:val="44"/>
        </w:rPr>
        <w:t xml:space="preserve">荐 </w:t>
      </w:r>
      <w:r>
        <w:rPr>
          <w:rFonts w:hint="eastAsia" w:ascii="方正小标宋_GBK" w:hAnsi="方正小标宋_GBK" w:eastAsia="方正小标宋_GBK" w:cs="方正小标宋_GBK"/>
          <w:snapToGrid w:val="0"/>
          <w:color w:val="000000"/>
          <w:kern w:val="0"/>
          <w:sz w:val="44"/>
          <w:szCs w:val="44"/>
          <w:lang w:val="en-US" w:eastAsia="zh-CN"/>
        </w:rPr>
        <w:t xml:space="preserve"> </w:t>
      </w:r>
      <w:r>
        <w:rPr>
          <w:rFonts w:hint="eastAsia" w:ascii="方正小标宋_GBK" w:hAnsi="方正小标宋_GBK" w:eastAsia="方正小标宋_GBK" w:cs="方正小标宋_GBK"/>
          <w:snapToGrid w:val="0"/>
          <w:color w:val="000000"/>
          <w:kern w:val="0"/>
          <w:sz w:val="44"/>
          <w:szCs w:val="44"/>
        </w:rPr>
        <w:t>表</w:t>
      </w: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shd w:val="clear"/>
        <w:kinsoku/>
        <w:wordWrap/>
        <w:overflowPunct/>
        <w:topLinePunct w:val="0"/>
        <w:autoSpaceDE w:val="0"/>
        <w:autoSpaceDN w:val="0"/>
        <w:bidi w:val="0"/>
        <w:adjustRightInd w:val="0"/>
        <w:spacing w:line="560" w:lineRule="exact"/>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推荐对象：</w:t>
      </w:r>
      <w:r>
        <w:rPr>
          <w:rFonts w:hint="default" w:ascii="Times New Roman" w:hAnsi="Times New Roman" w:eastAsia="方正仿宋_GBK" w:cs="Times New Roman"/>
          <w:snapToGrid w:val="0"/>
          <w:color w:val="000000"/>
          <w:kern w:val="0"/>
          <w:sz w:val="32"/>
          <w:szCs w:val="32"/>
          <w:u w:val="single"/>
        </w:rPr>
        <w:t xml:space="preserve">            </w:t>
      </w:r>
      <w:r>
        <w:rPr>
          <w:rFonts w:hint="eastAsia" w:ascii="Times New Roman" w:hAnsi="Times New Roman" w:eastAsia="方正仿宋_GBK" w:cs="Times New Roman"/>
          <w:snapToGrid w:val="0"/>
          <w:color w:val="000000"/>
          <w:kern w:val="0"/>
          <w:sz w:val="32"/>
          <w:szCs w:val="32"/>
          <w:u w:val="single"/>
          <w:lang w:val="en-US" w:eastAsia="zh-CN"/>
        </w:rPr>
        <w:t xml:space="preserve">      </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FFFFFF"/>
          <w:kern w:val="0"/>
          <w:sz w:val="32"/>
          <w:szCs w:val="32"/>
          <w:u w:val="single"/>
        </w:rPr>
        <w:t>1</w:t>
      </w:r>
    </w:p>
    <w:p>
      <w:pPr>
        <w:keepNext w:val="0"/>
        <w:keepLines w:val="0"/>
        <w:pageBreakBefore w:val="0"/>
        <w:shd w:val="clear"/>
        <w:kinsoku/>
        <w:wordWrap/>
        <w:overflowPunct/>
        <w:topLinePunct w:val="0"/>
        <w:autoSpaceDE w:val="0"/>
        <w:autoSpaceDN w:val="0"/>
        <w:bidi w:val="0"/>
        <w:adjustRightInd w:val="0"/>
        <w:spacing w:line="560" w:lineRule="exact"/>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推荐单位：</w:t>
      </w:r>
      <w:r>
        <w:rPr>
          <w:rFonts w:hint="default" w:ascii="Times New Roman" w:hAnsi="Times New Roman" w:eastAsia="方正仿宋_GBK" w:cs="Times New Roman"/>
          <w:snapToGrid w:val="0"/>
          <w:color w:val="000000"/>
          <w:kern w:val="0"/>
          <w:sz w:val="32"/>
          <w:szCs w:val="32"/>
          <w:u w:val="single"/>
        </w:rPr>
        <w:t xml:space="preserve">            </w:t>
      </w:r>
      <w:r>
        <w:rPr>
          <w:rFonts w:hint="eastAsia" w:ascii="Times New Roman" w:hAnsi="Times New Roman" w:eastAsia="方正仿宋_GBK" w:cs="Times New Roman"/>
          <w:snapToGrid w:val="0"/>
          <w:color w:val="000000"/>
          <w:kern w:val="0"/>
          <w:sz w:val="32"/>
          <w:szCs w:val="32"/>
          <w:u w:val="single"/>
          <w:lang w:val="en-US" w:eastAsia="zh-CN"/>
        </w:rPr>
        <w:t xml:space="preserve">      </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FFFFFF"/>
          <w:kern w:val="0"/>
          <w:sz w:val="32"/>
          <w:szCs w:val="32"/>
          <w:u w:val="single"/>
        </w:rPr>
        <w:t>1</w:t>
      </w:r>
    </w:p>
    <w:p>
      <w:pPr>
        <w:keepNext w:val="0"/>
        <w:keepLines w:val="0"/>
        <w:pageBreakBefore w:val="0"/>
        <w:shd w:val="clear"/>
        <w:kinsoku/>
        <w:wordWrap/>
        <w:overflowPunct/>
        <w:topLinePunct w:val="0"/>
        <w:autoSpaceDE w:val="0"/>
        <w:autoSpaceDN w:val="0"/>
        <w:bidi w:val="0"/>
        <w:adjustRightInd w:val="0"/>
        <w:spacing w:line="560" w:lineRule="exact"/>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填报时间：</w:t>
      </w:r>
      <w:r>
        <w:rPr>
          <w:rFonts w:hint="default" w:ascii="Times New Roman" w:hAnsi="Times New Roman" w:eastAsia="方正仿宋_GBK" w:cs="Times New Roman"/>
          <w:snapToGrid w:val="0"/>
          <w:color w:val="000000"/>
          <w:kern w:val="0"/>
          <w:sz w:val="32"/>
          <w:szCs w:val="32"/>
          <w:u w:val="single"/>
        </w:rPr>
        <w:t xml:space="preserve">   </w:t>
      </w:r>
      <w:r>
        <w:rPr>
          <w:rFonts w:hint="eastAsia" w:ascii="Times New Roman" w:hAnsi="Times New Roman" w:eastAsia="方正仿宋_GBK" w:cs="Times New Roman"/>
          <w:snapToGrid w:val="0"/>
          <w:color w:val="000000"/>
          <w:kern w:val="0"/>
          <w:sz w:val="32"/>
          <w:szCs w:val="32"/>
          <w:u w:val="single"/>
          <w:lang w:val="en-US" w:eastAsia="zh-CN"/>
        </w:rPr>
        <w:t xml:space="preserve">  </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000000"/>
          <w:kern w:val="0"/>
          <w:sz w:val="32"/>
          <w:szCs w:val="32"/>
        </w:rPr>
        <w:t>年</w:t>
      </w:r>
      <w:r>
        <w:rPr>
          <w:rFonts w:hint="default" w:ascii="Times New Roman" w:hAnsi="Times New Roman" w:eastAsia="方正仿宋_GBK" w:cs="Times New Roman"/>
          <w:snapToGrid w:val="0"/>
          <w:color w:val="000000"/>
          <w:kern w:val="0"/>
          <w:sz w:val="32"/>
          <w:szCs w:val="32"/>
          <w:u w:val="single"/>
        </w:rPr>
        <w:t xml:space="preserve">  </w:t>
      </w:r>
      <w:r>
        <w:rPr>
          <w:rFonts w:hint="eastAsia" w:ascii="Times New Roman" w:hAnsi="Times New Roman" w:eastAsia="方正仿宋_GBK" w:cs="Times New Roman"/>
          <w:snapToGrid w:val="0"/>
          <w:color w:val="000000"/>
          <w:kern w:val="0"/>
          <w:sz w:val="32"/>
          <w:szCs w:val="32"/>
          <w:u w:val="single"/>
          <w:lang w:val="en-US" w:eastAsia="zh-CN"/>
        </w:rPr>
        <w:t xml:space="preserve">  </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000000"/>
          <w:kern w:val="0"/>
          <w:sz w:val="32"/>
          <w:szCs w:val="32"/>
        </w:rPr>
        <w:t>月</w:t>
      </w:r>
      <w:r>
        <w:rPr>
          <w:rFonts w:hint="default" w:ascii="Times New Roman" w:hAnsi="Times New Roman" w:eastAsia="方正仿宋_GBK" w:cs="Times New Roman"/>
          <w:snapToGrid w:val="0"/>
          <w:color w:val="000000"/>
          <w:kern w:val="0"/>
          <w:sz w:val="32"/>
          <w:szCs w:val="32"/>
          <w:u w:val="single"/>
        </w:rPr>
        <w:t xml:space="preserve">  </w:t>
      </w:r>
      <w:r>
        <w:rPr>
          <w:rFonts w:hint="eastAsia" w:ascii="Times New Roman" w:hAnsi="Times New Roman" w:eastAsia="方正仿宋_GBK" w:cs="Times New Roman"/>
          <w:snapToGrid w:val="0"/>
          <w:color w:val="000000"/>
          <w:kern w:val="0"/>
          <w:sz w:val="32"/>
          <w:szCs w:val="32"/>
          <w:u w:val="single"/>
          <w:lang w:val="en-US" w:eastAsia="zh-CN"/>
        </w:rPr>
        <w:t xml:space="preserve">  </w:t>
      </w:r>
      <w:r>
        <w:rPr>
          <w:rFonts w:hint="default" w:ascii="Times New Roman" w:hAnsi="Times New Roman" w:eastAsia="方正仿宋_GBK" w:cs="Times New Roman"/>
          <w:snapToGrid w:val="0"/>
          <w:color w:val="000000"/>
          <w:kern w:val="0"/>
          <w:sz w:val="32"/>
          <w:szCs w:val="32"/>
          <w:u w:val="single"/>
        </w:rPr>
        <w:t xml:space="preserve">  </w:t>
      </w:r>
      <w:r>
        <w:rPr>
          <w:rFonts w:hint="default" w:ascii="Times New Roman" w:hAnsi="Times New Roman" w:eastAsia="方正仿宋_GBK" w:cs="Times New Roman"/>
          <w:snapToGrid w:val="0"/>
          <w:color w:val="000000"/>
          <w:kern w:val="0"/>
          <w:sz w:val="32"/>
          <w:szCs w:val="32"/>
        </w:rPr>
        <w:t>日</w:t>
      </w: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kinsoku/>
        <w:wordWrap/>
        <w:overflowPunct/>
        <w:topLinePunct w:val="0"/>
        <w:bidi w:val="0"/>
        <w:spacing w:line="560" w:lineRule="exact"/>
        <w:jc w:val="center"/>
        <w:textAlignment w:val="auto"/>
        <w:rPr>
          <w:rFonts w:hint="default" w:ascii="Times New Roman" w:hAnsi="Times New Roman" w:eastAsia="方正仿宋_GBK" w:cs="Times New Roman"/>
          <w:color w:val="000000"/>
          <w:kern w:val="0"/>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shd w:val="clear" w:color="auto"/>
        <w:kinsoku/>
        <w:wordWrap/>
        <w:overflowPunct/>
        <w:topLinePunct w:val="0"/>
        <w:bidi w:val="0"/>
        <w:spacing w:line="560" w:lineRule="exact"/>
        <w:jc w:val="center"/>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shd w:val="clear" w:color="auto"/>
        <w:kinsoku/>
        <w:wordWrap/>
        <w:overflowPunct/>
        <w:topLinePunct w:val="0"/>
        <w:bidi w:val="0"/>
        <w:spacing w:line="560" w:lineRule="exact"/>
        <w:jc w:val="center"/>
        <w:textAlignment w:val="auto"/>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000000"/>
          <w:kern w:val="0"/>
          <w:sz w:val="32"/>
          <w:szCs w:val="32"/>
        </w:rPr>
        <w:t>填 表 说 明</w:t>
      </w:r>
    </w:p>
    <w:p>
      <w:pPr>
        <w:keepNext w:val="0"/>
        <w:keepLines w:val="0"/>
        <w:pageBreakBefore w:val="0"/>
        <w:widowControl/>
        <w:shd w:val="clear" w:color="auto"/>
        <w:kinsoku/>
        <w:wordWrap/>
        <w:overflowPunct/>
        <w:topLinePunct w:val="0"/>
        <w:bidi w:val="0"/>
        <w:spacing w:line="560" w:lineRule="exact"/>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kinsoku/>
        <w:wordWrap/>
        <w:overflowPunct/>
        <w:topLinePunct w:val="0"/>
        <w:bidi w:val="0"/>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1．本表由拟推荐的地质灾害成功避险事件发生地区</w:t>
      </w:r>
      <w:r>
        <w:rPr>
          <w:rFonts w:hint="default" w:ascii="Times New Roman" w:hAnsi="Times New Roman" w:eastAsia="方正仿宋_GBK" w:cs="Times New Roman"/>
          <w:color w:val="000000"/>
          <w:kern w:val="0"/>
          <w:sz w:val="32"/>
          <w:szCs w:val="32"/>
          <w:lang w:val="en-US" w:eastAsia="zh-CN"/>
        </w:rPr>
        <w:t>的</w:t>
      </w:r>
      <w:r>
        <w:rPr>
          <w:rFonts w:hint="default" w:ascii="Times New Roman" w:hAnsi="Times New Roman" w:eastAsia="方正仿宋_GBK" w:cs="Times New Roman"/>
          <w:color w:val="000000"/>
          <w:sz w:val="32"/>
          <w:szCs w:val="32"/>
        </w:rPr>
        <w:t>镇人民政府（街道办事处）、各级党政机关、事业单位、相关委托或购买服务的地质灾害防治单位</w:t>
      </w:r>
      <w:r>
        <w:rPr>
          <w:rFonts w:hint="default" w:ascii="Times New Roman" w:hAnsi="Times New Roman" w:eastAsia="方正仿宋_GBK" w:cs="Times New Roman"/>
          <w:color w:val="000000"/>
          <w:kern w:val="0"/>
          <w:sz w:val="32"/>
          <w:szCs w:val="32"/>
        </w:rPr>
        <w:t>填写。</w:t>
      </w:r>
    </w:p>
    <w:p>
      <w:pPr>
        <w:keepNext w:val="0"/>
        <w:keepLines w:val="0"/>
        <w:pageBreakBefore w:val="0"/>
        <w:widowControl/>
        <w:shd w:val="clear" w:color="auto"/>
        <w:kinsoku/>
        <w:wordWrap/>
        <w:overflowPunct/>
        <w:topLinePunct w:val="0"/>
        <w:bidi w:val="0"/>
        <w:spacing w:line="560" w:lineRule="exact"/>
        <w:ind w:firstLine="48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2．地质灾害成功避险先进事迹：主要介绍所推荐的个人和单位在地质灾害前兆信息的发现、研判上报、组织协助避险转移过程中的先进事迹。要求材料真实，事迹突出，文字精炼。</w:t>
      </w:r>
    </w:p>
    <w:p>
      <w:pPr>
        <w:keepNext w:val="0"/>
        <w:keepLines w:val="0"/>
        <w:pageBreakBefore w:val="0"/>
        <w:widowControl/>
        <w:shd w:val="clear" w:color="auto"/>
        <w:kinsoku/>
        <w:wordWrap/>
        <w:overflowPunct/>
        <w:topLinePunct w:val="0"/>
        <w:bidi w:val="0"/>
        <w:spacing w:line="560" w:lineRule="exact"/>
        <w:ind w:firstLine="48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3．填报单位意见必须由单位主要负责人签字并加盖单位公章。</w:t>
      </w:r>
    </w:p>
    <w:p>
      <w:pPr>
        <w:keepNext w:val="0"/>
        <w:keepLines w:val="0"/>
        <w:pageBreakBefore w:val="0"/>
        <w:widowControl/>
        <w:shd w:val="clear" w:color="auto"/>
        <w:kinsoku/>
        <w:wordWrap/>
        <w:overflowPunct/>
        <w:topLinePunct w:val="0"/>
        <w:bidi w:val="0"/>
        <w:spacing w:line="560" w:lineRule="exact"/>
        <w:ind w:firstLine="480"/>
        <w:jc w:val="left"/>
        <w:textAlignment w:val="auto"/>
        <w:rPr>
          <w:rFonts w:hint="default" w:ascii="Times New Roman" w:hAnsi="Times New Roman" w:eastAsia="方正仿宋_GBK" w:cs="Times New Roman"/>
          <w:color w:val="000000"/>
          <w:kern w:val="0"/>
          <w:sz w:val="32"/>
          <w:szCs w:val="32"/>
        </w:rPr>
        <w:sectPr>
          <w:footerReference r:id="rId6" w:type="default"/>
          <w:pgSz w:w="11906" w:h="16838"/>
          <w:pgMar w:top="1440" w:right="1800" w:bottom="1440" w:left="1800" w:header="907" w:footer="1020" w:gutter="0"/>
          <w:pgNumType w:fmt="numberInDash"/>
          <w:cols w:space="720" w:num="1"/>
          <w:docGrid w:type="lines" w:linePitch="312" w:charSpace="0"/>
        </w:sectPr>
      </w:pPr>
    </w:p>
    <w:tbl>
      <w:tblPr>
        <w:tblStyle w:val="4"/>
        <w:tblW w:w="5062"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19"/>
        <w:gridCol w:w="975"/>
        <w:gridCol w:w="1495"/>
        <w:gridCol w:w="915"/>
        <w:gridCol w:w="302"/>
        <w:gridCol w:w="1082"/>
        <w:gridCol w:w="706"/>
        <w:gridCol w:w="809"/>
        <w:gridCol w:w="12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79" w:hRule="atLeast"/>
          <w:jc w:val="center"/>
        </w:trPr>
        <w:tc>
          <w:tcPr>
            <w:tcW w:w="546" w:type="pct"/>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推荐单位简况</w:t>
            </w:r>
          </w:p>
        </w:tc>
        <w:tc>
          <w:tcPr>
            <w:tcW w:w="1466"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单位名称</w:t>
            </w:r>
          </w:p>
        </w:tc>
        <w:tc>
          <w:tcPr>
            <w:tcW w:w="2986" w:type="pct"/>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69" w:hRule="atLeast"/>
          <w:jc w:val="center"/>
        </w:trPr>
        <w:tc>
          <w:tcPr>
            <w:tcW w:w="546" w:type="pct"/>
            <w:vMerge w:val="continue"/>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579"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性质</w:t>
            </w:r>
          </w:p>
        </w:tc>
        <w:tc>
          <w:tcPr>
            <w:tcW w:w="887"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721"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隶属</w:t>
            </w:r>
          </w:p>
        </w:tc>
        <w:tc>
          <w:tcPr>
            <w:tcW w:w="64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899"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p>
        </w:tc>
        <w:tc>
          <w:tcPr>
            <w:tcW w:w="723"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6" w:hRule="atLeast"/>
          <w:jc w:val="center"/>
        </w:trPr>
        <w:tc>
          <w:tcPr>
            <w:tcW w:w="546" w:type="pct"/>
            <w:vMerge w:val="continue"/>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1466"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参与成功避险</w:t>
            </w:r>
          </w:p>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人员名单</w:t>
            </w:r>
          </w:p>
        </w:tc>
        <w:tc>
          <w:tcPr>
            <w:tcW w:w="2986" w:type="pct"/>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1" w:hRule="atLeast"/>
          <w:jc w:val="center"/>
        </w:trPr>
        <w:tc>
          <w:tcPr>
            <w:tcW w:w="546" w:type="pct"/>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推荐个人简况</w:t>
            </w:r>
          </w:p>
        </w:tc>
        <w:tc>
          <w:tcPr>
            <w:tcW w:w="579"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887"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721"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64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899"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出生年月</w:t>
            </w:r>
          </w:p>
        </w:tc>
        <w:tc>
          <w:tcPr>
            <w:tcW w:w="723"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95" w:hRule="atLeast"/>
          <w:jc w:val="center"/>
        </w:trPr>
        <w:tc>
          <w:tcPr>
            <w:tcW w:w="546" w:type="pct"/>
            <w:vMerge w:val="continue"/>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579"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民族</w:t>
            </w:r>
          </w:p>
        </w:tc>
        <w:tc>
          <w:tcPr>
            <w:tcW w:w="887"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721"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w:t>
            </w:r>
          </w:p>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水平</w:t>
            </w:r>
          </w:p>
        </w:tc>
        <w:tc>
          <w:tcPr>
            <w:tcW w:w="64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899"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政治面貌</w:t>
            </w:r>
          </w:p>
        </w:tc>
        <w:tc>
          <w:tcPr>
            <w:tcW w:w="723"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1" w:hRule="atLeast"/>
          <w:jc w:val="center"/>
        </w:trPr>
        <w:tc>
          <w:tcPr>
            <w:tcW w:w="546" w:type="pct"/>
            <w:vMerge w:val="continue"/>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579"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职业</w:t>
            </w:r>
          </w:p>
        </w:tc>
        <w:tc>
          <w:tcPr>
            <w:tcW w:w="1609" w:type="pct"/>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642" w:type="pc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职务</w:t>
            </w:r>
          </w:p>
        </w:tc>
        <w:tc>
          <w:tcPr>
            <w:tcW w:w="1622" w:type="pct"/>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43" w:hRule="atLeast"/>
          <w:jc w:val="center"/>
        </w:trPr>
        <w:tc>
          <w:tcPr>
            <w:tcW w:w="1125"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避免伤亡人数（人）</w:t>
            </w:r>
          </w:p>
        </w:tc>
        <w:tc>
          <w:tcPr>
            <w:tcW w:w="3874" w:type="pct"/>
            <w:gridSpan w:val="7"/>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shd w:val="clear"/>
              <w:kinsoku/>
              <w:wordWrap/>
              <w:overflowPunct/>
              <w:topLinePunct w:val="0"/>
              <w:autoSpaceDE/>
              <w:autoSpaceDN/>
              <w:bidi w:val="0"/>
              <w:snapToGrid w:val="0"/>
              <w:spacing w:line="560" w:lineRule="exact"/>
              <w:jc w:val="center"/>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5" w:hRule="atLeast"/>
          <w:jc w:val="center"/>
        </w:trPr>
        <w:tc>
          <w:tcPr>
            <w:tcW w:w="1125"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成功避险</w:t>
            </w:r>
          </w:p>
          <w:p>
            <w:pPr>
              <w:pStyle w:val="6"/>
              <w:keepNext w:val="0"/>
              <w:keepLines w:val="0"/>
              <w:pageBreakBefore w:val="0"/>
              <w:widowControl/>
              <w:shd w:val="clear"/>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灾害名称</w:t>
            </w:r>
          </w:p>
        </w:tc>
        <w:tc>
          <w:tcPr>
            <w:tcW w:w="3874" w:type="pct"/>
            <w:gridSpan w:val="7"/>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重庆市</w:t>
            </w:r>
            <w:r>
              <w:rPr>
                <w:rFonts w:hint="default" w:ascii="Times New Roman" w:hAnsi="Times New Roman" w:eastAsia="方正仿宋_GBK" w:cs="Times New Roman"/>
                <w:sz w:val="32"/>
                <w:szCs w:val="32"/>
                <w:lang w:val="en-US" w:eastAsia="zh-CN"/>
              </w:rPr>
              <w:t>沙坪坝区</w:t>
            </w:r>
            <w:r>
              <w:rPr>
                <w:rFonts w:hint="default" w:ascii="Times New Roman" w:hAnsi="Times New Roman" w:eastAsia="方正仿宋_GBK" w:cs="Times New Roman"/>
                <w:sz w:val="32"/>
                <w:szCs w:val="32"/>
              </w:rPr>
              <w:t>XX镇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街道）XX村（社区）XX滑坡（崩塌、泥石流等）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78" w:hRule="atLeast"/>
          <w:jc w:val="center"/>
        </w:trPr>
        <w:tc>
          <w:tcPr>
            <w:tcW w:w="1125"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灾害规模（m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w:t>
            </w:r>
          </w:p>
        </w:tc>
        <w:tc>
          <w:tcPr>
            <w:tcW w:w="1430"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c>
          <w:tcPr>
            <w:tcW w:w="1240" w:type="pct"/>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避免财产损失</w:t>
            </w:r>
          </w:p>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（万元）</w:t>
            </w:r>
          </w:p>
        </w:tc>
        <w:tc>
          <w:tcPr>
            <w:tcW w:w="1203"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10" w:hRule="atLeast"/>
          <w:jc w:val="center"/>
        </w:trPr>
        <w:tc>
          <w:tcPr>
            <w:tcW w:w="5000" w:type="pct"/>
            <w:gridSpan w:val="9"/>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shd w:val="clear"/>
              <w:kinsoku/>
              <w:wordWrap/>
              <w:overflowPunct/>
              <w:topLinePunct w:val="0"/>
              <w:autoSpaceDE/>
              <w:autoSpaceDN/>
              <w:bidi w:val="0"/>
              <w:snapToGrid w:val="0"/>
              <w:spacing w:line="560" w:lineRule="exact"/>
              <w:ind w:left="0" w:leftChars="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地质灾害成功避险先进事迹（不超</w:t>
            </w:r>
            <w:r>
              <w:rPr>
                <w:rFonts w:hint="default" w:ascii="Times New Roman" w:hAnsi="Times New Roman" w:eastAsia="方正仿宋_GBK" w:cs="Times New Roman"/>
                <w:sz w:val="32"/>
                <w:szCs w:val="32"/>
              </w:rPr>
              <w:t>过800</w:t>
            </w:r>
            <w:r>
              <w:rPr>
                <w:rFonts w:hint="eastAsia" w:ascii="方正仿宋_GBK" w:hAnsi="方正仿宋_GBK" w:eastAsia="方正仿宋_GBK" w:cs="方正仿宋_GBK"/>
                <w:sz w:val="32"/>
                <w:szCs w:val="32"/>
              </w:rPr>
              <w:t>字，可另附页）：</w:t>
            </w:r>
          </w:p>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56" w:hRule="atLeast"/>
          <w:jc w:val="center"/>
        </w:trPr>
        <w:tc>
          <w:tcPr>
            <w:tcW w:w="5000" w:type="pct"/>
            <w:gridSpan w:val="9"/>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shd w:val="clear"/>
              <w:kinsoku/>
              <w:wordWrap/>
              <w:overflowPunct/>
              <w:topLinePunct w:val="0"/>
              <w:autoSpaceDE/>
              <w:autoSpaceDN/>
              <w:bidi w:val="0"/>
              <w:snapToGrid w:val="0"/>
              <w:spacing w:line="560" w:lineRule="exact"/>
              <w:textAlignment w:val="auto"/>
              <w:rPr>
                <w:rFonts w:hint="eastAsia" w:ascii="方正仿宋_GBK" w:hAnsi="方正仿宋_GBK" w:eastAsia="方正仿宋_GBK" w:cs="方正仿宋_GBK"/>
                <w:sz w:val="32"/>
                <w:szCs w:val="32"/>
              </w:rPr>
            </w:pPr>
          </w:p>
          <w:p>
            <w:pPr>
              <w:pStyle w:val="6"/>
              <w:keepNext w:val="0"/>
              <w:keepLines w:val="0"/>
              <w:pageBreakBefore w:val="0"/>
              <w:shd w:val="clear"/>
              <w:kinsoku/>
              <w:wordWrap/>
              <w:overflowPunct/>
              <w:topLinePunct w:val="0"/>
              <w:autoSpaceDE/>
              <w:autoSpaceDN/>
              <w:bidi w:val="0"/>
              <w:snapToGrid w:val="0"/>
              <w:spacing w:line="560" w:lineRule="exact"/>
              <w:textAlignment w:val="auto"/>
              <w:rPr>
                <w:rFonts w:hint="eastAsia" w:ascii="方正仿宋_GBK" w:hAnsi="方正仿宋_GBK" w:eastAsia="方正仿宋_GBK" w:cs="方正仿宋_GBK"/>
                <w:sz w:val="32"/>
                <w:szCs w:val="32"/>
              </w:rPr>
            </w:pPr>
          </w:p>
          <w:p>
            <w:pPr>
              <w:pStyle w:val="6"/>
              <w:keepNext w:val="0"/>
              <w:keepLines w:val="0"/>
              <w:pageBreakBefore w:val="0"/>
              <w:shd w:val="clear"/>
              <w:kinsoku/>
              <w:wordWrap/>
              <w:overflowPunct/>
              <w:topLinePunct w:val="0"/>
              <w:autoSpaceDE/>
              <w:autoSpaceDN/>
              <w:bidi w:val="0"/>
              <w:snapToGrid w:val="0"/>
              <w:spacing w:line="560" w:lineRule="exact"/>
              <w:jc w:val="both"/>
              <w:textAlignment w:val="auto"/>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1125"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填报意见</w:t>
            </w:r>
          </w:p>
        </w:tc>
        <w:tc>
          <w:tcPr>
            <w:tcW w:w="3874" w:type="pct"/>
            <w:gridSpan w:val="7"/>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6"/>
              <w:keepNext w:val="0"/>
              <w:keepLines w:val="0"/>
              <w:pageBreakBefore w:val="0"/>
              <w:widowControl/>
              <w:shd w:val="clear"/>
              <w:kinsoku/>
              <w:wordWrap w:val="0"/>
              <w:overflowPunct/>
              <w:topLinePunct w:val="0"/>
              <w:autoSpaceDE/>
              <w:autoSpaceDN/>
              <w:bidi w:val="0"/>
              <w:adjustRightInd w:val="0"/>
              <w:snapToGrid w:val="0"/>
              <w:spacing w:line="56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（公章）</w:t>
            </w:r>
            <w:r>
              <w:rPr>
                <w:rFonts w:hint="eastAsia" w:ascii="方正仿宋_GBK" w:hAnsi="方正仿宋_GBK" w:eastAsia="方正仿宋_GBK" w:cs="方正仿宋_GBK"/>
                <w:sz w:val="32"/>
                <w:szCs w:val="32"/>
                <w:lang w:val="en-US" w:eastAsia="zh-CN"/>
              </w:rPr>
              <w:t xml:space="preserve">      </w:t>
            </w:r>
          </w:p>
          <w:p>
            <w:pPr>
              <w:pStyle w:val="6"/>
              <w:keepNext w:val="0"/>
              <w:keepLines w:val="0"/>
              <w:pageBreakBefore w:val="0"/>
              <w:widowControl/>
              <w:shd w:val="clear"/>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主要负责人签字：</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规划自然资源局意见</w:t>
            </w:r>
          </w:p>
        </w:tc>
        <w:tc>
          <w:tcPr>
            <w:tcW w:w="3874" w:type="pct"/>
            <w:gridSpan w:val="7"/>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规划自然资源局（公章）</w:t>
            </w:r>
          </w:p>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lang w:val="en-US" w:eastAsia="zh-CN"/>
              </w:rPr>
              <w:t>应急管理</w:t>
            </w:r>
            <w:r>
              <w:rPr>
                <w:rFonts w:hint="eastAsia" w:ascii="方正仿宋_GBK" w:hAnsi="方正仿宋_GBK" w:eastAsia="方正仿宋_GBK" w:cs="方正仿宋_GBK"/>
                <w:sz w:val="32"/>
                <w:szCs w:val="32"/>
              </w:rPr>
              <w:t>局意见</w:t>
            </w:r>
          </w:p>
        </w:tc>
        <w:tc>
          <w:tcPr>
            <w:tcW w:w="3874" w:type="pct"/>
            <w:gridSpan w:val="7"/>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pPr>
          </w:p>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pPr>
          </w:p>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lang w:val="en-US" w:eastAsia="zh-CN"/>
              </w:rPr>
              <w:t>应急管理</w:t>
            </w:r>
            <w:r>
              <w:rPr>
                <w:rFonts w:hint="eastAsia" w:ascii="方正仿宋_GBK" w:hAnsi="方正仿宋_GBK" w:eastAsia="方正仿宋_GBK" w:cs="方正仿宋_GBK"/>
                <w:sz w:val="32"/>
                <w:szCs w:val="32"/>
              </w:rPr>
              <w:t>局（公章）</w:t>
            </w:r>
          </w:p>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pct"/>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lang w:val="en-US" w:eastAsia="zh-CN"/>
              </w:rPr>
              <w:t>财政</w:t>
            </w:r>
            <w:r>
              <w:rPr>
                <w:rFonts w:hint="eastAsia" w:ascii="方正仿宋_GBK" w:hAnsi="方正仿宋_GBK" w:eastAsia="方正仿宋_GBK" w:cs="方正仿宋_GBK"/>
                <w:sz w:val="32"/>
                <w:szCs w:val="32"/>
              </w:rPr>
              <w:t>局意见</w:t>
            </w:r>
          </w:p>
        </w:tc>
        <w:tc>
          <w:tcPr>
            <w:tcW w:w="3874" w:type="pct"/>
            <w:gridSpan w:val="7"/>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pPr>
          </w:p>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pPr>
          </w:p>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lang w:val="en-US" w:eastAsia="zh-CN"/>
              </w:rPr>
              <w:t>财政</w:t>
            </w:r>
            <w:r>
              <w:rPr>
                <w:rFonts w:hint="eastAsia" w:ascii="方正仿宋_GBK" w:hAnsi="方正仿宋_GBK" w:eastAsia="方正仿宋_GBK" w:cs="方正仿宋_GBK"/>
                <w:sz w:val="32"/>
                <w:szCs w:val="32"/>
              </w:rPr>
              <w:t>局（公章）</w:t>
            </w:r>
          </w:p>
          <w:p>
            <w:pPr>
              <w:pStyle w:val="6"/>
              <w:keepNext w:val="0"/>
              <w:keepLines w:val="0"/>
              <w:pageBreakBefore w:val="0"/>
              <w:widowControl/>
              <w:shd w:val="clear"/>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tc>
      </w:tr>
    </w:tbl>
    <w:p>
      <w:pPr>
        <w:jc w:val="left"/>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注：推荐表A4双面打印，2页4面。</w:t>
      </w:r>
    </w:p>
    <w:p>
      <w:pP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br w:type="page"/>
      </w:r>
    </w:p>
    <w:p>
      <w:pPr>
        <w:keepNext w:val="0"/>
        <w:keepLines w:val="0"/>
        <w:pageBreakBefore w:val="0"/>
        <w:widowControl/>
        <w:shd w:val="clear" w:color="auto"/>
        <w:kinsoku/>
        <w:wordWrap/>
        <w:overflowPunct/>
        <w:topLinePunct w:val="0"/>
        <w:bidi w:val="0"/>
        <w:spacing w:line="560" w:lineRule="exact"/>
        <w:textAlignment w:val="auto"/>
        <w:rPr>
          <w:rFonts w:hint="eastAsia"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000000"/>
          <w:kern w:val="0"/>
          <w:sz w:val="32"/>
          <w:szCs w:val="32"/>
        </w:rPr>
        <w:t>附件2</w:t>
      </w:r>
    </w:p>
    <w:p>
      <w:pPr>
        <w:keepNext w:val="0"/>
        <w:keepLines w:val="0"/>
        <w:pageBreakBefore w:val="0"/>
        <w:widowControl/>
        <w:shd w:val="clear" w:color="auto"/>
        <w:kinsoku/>
        <w:wordWrap/>
        <w:overflowPunct/>
        <w:topLinePunct w:val="0"/>
        <w:bidi w:val="0"/>
        <w:snapToGrid w:val="0"/>
        <w:spacing w:line="560" w:lineRule="exact"/>
        <w:contextualSpacing/>
        <w:jc w:val="center"/>
        <w:textAlignment w:val="auto"/>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lang w:val="en-US" w:eastAsia="zh-CN"/>
        </w:rPr>
        <w:t>沙坪坝</w:t>
      </w:r>
      <w:r>
        <w:rPr>
          <w:rFonts w:hint="eastAsia" w:ascii="方正小标宋_GBK" w:hAnsi="方正小标宋_GBK" w:eastAsia="方正小标宋_GBK" w:cs="方正小标宋_GBK"/>
          <w:snapToGrid w:val="0"/>
          <w:color w:val="000000"/>
          <w:kern w:val="0"/>
          <w:sz w:val="44"/>
          <w:szCs w:val="44"/>
          <w:lang w:eastAsia="zh-CN"/>
        </w:rPr>
        <w:t>区</w:t>
      </w:r>
      <w:r>
        <w:rPr>
          <w:rFonts w:hint="default" w:ascii="Times New Roman" w:hAnsi="Times New Roman" w:eastAsia="方正小标宋_GBK" w:cs="Times New Roman"/>
          <w:snapToGrid w:val="0"/>
          <w:color w:val="000000"/>
          <w:kern w:val="0"/>
          <w:sz w:val="44"/>
          <w:szCs w:val="44"/>
          <w:lang w:val="en-US" w:eastAsia="zh-CN"/>
        </w:rPr>
        <w:t>XX</w:t>
      </w:r>
      <w:r>
        <w:rPr>
          <w:rFonts w:hint="eastAsia" w:ascii="方正小标宋_GBK" w:hAnsi="方正小标宋_GBK" w:eastAsia="方正小标宋_GBK" w:cs="方正小标宋_GBK"/>
          <w:snapToGrid w:val="0"/>
          <w:color w:val="000000"/>
          <w:kern w:val="0"/>
          <w:sz w:val="44"/>
          <w:szCs w:val="44"/>
        </w:rPr>
        <w:t>地质灾害成功避险</w:t>
      </w:r>
    </w:p>
    <w:p>
      <w:pPr>
        <w:keepNext w:val="0"/>
        <w:keepLines w:val="0"/>
        <w:pageBreakBefore w:val="0"/>
        <w:widowControl/>
        <w:shd w:val="clear" w:color="auto"/>
        <w:kinsoku/>
        <w:wordWrap/>
        <w:overflowPunct/>
        <w:topLinePunct w:val="0"/>
        <w:bidi w:val="0"/>
        <w:snapToGrid w:val="0"/>
        <w:spacing w:line="560" w:lineRule="exact"/>
        <w:contextualSpacing/>
        <w:jc w:val="center"/>
        <w:textAlignment w:val="auto"/>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现场核查报告</w:t>
      </w:r>
    </w:p>
    <w:p>
      <w:pPr>
        <w:keepNext w:val="0"/>
        <w:keepLines w:val="0"/>
        <w:pageBreakBefore w:val="0"/>
        <w:widowControl/>
        <w:shd w:val="clear" w:color="auto"/>
        <w:kinsoku/>
        <w:wordWrap/>
        <w:overflowPunct/>
        <w:topLinePunct w:val="0"/>
        <w:bidi w:val="0"/>
        <w:snapToGrid w:val="0"/>
        <w:spacing w:line="560" w:lineRule="exact"/>
        <w:contextualSpacing/>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（参考提纲）</w:t>
      </w:r>
    </w:p>
    <w:p>
      <w:pPr>
        <w:keepNext w:val="0"/>
        <w:keepLines w:val="0"/>
        <w:pageBreakBefore w:val="0"/>
        <w:widowControl/>
        <w:shd w:val="clear" w:color="auto"/>
        <w:kinsoku/>
        <w:wordWrap/>
        <w:overflowPunct/>
        <w:topLinePunct w:val="0"/>
        <w:bidi w:val="0"/>
        <w:spacing w:line="560" w:lineRule="exact"/>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jc w:val="left"/>
        <w:textAlignment w:val="auto"/>
        <w:rPr>
          <w:rFonts w:hint="default" w:ascii="Times New Roman" w:hAnsi="Times New Roman" w:eastAsia="方正仿宋_GBK" w:cs="Times New Roman"/>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一、核查工作开展情况</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核查工作何时开展、参与人员等。</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jc w:val="left"/>
        <w:textAlignment w:val="auto"/>
        <w:rPr>
          <w:rFonts w:hint="default" w:ascii="方正黑体_GBK" w:hAnsi="方正黑体_GBK" w:eastAsia="方正黑体_GBK" w:cs="方正黑体_GBK"/>
          <w:snapToGrid w:val="0"/>
          <w:color w:val="000000"/>
          <w:kern w:val="0"/>
          <w:sz w:val="32"/>
          <w:szCs w:val="32"/>
        </w:rPr>
      </w:pPr>
      <w:r>
        <w:rPr>
          <w:rFonts w:hint="default" w:ascii="方正黑体_GBK" w:hAnsi="方正黑体_GBK" w:eastAsia="方正黑体_GBK" w:cs="方正黑体_GBK"/>
          <w:snapToGrid w:val="0"/>
          <w:color w:val="000000"/>
          <w:kern w:val="0"/>
          <w:sz w:val="32"/>
          <w:szCs w:val="32"/>
        </w:rPr>
        <w:t>二、灾害基本情况</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地质灾害基本特征、灾害发生时间、损失情况、是否为预案点、是否属于因地质灾害气象风险预警、专业监测预警、群专结合智能化监测预警、群测群防监测预警实施区域性统一转移避让或执行地质灾害防治公务等。</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jc w:val="left"/>
        <w:textAlignment w:val="auto"/>
        <w:rPr>
          <w:rFonts w:hint="default" w:ascii="方正黑体_GBK" w:hAnsi="方正黑体_GBK" w:eastAsia="方正黑体_GBK" w:cs="方正黑体_GBK"/>
          <w:snapToGrid w:val="0"/>
          <w:color w:val="000000"/>
          <w:kern w:val="0"/>
          <w:sz w:val="32"/>
          <w:szCs w:val="32"/>
        </w:rPr>
      </w:pPr>
      <w:r>
        <w:rPr>
          <w:rFonts w:hint="default" w:ascii="方正黑体_GBK" w:hAnsi="方正黑体_GBK" w:eastAsia="方正黑体_GBK" w:cs="方正黑体_GBK"/>
          <w:snapToGrid w:val="0"/>
          <w:color w:val="000000"/>
          <w:kern w:val="0"/>
          <w:sz w:val="32"/>
          <w:szCs w:val="32"/>
        </w:rPr>
        <w:t>三、成功避险情况</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通过现场核查、查阅证明材料、走访证人等方式，梳理成功避险过程、核实成功避险避免人员伤亡数量和避免财产损失情况等（需附灾害发生前后对比照片、实际避免伤亡人数佐证资料）。</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jc w:val="left"/>
        <w:textAlignment w:val="auto"/>
        <w:rPr>
          <w:rFonts w:hint="default" w:ascii="方正黑体_GBK" w:hAnsi="方正黑体_GBK" w:eastAsia="方正黑体_GBK" w:cs="方正黑体_GBK"/>
          <w:snapToGrid w:val="0"/>
          <w:color w:val="000000"/>
          <w:kern w:val="0"/>
          <w:sz w:val="32"/>
          <w:szCs w:val="32"/>
        </w:rPr>
      </w:pPr>
      <w:r>
        <w:rPr>
          <w:rFonts w:hint="default" w:ascii="方正黑体_GBK" w:hAnsi="方正黑体_GBK" w:eastAsia="方正黑体_GBK" w:cs="方正黑体_GBK"/>
          <w:snapToGrid w:val="0"/>
          <w:color w:val="000000"/>
          <w:kern w:val="0"/>
          <w:sz w:val="32"/>
          <w:szCs w:val="32"/>
        </w:rPr>
        <w:t>四、拟推荐对象情况</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000000"/>
          <w:kern w:val="0"/>
          <w:sz w:val="32"/>
          <w:szCs w:val="32"/>
        </w:rPr>
        <w:t>通过现场核查、查阅证明材料、走访证人等方式，核实确认拟推荐个人和单位在本次成功避险特别是在地质灾害前兆信息的发现、研判上报、组织协助避险转移过程中发挥的具体作用，是否属于执行地质灾害防治公务。多人共同参与的，要逐一明确参与人员姓名及在本次成功避险中发挥的作用。</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jc w:val="left"/>
        <w:textAlignment w:val="auto"/>
        <w:rPr>
          <w:rFonts w:hint="default" w:ascii="方正黑体_GBK" w:hAnsi="方正黑体_GBK" w:eastAsia="方正黑体_GBK" w:cs="方正黑体_GBK"/>
          <w:snapToGrid w:val="0"/>
          <w:color w:val="000000"/>
          <w:kern w:val="0"/>
          <w:sz w:val="32"/>
          <w:szCs w:val="32"/>
        </w:rPr>
      </w:pPr>
      <w:r>
        <w:rPr>
          <w:rFonts w:hint="default" w:ascii="方正黑体_GBK" w:hAnsi="方正黑体_GBK" w:eastAsia="方正黑体_GBK" w:cs="方正黑体_GBK"/>
          <w:snapToGrid w:val="0"/>
          <w:color w:val="000000"/>
          <w:kern w:val="0"/>
          <w:sz w:val="32"/>
          <w:szCs w:val="32"/>
        </w:rPr>
        <w:t>五、现场核查结论</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482"/>
        <w:jc w:val="left"/>
        <w:textAlignment w:val="auto"/>
        <w:rPr>
          <w:rFonts w:hint="eastAsia"/>
          <w:lang w:val="en-US" w:eastAsia="zh-CN"/>
        </w:rPr>
      </w:pPr>
      <w:r>
        <w:rPr>
          <w:rFonts w:hint="default" w:ascii="Times New Roman" w:hAnsi="Times New Roman" w:eastAsia="方正仿宋_GBK" w:cs="Times New Roman"/>
          <w:color w:val="000000"/>
          <w:kern w:val="0"/>
          <w:sz w:val="32"/>
          <w:szCs w:val="32"/>
        </w:rPr>
        <w:t>根据核查情况，对核查工作作出结论。</w:t>
      </w:r>
    </w:p>
    <w:p>
      <w:pPr>
        <w:jc w:val="left"/>
        <w:rPr>
          <w:rFonts w:hint="eastAsia" w:ascii="Times New Roman" w:hAnsi="Times New Roman" w:eastAsia="方正仿宋_GBK" w:cs="Times New Roman"/>
          <w:color w:val="000000"/>
          <w:kern w:val="0"/>
          <w:sz w:val="28"/>
          <w:szCs w:val="28"/>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2CBFA"/>
    <w:multiLevelType w:val="singleLevel"/>
    <w:tmpl w:val="A432CBFA"/>
    <w:lvl w:ilvl="0" w:tentative="0">
      <w:start w:val="2"/>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2IxNTc3MWZmMzcwNjgxMTUyN2Q2OTA1MWIyZmMifQ=="/>
  </w:docVars>
  <w:rsids>
    <w:rsidRoot w:val="711169D5"/>
    <w:rsid w:val="1EEF2099"/>
    <w:rsid w:val="3F7F1ADD"/>
    <w:rsid w:val="711169D5"/>
    <w:rsid w:val="711F0186"/>
    <w:rsid w:val="7FEDBF2D"/>
    <w:rsid w:val="B6F7B544"/>
    <w:rsid w:val="FE6A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kern w:val="0"/>
      <w:sz w:val="20"/>
      <w:szCs w:val="21"/>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customStyle="1" w:styleId="6">
    <w:name w:val="样式1"/>
    <w:basedOn w:val="2"/>
    <w:qFormat/>
    <w:uiPriority w:val="0"/>
    <w:pPr>
      <w:adjustRightInd w:val="0"/>
      <w:snapToGrid w:val="0"/>
      <w:spacing w:line="400" w:lineRule="exact"/>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2984</Words>
  <Characters>3014</Characters>
  <Lines>0</Lines>
  <Paragraphs>0</Paragraphs>
  <TotalTime>3</TotalTime>
  <ScaleCrop>false</ScaleCrop>
  <LinksUpToDate>false</LinksUpToDate>
  <CharactersWithSpaces>3308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2024-08-06T22:47:00Z</dcterms:created>
  <dc:creator>WPS_1646378562</dc:creator>
  <cp:lastModifiedBy>guest</cp:lastModifiedBy>
  <dcterms:modified xsi:type="dcterms:W3CDTF">2024-10-10T15:19:48Z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69AF64962B9145AEB3EAA42001FA1D04_11</vt:lpwstr>
  </property>
</Properties>
</file>