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beforeLines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沙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eastAsia="zh-CN"/>
        </w:rPr>
        <w:t>防减救灾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〕</w:t>
      </w:r>
      <w:r>
        <w:rPr>
          <w:rFonts w:hint="eastAsia" w:cs="Times New Roman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beforeLines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beforeLines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重庆市</w:t>
      </w:r>
      <w:r>
        <w:rPr>
          <w:rFonts w:hint="eastAsia" w:eastAsia="方正小标宋_GBK" w:cs="方正小标宋_GBK"/>
          <w:color w:val="auto"/>
          <w:sz w:val="44"/>
          <w:szCs w:val="44"/>
          <w:lang w:val="en-US" w:eastAsia="zh-CN"/>
        </w:rPr>
        <w:t>沙坪坝区</w:t>
      </w:r>
      <w:r>
        <w:rPr>
          <w:rFonts w:hint="eastAsia" w:eastAsia="方正小标宋_GBK" w:cs="方正小标宋_GBK"/>
          <w:color w:val="auto"/>
          <w:sz w:val="44"/>
          <w:szCs w:val="44"/>
          <w:lang w:eastAsia="zh-CN"/>
        </w:rPr>
        <w:t>防灾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减灾</w:t>
      </w:r>
      <w:r>
        <w:rPr>
          <w:rFonts w:hint="eastAsia" w:eastAsia="方正小标宋_GBK" w:cs="方正小标宋_GBK"/>
          <w:color w:val="auto"/>
          <w:sz w:val="44"/>
          <w:szCs w:val="44"/>
          <w:lang w:eastAsia="zh-CN"/>
        </w:rPr>
        <w:t>救灾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委员会办公室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 w:val="0"/>
        <w:spacing w:beforeLines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w w:val="96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w w:val="96"/>
          <w:sz w:val="44"/>
          <w:szCs w:val="44"/>
        </w:rPr>
        <w:t>关于</w:t>
      </w:r>
      <w:r>
        <w:rPr>
          <w:rFonts w:hint="eastAsia" w:eastAsia="方正小标宋_GBK" w:cs="方正小标宋_GBK"/>
          <w:color w:val="auto"/>
          <w:w w:val="96"/>
          <w:sz w:val="44"/>
          <w:szCs w:val="44"/>
          <w:lang w:val="en-US" w:eastAsia="zh-CN"/>
        </w:rPr>
        <w:t>开展</w:t>
      </w:r>
      <w:r>
        <w:rPr>
          <w:rFonts w:hint="eastAsia" w:ascii="Times New Roman" w:hAnsi="Times New Roman" w:eastAsia="方正小标宋_GBK" w:cs="方正小标宋_GBK"/>
          <w:color w:val="auto"/>
          <w:w w:val="96"/>
          <w:sz w:val="44"/>
          <w:szCs w:val="44"/>
        </w:rPr>
        <w:t>202</w:t>
      </w:r>
      <w:r>
        <w:rPr>
          <w:rFonts w:hint="eastAsia" w:eastAsia="方正小标宋_GBK" w:cs="方正小标宋_GBK"/>
          <w:color w:val="auto"/>
          <w:w w:val="96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color w:val="auto"/>
          <w:w w:val="96"/>
          <w:sz w:val="44"/>
          <w:szCs w:val="44"/>
        </w:rPr>
        <w:t>年全国防灾减灾日宣传活动的通知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textAlignment w:val="auto"/>
        <w:rPr>
          <w:rFonts w:hint="eastAsia" w:ascii="Times New Roman" w:hAnsi="Times New Roman" w:cs="方正仿宋_GBK"/>
          <w:color w:val="auto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各镇街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区</w:t>
      </w:r>
      <w:r>
        <w:rPr>
          <w:rFonts w:hint="eastAsia" w:cs="方正仿宋_GBK"/>
          <w:color w:val="auto"/>
          <w:sz w:val="32"/>
          <w:szCs w:val="32"/>
          <w:lang w:eastAsia="zh-CN"/>
        </w:rPr>
        <w:t>防减救灾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各成员单位：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今年5月12日是第17个全国防灾减灾日，5月12日至18日为防灾减灾宣传周。为深入学习贯彻习近平总书记关于防灾减灾救灾重要论述精神，按照《重庆市防灾减灾救灾委员会办公室关于2025年全国防灾减灾日宣传活动有关工作的通知》（</w:t>
      </w:r>
      <w:r>
        <w:rPr>
          <w:rFonts w:hint="eastAsia" w:ascii="Times New Roman" w:hAnsi="Times New Roman" w:cs="方正仿宋_GBK"/>
          <w:color w:val="000000"/>
        </w:rPr>
        <w:t>渝</w:t>
      </w:r>
      <w:r>
        <w:rPr>
          <w:rFonts w:hint="eastAsia" w:ascii="Times New Roman" w:hAnsi="Times New Roman" w:cs="方正仿宋_GBK"/>
          <w:color w:val="000000"/>
          <w:lang w:eastAsia="zh-CN"/>
        </w:rPr>
        <w:t>防</w:t>
      </w:r>
      <w:r>
        <w:rPr>
          <w:rFonts w:hint="eastAsia" w:ascii="Times New Roman" w:hAnsi="Times New Roman" w:cs="方正仿宋_GBK"/>
          <w:color w:val="000000"/>
        </w:rPr>
        <w:t>减</w:t>
      </w:r>
      <w:r>
        <w:rPr>
          <w:rFonts w:hint="eastAsia" w:ascii="Times New Roman" w:hAnsi="Times New Roman" w:cs="方正仿宋_GBK"/>
          <w:color w:val="000000"/>
          <w:lang w:eastAsia="zh-CN"/>
        </w:rPr>
        <w:t>救灾</w:t>
      </w:r>
      <w:r>
        <w:rPr>
          <w:rFonts w:hint="eastAsia" w:ascii="Times New Roman" w:hAnsi="Times New Roman" w:cs="方正仿宋_GBK"/>
          <w:color w:val="000000"/>
        </w:rPr>
        <w:t>办〔202</w:t>
      </w:r>
      <w:r>
        <w:rPr>
          <w:rFonts w:hint="eastAsia" w:ascii="Times New Roman" w:hAnsi="Times New Roman" w:cs="方正仿宋_GBK"/>
          <w:color w:val="000000"/>
          <w:lang w:val="en-US" w:eastAsia="zh-CN"/>
        </w:rPr>
        <w:t>5</w:t>
      </w:r>
      <w:r>
        <w:rPr>
          <w:rFonts w:hint="eastAsia" w:ascii="Times New Roman" w:hAnsi="Times New Roman" w:cs="方正仿宋_GBK"/>
          <w:color w:val="000000"/>
        </w:rPr>
        <w:t>〕</w:t>
      </w:r>
      <w:r>
        <w:rPr>
          <w:rFonts w:hint="eastAsia" w:cs="方正仿宋_GBK"/>
          <w:color w:val="000000"/>
          <w:lang w:val="en-US" w:eastAsia="zh-CN"/>
        </w:rPr>
        <w:t>14</w:t>
      </w:r>
      <w:r>
        <w:rPr>
          <w:rFonts w:hint="eastAsia" w:ascii="Times New Roman" w:hAnsi="Times New Roman" w:cs="方正仿宋_GBK"/>
          <w:color w:val="000000"/>
        </w:rPr>
        <w:t>号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）精神，为做好今年</w:t>
      </w:r>
      <w:r>
        <w:rPr>
          <w:rFonts w:hint="eastAsia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全区</w:t>
      </w: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防灾减灾日宣传工作，现将有关事项通知如下</w:t>
      </w:r>
      <w:r>
        <w:rPr>
          <w:rFonts w:hint="eastAsia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人人讲安全、个个会应急——排查身边灾害隐患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年5月</w:t>
      </w:r>
      <w:r>
        <w:rPr>
          <w:rFonts w:hint="eastAsia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right="0" w:rightChars="0"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（一）提高认识，开展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2025年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防灾减灾日集中宣传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今年全国防灾减灾日聚焦排查群众身边的灾害隐患，突出涉灾重点领域、重点场所和重点部位，组织开展风险隐患集中排查整治，推动安全防范措施深入群众、落到基层，切实维护人民群众生命财产安全。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5月1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由区防减救灾办、区应急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局主办，区</w:t>
      </w:r>
      <w:r>
        <w:rPr>
          <w:rFonts w:hint="eastAsia" w:cs="方正仿宋_GBK"/>
          <w:color w:val="auto"/>
          <w:sz w:val="32"/>
          <w:szCs w:val="32"/>
          <w:lang w:eastAsia="zh-CN"/>
        </w:rPr>
        <w:t>防减救灾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委各成员单位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协办，在主会场开展全区防灾减灾日集中宣传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各镇街要同步在本辖区广场、商圈或主干道组织开展</w:t>
      </w:r>
      <w:r>
        <w:rPr>
          <w:rFonts w:hint="eastAsia" w:cs="Times New Roman"/>
          <w:sz w:val="32"/>
          <w:szCs w:val="32"/>
          <w:lang w:val="en-US" w:eastAsia="zh-CN"/>
        </w:rPr>
        <w:t>形式多样的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防灾减灾知识现场宣传活动，向群众发放防灾减灾知识宣传资料。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各镇街活动会场背景展板要按照市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统一制定发布的海报样式制作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（二）组织培训，推进防灾减灾科普知识“五进”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活动期间，各单位要根据本辖区和本行业实际，</w:t>
      </w:r>
      <w:r>
        <w:rPr>
          <w:rFonts w:hint="eastAsia" w:ascii="Times New Roman" w:hAnsi="Times New Roman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要组织深入学习习近平总书记关于防灾减灾救灾的重要论述，将其纳入各级干部培训内容，对新调整上任的干部及时开展专题培训。</w:t>
      </w:r>
      <w:r>
        <w:rPr>
          <w:rFonts w:hint="eastAsia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突出</w:t>
      </w:r>
      <w:r>
        <w:rPr>
          <w:rFonts w:hint="eastAsia" w:ascii="Times New Roman" w:hAnsi="Times New Roman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灾害信息员、护林员、地质灾害监测巡查员、社区网格员、社会应急志愿服务队伍等基层重点培训对象，深入开展政策宣讲，强化灾害信息报送、隐患辨识、避险转移等实务培训，提高灾害“早排查”“早预警”“早行动”能力。</w:t>
      </w:r>
      <w:r>
        <w:rPr>
          <w:rFonts w:hint="eastAsia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Times New Roman" w:hAnsi="Times New Roman" w:cs="方正仿宋_GBK"/>
          <w:color w:val="000000" w:themeColor="text1"/>
          <w14:textFill>
            <w14:solidFill>
              <w14:schemeClr w14:val="tx1"/>
            </w14:solidFill>
          </w14:textFill>
        </w:rPr>
        <w:t>面向儿童、老人、残障人士等不同社会群体开展分众化、差异化宣传教育</w:t>
      </w:r>
      <w:r>
        <w:rPr>
          <w:rFonts w:hint="eastAsia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开发和</w:t>
      </w:r>
      <w:r>
        <w:rPr>
          <w:rFonts w:hint="eastAsia" w:ascii="Times New Roman" w:hAnsi="Times New Roman" w:cs="方正仿宋_GBK"/>
          <w:color w:val="000000" w:themeColor="text1"/>
          <w14:textFill>
            <w14:solidFill>
              <w14:schemeClr w14:val="tx1"/>
            </w14:solidFill>
          </w14:textFill>
        </w:rPr>
        <w:t>推送防灾减灾科普读本、动漫、游戏、影视剧、短视频等公众教育系列产品</w:t>
      </w:r>
      <w:r>
        <w:rPr>
          <w:rFonts w:hint="eastAsia" w:ascii="Times New Roman" w:hAnsi="Times New Roman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，上好防灾减灾安全课</w:t>
      </w:r>
      <w:r>
        <w:rPr>
          <w:rFonts w:hint="eastAsia" w:cs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Times New Roman" w:hAnsi="Times New Roman" w:cs="方正仿宋_GBK"/>
          <w:color w:val="auto"/>
          <w:lang w:eastAsia="zh-CN"/>
        </w:rPr>
        <w:t>深入镇街、村</w:t>
      </w:r>
      <w:r>
        <w:rPr>
          <w:rFonts w:hint="eastAsia" w:ascii="Times New Roman" w:hAnsi="Times New Roman" w:cs="方正仿宋_GBK"/>
          <w:color w:val="auto"/>
        </w:rPr>
        <w:t>社、学校、医院、</w:t>
      </w:r>
      <w:r>
        <w:rPr>
          <w:rFonts w:hint="eastAsia" w:ascii="Times New Roman" w:hAnsi="Times New Roman" w:cs="方正仿宋_GBK"/>
          <w:color w:val="auto"/>
          <w:lang w:eastAsia="zh-CN"/>
        </w:rPr>
        <w:t>车间、</w:t>
      </w:r>
      <w:r>
        <w:rPr>
          <w:rFonts w:hint="eastAsia" w:ascii="Times New Roman" w:hAnsi="Times New Roman" w:cs="方正仿宋_GBK"/>
          <w:color w:val="auto"/>
        </w:rPr>
        <w:t>工地、</w:t>
      </w:r>
      <w:r>
        <w:rPr>
          <w:rFonts w:hint="eastAsia" w:ascii="Times New Roman" w:hAnsi="Times New Roman" w:cs="方正仿宋_GBK"/>
          <w:color w:val="auto"/>
          <w:lang w:eastAsia="zh-CN"/>
        </w:rPr>
        <w:t>商场</w:t>
      </w:r>
      <w:r>
        <w:rPr>
          <w:rFonts w:hint="eastAsia" w:ascii="Times New Roman" w:hAnsi="Times New Roman" w:cs="方正仿宋_GBK"/>
          <w:color w:val="auto"/>
        </w:rPr>
        <w:t>等</w:t>
      </w:r>
      <w:r>
        <w:rPr>
          <w:rFonts w:hint="eastAsia" w:ascii="Times New Roman" w:hAnsi="Times New Roman" w:cs="方正仿宋_GBK"/>
          <w:color w:val="auto"/>
          <w:lang w:eastAsia="zh-CN"/>
        </w:rPr>
        <w:t>一线</w:t>
      </w:r>
      <w:r>
        <w:rPr>
          <w:rFonts w:hint="eastAsia" w:ascii="Times New Roman" w:hAnsi="Times New Roman" w:cs="方正仿宋_GBK"/>
          <w:color w:val="auto"/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持续推进各类灾害风险防范基本知识和灾害应对技能培训进企业、进农村、进社区、进学校、进家庭，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重点针对暴雨洪灾、地质灾害、森林火灾、地震等自然灾害风险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方正仿宋_GBK"/>
          <w:color w:val="auto"/>
        </w:rPr>
        <w:t>特别是要加强极端性灾害天气的风险识别和自救互救技能培训，提高应急避险意识和能力。</w:t>
      </w:r>
      <w:r>
        <w:rPr>
          <w:rFonts w:hint="eastAsia" w:cs="方正仿宋_GBK"/>
          <w:color w:val="auto"/>
          <w:lang w:val="en-US" w:eastAsia="zh-CN"/>
        </w:rPr>
        <w:t>持续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开展《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突发事件应对法》《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中华人民共和国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防洪法》《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防震减灾法》《森林防火条例》和12350有奖举报投诉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等政策法规的宣传。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1.进企业。由各行业主管部门牵头，结合本行业实际，以厂矿企业、施工工地、大型综合体等为重点，开展至少1场防灾减灾知识和防范应对技能宣讲。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统一标语格式：202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年全国防灾减灾宣传周——“进企业”专场  XXX单位主办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2.进学校。由区教委牵头，广泛在各中小学、幼儿园，重点围绕应对极端灾害性天气和地震地灾等，开展防灾减灾基本知识宣讲、知识竞赛和紧急避险疏散演练等活动。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3.进农村。由各涉农镇街牵头，结合辖区实际，重点围绕森林火灾、洪涝灾害等，进农村开展至少1场防灾减灾知识和防范应对技能宣讲。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统一标语格式：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普及防灾减灾知识，提升</w:t>
      </w:r>
      <w:r>
        <w:rPr>
          <w:rFonts w:hint="eastAsia" w:cs="方正仿宋_GBK"/>
          <w:color w:val="auto"/>
          <w:sz w:val="32"/>
          <w:szCs w:val="32"/>
          <w:lang w:eastAsia="zh-CN"/>
        </w:rPr>
        <w:t>应急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避险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能力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——“进农村”专场  XXX单位主办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4.进社区。由各镇街牵头，结合辖区实际，重点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暴雨洪灾、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大风冰雹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地震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地灾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等，进社区开展至少1场应急演练。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统一标语格式：防灾减灾 人人参与——“进社区”专场  XXX单位主办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right="0" w:rightChars="0"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进家庭。各镇街要充分发挥网格员作用，积极登门服务，为辖区住户发放防灾减灾宣传手册、折页等宣传资料，要充分利用社区微信群、楼栋群等，向居民推广防灾减灾宣传片，切实提高公众主动避灾避险的意识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right="0" w:rightChars="0" w:firstLine="642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）丰富形式，增强防灾减灾宣传实效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firstLine="642" w:firstLineChars="200"/>
        <w:textAlignment w:val="auto"/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</w:pPr>
      <w:r>
        <w:rPr>
          <w:rFonts w:hint="eastAsia" w:cs="方正仿宋_GBK"/>
          <w:color w:val="auto"/>
          <w:sz w:val="32"/>
          <w:szCs w:val="32"/>
          <w:lang w:val="en-US" w:eastAsia="zh-CN"/>
        </w:rPr>
        <w:t>各单位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要创新宣传活动内容、机制和形式，提升防灾减灾科普宣传覆盖面和影响力。充分发挥重点领域的辐射作用、科普基地的阵地作用和各类媒体的宣教作用，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拓展科普宣传教育载体，推动青少年宫、文化场所、科技场馆、博物馆等增加防灾减灾科普教育内容，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充分运用各类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安全教育体验馆、消防体验馆、安全警示教育基地、安全文化长廊、灾害遗址公园等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，多形式开展防灾减灾体验和科普展览等宣教活动，拓宽公众接受防灾减灾宣传教育的途径。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Chars="0" w:firstLine="642" w:firstLineChars="200"/>
        <w:textAlignment w:val="auto"/>
        <w:rPr>
          <w:rFonts w:hint="eastAsia" w:ascii="Times New Roman" w:hAnsi="Times New Roman" w:cs="方正仿宋_GBK"/>
          <w:color w:val="auto"/>
        </w:rPr>
      </w:pPr>
      <w:r>
        <w:rPr>
          <w:rFonts w:hint="eastAsia" w:cs="方正仿宋_GBK"/>
          <w:color w:val="auto"/>
          <w:lang w:val="en-US" w:eastAsia="zh-CN"/>
        </w:rPr>
        <w:t>各单位</w:t>
      </w:r>
      <w:r>
        <w:rPr>
          <w:rFonts w:hint="eastAsia" w:ascii="Times New Roman" w:hAnsi="Times New Roman" w:cs="方正仿宋_GBK"/>
          <w:color w:val="auto"/>
          <w:lang w:eastAsia="zh-CN"/>
        </w:rPr>
        <w:t>要充分借助</w:t>
      </w:r>
      <w:r>
        <w:rPr>
          <w:rFonts w:hint="eastAsia" w:ascii="Times New Roman" w:hAnsi="Times New Roman" w:cs="方正仿宋_GBK"/>
          <w:color w:val="auto"/>
        </w:rPr>
        <w:t>广播、电视、网络、</w:t>
      </w:r>
      <w:r>
        <w:rPr>
          <w:rFonts w:hint="eastAsia" w:cs="方正仿宋_GBK"/>
          <w:color w:val="auto"/>
          <w:lang w:eastAsia="zh-CN"/>
        </w:rPr>
        <w:t>新媒体</w:t>
      </w:r>
      <w:r>
        <w:rPr>
          <w:rFonts w:hint="eastAsia" w:ascii="Times New Roman" w:hAnsi="Times New Roman" w:cs="方正仿宋_GBK"/>
          <w:color w:val="auto"/>
        </w:rPr>
        <w:t>、</w:t>
      </w:r>
      <w:r>
        <w:rPr>
          <w:rFonts w:hint="eastAsia" w:ascii="Times New Roman" w:hAnsi="Times New Roman" w:cs="方正仿宋_GBK"/>
          <w:color w:val="auto"/>
          <w:lang w:eastAsia="zh-CN"/>
        </w:rPr>
        <w:t>公共交通</w:t>
      </w:r>
      <w:r>
        <w:rPr>
          <w:rFonts w:hint="eastAsia" w:ascii="Times New Roman" w:hAnsi="Times New Roman" w:cs="方正仿宋_GBK"/>
          <w:color w:val="auto"/>
        </w:rPr>
        <w:t>传媒等载体，利用户外大屏、楼宇字幕、灯箱展板、道旗灯杆等平台，通过公益广告、</w:t>
      </w:r>
      <w:r>
        <w:rPr>
          <w:rFonts w:hint="eastAsia" w:ascii="Times New Roman" w:hAnsi="Times New Roman" w:cs="方正仿宋_GBK"/>
          <w:color w:val="auto"/>
          <w:lang w:eastAsia="zh-CN"/>
        </w:rPr>
        <w:t>主题</w:t>
      </w:r>
      <w:r>
        <w:rPr>
          <w:rFonts w:hint="eastAsia" w:ascii="Times New Roman" w:hAnsi="Times New Roman" w:cs="方正仿宋_GBK"/>
          <w:color w:val="auto"/>
        </w:rPr>
        <w:t>海报、宣传标语</w:t>
      </w:r>
      <w:r>
        <w:rPr>
          <w:rFonts w:hint="eastAsia" w:ascii="Times New Roman" w:hAnsi="Times New Roman" w:cs="方正仿宋_GBK"/>
          <w:color w:val="auto"/>
          <w:lang w:eastAsia="zh-CN"/>
        </w:rPr>
        <w:t>、</w:t>
      </w:r>
      <w:r>
        <w:rPr>
          <w:rFonts w:hint="eastAsia" w:ascii="Times New Roman" w:hAnsi="Times New Roman" w:cs="方正仿宋_GBK"/>
          <w:color w:val="auto"/>
        </w:rPr>
        <w:t>专题节目、集中采访、专家讲座、在线访谈及知识竞赛等多种形式，全方位、多角度、立体式</w:t>
      </w:r>
      <w:r>
        <w:rPr>
          <w:rFonts w:hint="default" w:ascii="Times New Roman" w:hAnsi="Times New Roman" w:cs="方正仿宋_GBK"/>
          <w:color w:val="auto"/>
        </w:rPr>
        <w:t>地</w:t>
      </w:r>
      <w:r>
        <w:rPr>
          <w:rFonts w:hint="eastAsia" w:ascii="Times New Roman" w:hAnsi="Times New Roman" w:cs="方正仿宋_GBK"/>
          <w:color w:val="auto"/>
          <w:lang w:eastAsia="zh-CN"/>
        </w:rPr>
        <w:t>开展</w:t>
      </w:r>
      <w:r>
        <w:rPr>
          <w:rFonts w:hint="eastAsia" w:ascii="Times New Roman" w:hAnsi="Times New Roman" w:cs="方正仿宋_GBK"/>
          <w:color w:val="auto"/>
        </w:rPr>
        <w:t>宣传活动。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四、</w:t>
      </w:r>
      <w:r>
        <w:rPr>
          <w:rFonts w:hint="eastAsia" w:eastAsia="方正黑体_GBK" w:cs="方正黑体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工作要求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leftChars="0" w:right="0" w:rightChars="0" w:firstLine="642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cs="方正仿宋_GBK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各单位</w:t>
      </w:r>
      <w:r>
        <w:rPr>
          <w:rFonts w:hint="eastAsia" w:ascii="Times New Roman" w:hAnsi="Times New Roman" w:cs="方正仿宋_GBK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要进一步细化工作职责，以防灾减灾日宣传活动为契机，</w:t>
      </w:r>
      <w:r>
        <w:rPr>
          <w:rFonts w:hint="eastAsia" w:cs="方正仿宋_GBK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进一步</w:t>
      </w:r>
      <w:r>
        <w:rPr>
          <w:rFonts w:hint="eastAsia" w:ascii="Times New Roman" w:hAnsi="Times New Roman" w:cs="方正仿宋_GBK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健全全民防灾减灾宣传培训的长效机制。要结合应急演练、安全文艺演出、装备队伍展示等，持续深入开展宣传活动，将防灾减灾宣传常态化、长期化、长效化。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864"/>
        </w:tabs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firstLine="642" w:firstLineChars="200"/>
        <w:jc w:val="both"/>
        <w:textAlignment w:val="auto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附件</w:t>
      </w:r>
      <w:r>
        <w:rPr>
          <w:rFonts w:hint="eastAsia" w:ascii="Times New Roman" w:hAnsi="Times New Roman"/>
          <w:color w:val="auto"/>
          <w:lang w:eastAsia="zh-CN"/>
        </w:rPr>
        <w:t>：</w:t>
      </w:r>
      <w:r>
        <w:rPr>
          <w:rFonts w:hint="eastAsia" w:ascii="Times New Roman" w:hAnsi="Times New Roman"/>
          <w:color w:val="auto"/>
        </w:rPr>
        <w:t>202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 w:ascii="Times New Roman" w:hAnsi="Times New Roman"/>
          <w:color w:val="auto"/>
        </w:rPr>
        <w:t>年防灾减灾宣传周</w:t>
      </w:r>
      <w:r>
        <w:rPr>
          <w:rFonts w:hint="eastAsia" w:ascii="Times New Roman" w:hAnsi="Times New Roman"/>
          <w:color w:val="auto"/>
          <w:lang w:eastAsia="zh-CN"/>
        </w:rPr>
        <w:t>推荐</w:t>
      </w:r>
      <w:r>
        <w:rPr>
          <w:rFonts w:hint="eastAsia" w:ascii="Times New Roman" w:hAnsi="Times New Roman"/>
          <w:color w:val="auto"/>
        </w:rPr>
        <w:t>标语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right="0" w:rightChars="0"/>
        <w:jc w:val="both"/>
        <w:textAlignment w:val="auto"/>
        <w:rPr>
          <w:rFonts w:hint="eastAsia"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 xml:space="preserve">                  重庆市沙坪坝区防灾减灾救灾委员会办公室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864"/>
        </w:tabs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="0" w:leftChars="0" w:right="1284" w:rightChars="40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202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日</w:t>
      </w:r>
    </w:p>
    <w:p>
      <w:pPr>
        <w:ind w:firstLine="642" w:firstLineChars="200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eastAsia="zh-CN"/>
        </w:rPr>
        <w:t>此件公开发布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864"/>
        </w:tabs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864"/>
        </w:tabs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864"/>
        </w:tabs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202</w:t>
      </w:r>
      <w:r>
        <w:rPr>
          <w:rFonts w:hint="eastAsia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年防灾减灾宣传周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推荐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标语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firstLine="642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．人人讲安全，个个会应急。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cs="方正仿宋_GBK"/>
          <w:color w:val="auto"/>
          <w:sz w:val="32"/>
          <w:szCs w:val="32"/>
          <w:lang w:eastAsia="zh-CN"/>
        </w:rPr>
        <w:t>全民行动</w:t>
      </w:r>
      <w:r>
        <w:rPr>
          <w:rFonts w:hint="eastAsia" w:ascii="Times New Roman" w:hAnsi="Times New Roman" w:cs="方正仿宋_GBK"/>
          <w:color w:val="auto"/>
          <w:lang w:val="en-US" w:eastAsia="zh-CN"/>
        </w:rPr>
        <w:t>，排查身边灾害隐患。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普及防灾减灾知识，提升</w:t>
      </w:r>
      <w:r>
        <w:rPr>
          <w:rFonts w:hint="eastAsia" w:cs="方正仿宋_GBK"/>
          <w:color w:val="auto"/>
          <w:sz w:val="32"/>
          <w:szCs w:val="32"/>
          <w:lang w:eastAsia="zh-CN"/>
        </w:rPr>
        <w:t>应急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避险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能力。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防灾减灾，人人参与。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864"/>
        </w:tabs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ind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方正仿宋_GBK"/>
          <w:color w:val="auto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宁可千日无灾，不可一日不防。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864"/>
        </w:tabs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594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1247" w:gutter="0"/>
      <w:cols w:space="0" w:num="1"/>
      <w:rtlGutter w:val="0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280" w:firstLineChars="100"/>
      <w:jc w:val="righ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6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6"/>
        <w:rFonts w:hint="eastAsia"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6"/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280" w:firstLineChars="100"/>
      <w:jc w:val="both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6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6"/>
        <w:rFonts w:hint="eastAsia"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6"/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1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E3"/>
    <w:rsid w:val="000148D3"/>
    <w:rsid w:val="000B5654"/>
    <w:rsid w:val="000E6D8E"/>
    <w:rsid w:val="000E710A"/>
    <w:rsid w:val="00115DA7"/>
    <w:rsid w:val="0012372A"/>
    <w:rsid w:val="001D6C41"/>
    <w:rsid w:val="001E476B"/>
    <w:rsid w:val="001E50E6"/>
    <w:rsid w:val="001F0923"/>
    <w:rsid w:val="00247A63"/>
    <w:rsid w:val="002F2A07"/>
    <w:rsid w:val="002F5EC0"/>
    <w:rsid w:val="0035462B"/>
    <w:rsid w:val="003C385F"/>
    <w:rsid w:val="003C6A66"/>
    <w:rsid w:val="003D4E55"/>
    <w:rsid w:val="00464D2E"/>
    <w:rsid w:val="00470F4D"/>
    <w:rsid w:val="00485F71"/>
    <w:rsid w:val="004B0D46"/>
    <w:rsid w:val="004C6939"/>
    <w:rsid w:val="004F029B"/>
    <w:rsid w:val="00545F2F"/>
    <w:rsid w:val="00605116"/>
    <w:rsid w:val="006A12E3"/>
    <w:rsid w:val="006D1CFF"/>
    <w:rsid w:val="006F3BA8"/>
    <w:rsid w:val="0078072E"/>
    <w:rsid w:val="007B6B44"/>
    <w:rsid w:val="007D2DF2"/>
    <w:rsid w:val="00801215"/>
    <w:rsid w:val="00842CCE"/>
    <w:rsid w:val="00854508"/>
    <w:rsid w:val="008C6520"/>
    <w:rsid w:val="008D2F14"/>
    <w:rsid w:val="00984541"/>
    <w:rsid w:val="009F6B54"/>
    <w:rsid w:val="00A400AD"/>
    <w:rsid w:val="00A63C81"/>
    <w:rsid w:val="00AA2ACB"/>
    <w:rsid w:val="00AD45F0"/>
    <w:rsid w:val="00B17FAB"/>
    <w:rsid w:val="00B330CE"/>
    <w:rsid w:val="00BA7886"/>
    <w:rsid w:val="00BE3BD2"/>
    <w:rsid w:val="00C023E0"/>
    <w:rsid w:val="00C47A71"/>
    <w:rsid w:val="00C66F9B"/>
    <w:rsid w:val="00C94BB8"/>
    <w:rsid w:val="00CA3E8C"/>
    <w:rsid w:val="00CB411B"/>
    <w:rsid w:val="00D41F26"/>
    <w:rsid w:val="00D52768"/>
    <w:rsid w:val="00D66FF1"/>
    <w:rsid w:val="00DA50F6"/>
    <w:rsid w:val="00E13F25"/>
    <w:rsid w:val="00E35FF0"/>
    <w:rsid w:val="00E36B89"/>
    <w:rsid w:val="00E41334"/>
    <w:rsid w:val="00E71796"/>
    <w:rsid w:val="00E96FE4"/>
    <w:rsid w:val="00EC189B"/>
    <w:rsid w:val="00EC208B"/>
    <w:rsid w:val="00EE79EC"/>
    <w:rsid w:val="00FE274D"/>
    <w:rsid w:val="00FE755A"/>
    <w:rsid w:val="017D32EA"/>
    <w:rsid w:val="02682E9E"/>
    <w:rsid w:val="02E76B51"/>
    <w:rsid w:val="08300DE8"/>
    <w:rsid w:val="0C81716B"/>
    <w:rsid w:val="0D204AD1"/>
    <w:rsid w:val="0E7664C8"/>
    <w:rsid w:val="11CC500B"/>
    <w:rsid w:val="12CF1544"/>
    <w:rsid w:val="131351E0"/>
    <w:rsid w:val="14406622"/>
    <w:rsid w:val="17F39193"/>
    <w:rsid w:val="18230538"/>
    <w:rsid w:val="1FDE14DC"/>
    <w:rsid w:val="20F03D7B"/>
    <w:rsid w:val="21A60D85"/>
    <w:rsid w:val="237FA1B0"/>
    <w:rsid w:val="24B065EE"/>
    <w:rsid w:val="25BF4710"/>
    <w:rsid w:val="267704CC"/>
    <w:rsid w:val="2810693D"/>
    <w:rsid w:val="28B12565"/>
    <w:rsid w:val="29617344"/>
    <w:rsid w:val="2CB5554F"/>
    <w:rsid w:val="2CF9199D"/>
    <w:rsid w:val="2EDD0195"/>
    <w:rsid w:val="2F6A53AC"/>
    <w:rsid w:val="2FBD4F36"/>
    <w:rsid w:val="2FDB918B"/>
    <w:rsid w:val="2FF759FD"/>
    <w:rsid w:val="2FFE3163"/>
    <w:rsid w:val="30087837"/>
    <w:rsid w:val="318D3C39"/>
    <w:rsid w:val="323D4DEB"/>
    <w:rsid w:val="33917AB2"/>
    <w:rsid w:val="33FE74B9"/>
    <w:rsid w:val="35360C3A"/>
    <w:rsid w:val="36112A1E"/>
    <w:rsid w:val="366F3C10"/>
    <w:rsid w:val="37F3EB35"/>
    <w:rsid w:val="37FB268B"/>
    <w:rsid w:val="388C7258"/>
    <w:rsid w:val="3890347C"/>
    <w:rsid w:val="3AB5C70D"/>
    <w:rsid w:val="3B7E1F04"/>
    <w:rsid w:val="3C1C1D69"/>
    <w:rsid w:val="3CFBBD35"/>
    <w:rsid w:val="3D84425A"/>
    <w:rsid w:val="3F3E0C7E"/>
    <w:rsid w:val="3F7F93E6"/>
    <w:rsid w:val="3F9616D4"/>
    <w:rsid w:val="3FF31A2A"/>
    <w:rsid w:val="40E0486B"/>
    <w:rsid w:val="421471AD"/>
    <w:rsid w:val="423F1DEE"/>
    <w:rsid w:val="43784691"/>
    <w:rsid w:val="44561D67"/>
    <w:rsid w:val="46577471"/>
    <w:rsid w:val="46B74AF0"/>
    <w:rsid w:val="472906ED"/>
    <w:rsid w:val="4AF8596E"/>
    <w:rsid w:val="4B3FFDD2"/>
    <w:rsid w:val="4D7C1C49"/>
    <w:rsid w:val="4EA9509B"/>
    <w:rsid w:val="4EAC6020"/>
    <w:rsid w:val="538A1AF9"/>
    <w:rsid w:val="53DB1682"/>
    <w:rsid w:val="544143C8"/>
    <w:rsid w:val="54C077F3"/>
    <w:rsid w:val="566D31A1"/>
    <w:rsid w:val="59161993"/>
    <w:rsid w:val="5BB879D5"/>
    <w:rsid w:val="5BCF435B"/>
    <w:rsid w:val="5C3C5E2F"/>
    <w:rsid w:val="5D7B6101"/>
    <w:rsid w:val="5DF1553C"/>
    <w:rsid w:val="5FA429BF"/>
    <w:rsid w:val="5FB32FF7"/>
    <w:rsid w:val="60933EC2"/>
    <w:rsid w:val="615F584D"/>
    <w:rsid w:val="657B4762"/>
    <w:rsid w:val="66B463AF"/>
    <w:rsid w:val="684963A5"/>
    <w:rsid w:val="69C63EE4"/>
    <w:rsid w:val="6BEB4569"/>
    <w:rsid w:val="6C4F2FBF"/>
    <w:rsid w:val="6CD14C97"/>
    <w:rsid w:val="6CE068D5"/>
    <w:rsid w:val="6D1A7ADB"/>
    <w:rsid w:val="6F166FF8"/>
    <w:rsid w:val="6F38F08A"/>
    <w:rsid w:val="715C0189"/>
    <w:rsid w:val="71C1592F"/>
    <w:rsid w:val="75A821A9"/>
    <w:rsid w:val="763F63B1"/>
    <w:rsid w:val="76DA6F5D"/>
    <w:rsid w:val="77BF7E83"/>
    <w:rsid w:val="79312D7A"/>
    <w:rsid w:val="7AA042ED"/>
    <w:rsid w:val="7BD33DA2"/>
    <w:rsid w:val="7CF6BFFE"/>
    <w:rsid w:val="7D9D12E1"/>
    <w:rsid w:val="7E7748C3"/>
    <w:rsid w:val="7F7DAAAE"/>
    <w:rsid w:val="7FEF3092"/>
    <w:rsid w:val="7FF56308"/>
    <w:rsid w:val="7FFBF353"/>
    <w:rsid w:val="9F1EF4DF"/>
    <w:rsid w:val="9FFD9862"/>
    <w:rsid w:val="A70DF9B4"/>
    <w:rsid w:val="ABBFE97C"/>
    <w:rsid w:val="AE7777D7"/>
    <w:rsid w:val="B6B98FCF"/>
    <w:rsid w:val="BA7B23C6"/>
    <w:rsid w:val="BEFFC2AA"/>
    <w:rsid w:val="BF0F21A6"/>
    <w:rsid w:val="BFEE49BA"/>
    <w:rsid w:val="C6BBD3A7"/>
    <w:rsid w:val="C6E93DB2"/>
    <w:rsid w:val="C7D65E0F"/>
    <w:rsid w:val="D77BBDD3"/>
    <w:rsid w:val="D7AE2719"/>
    <w:rsid w:val="DD7DBCF6"/>
    <w:rsid w:val="DFB7BA11"/>
    <w:rsid w:val="DFFF2573"/>
    <w:rsid w:val="E75CBF83"/>
    <w:rsid w:val="EB798661"/>
    <w:rsid w:val="EDBF64D0"/>
    <w:rsid w:val="EF43C0CB"/>
    <w:rsid w:val="EFDB5C15"/>
    <w:rsid w:val="EFFD8938"/>
    <w:rsid w:val="F57BEEE6"/>
    <w:rsid w:val="F7953B5B"/>
    <w:rsid w:val="F7F70A9D"/>
    <w:rsid w:val="F7F7CB82"/>
    <w:rsid w:val="F7FCB171"/>
    <w:rsid w:val="FA67244B"/>
    <w:rsid w:val="FD769430"/>
    <w:rsid w:val="FDFF028C"/>
    <w:rsid w:val="FEDC89A6"/>
    <w:rsid w:val="FEFBFC3E"/>
    <w:rsid w:val="FEFF22B2"/>
    <w:rsid w:val="FF578914"/>
    <w:rsid w:val="FF9D0F79"/>
    <w:rsid w:val="FFE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仿宋_GB2312" w:cs="宋体"/>
      <w:b/>
      <w:bCs/>
      <w:kern w:val="36"/>
      <w:sz w:val="48"/>
      <w:szCs w:val="4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next w:val="7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Body Text 2"/>
    <w:basedOn w:val="1"/>
    <w:unhideWhenUsed/>
    <w:qFormat/>
    <w:uiPriority w:val="99"/>
    <w:pPr>
      <w:widowControl w:val="0"/>
      <w:spacing w:after="0" w:line="480" w:lineRule="auto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10">
    <w:name w:val="Message Header"/>
    <w:basedOn w:val="1"/>
    <w:next w:val="2"/>
    <w:link w:val="2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4"/>
    <w:unhideWhenUsed/>
    <w:qFormat/>
    <w:uiPriority w:val="99"/>
    <w:pPr>
      <w:ind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  <w:rPr>
      <w:rFonts w:ascii="Calibri" w:hAnsi="Calibri" w:eastAsia="宋体" w:cs="Times New Roman"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6"/>
    <w:qFormat/>
    <w:uiPriority w:val="99"/>
    <w:rPr>
      <w:sz w:val="18"/>
      <w:szCs w:val="18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character" w:customStyle="1" w:styleId="21">
    <w:name w:val="信息标题 字符"/>
    <w:basedOn w:val="14"/>
    <w:link w:val="10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22">
    <w:name w:val="批注框文本 字符"/>
    <w:basedOn w:val="14"/>
    <w:link w:val="5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1763</Words>
  <Characters>1817</Characters>
  <Lines>21</Lines>
  <Paragraphs>6</Paragraphs>
  <TotalTime>16</TotalTime>
  <ScaleCrop>false</ScaleCrop>
  <LinksUpToDate>false</LinksUpToDate>
  <CharactersWithSpaces>1872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2022-04-01T03:02:00Z</dcterms:created>
  <dc:creator>卢峰</dc:creator>
  <cp:lastModifiedBy>home</cp:lastModifiedBy>
  <cp:lastPrinted>2024-04-15T20:08:00Z</cp:lastPrinted>
  <dcterms:modified xsi:type="dcterms:W3CDTF">2025-04-29T09:19:13Z</dcterms:modified>
  <dc:title>重庆市减灾委员会办公室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F7E7B975749A46258545A2DB076E13DA</vt:lpwstr>
  </property>
  <property fmtid="{D5CDD505-2E9C-101B-9397-08002B2CF9AE}" pid="4" name="KSOTemplateDocerSaveRecord">
    <vt:lpwstr>eyJoZGlkIjoiY2EyNjM2YWVjMmY3MDcxZGJiNWEyOWQyZTAwOTY0YjIiLCJ1c2VySWQiOiI1ODM5NTE1MTkifQ==</vt:lpwstr>
  </property>
</Properties>
</file>