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both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>
      <w:pPr>
        <w:spacing w:line="600" w:lineRule="exact"/>
        <w:ind w:firstLine="640"/>
        <w:jc w:val="center"/>
        <w:rPr>
          <w:rFonts w:ascii="Times New Roman" w:hAnsi="Times New Roman" w:eastAsia="方正仿宋_GBK" w:cs="Times New Roman"/>
          <w:bCs/>
          <w:sz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沙坪坝区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住房和城乡建设委员会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沙坪坝区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建筑施工企业“双随机、一公开”检查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结果</w:t>
      </w:r>
      <w:r>
        <w:rPr>
          <w:rFonts w:ascii="Times New Roman" w:hAnsi="Times New Roman" w:eastAsia="方正小标宋_GBK" w:cs="Times New Roman"/>
          <w:sz w:val="44"/>
          <w:szCs w:val="44"/>
        </w:rPr>
        <w:t>的公示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</w:t>
      </w:r>
      <w:r>
        <w:rPr>
          <w:rFonts w:ascii="Times New Roman" w:hAnsi="Times New Roman" w:eastAsia="方正仿宋_GBK" w:cs="Times New Roman"/>
          <w:sz w:val="32"/>
          <w:szCs w:val="32"/>
        </w:rPr>
        <w:t>市住房城乡建委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印发的</w:t>
      </w:r>
      <w:r>
        <w:rPr>
          <w:rFonts w:hint="eastAsia" w:ascii="方正仿宋_GBK" w:hAnsi="仿宋" w:eastAsia="方正仿宋_GBK" w:cs="仿宋"/>
          <w:sz w:val="32"/>
          <w:szCs w:val="32"/>
        </w:rPr>
        <w:t>《重庆市本市建设工程企业资质和市外入渝信息动态监管规则》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 xml:space="preserve"> 渝建管〔202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129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沙坪坝区</w:t>
      </w:r>
      <w:r>
        <w:rPr>
          <w:rFonts w:hint="eastAsia" w:ascii="方正仿宋_GBK" w:hAnsi="仿宋" w:eastAsia="方正仿宋_GBK" w:cs="仿宋"/>
          <w:sz w:val="32"/>
          <w:szCs w:val="32"/>
        </w:rPr>
        <w:t>住房和城乡建设委员会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组织</w:t>
      </w:r>
      <w:r>
        <w:rPr>
          <w:rFonts w:ascii="Times New Roman" w:hAnsi="Times New Roman" w:eastAsia="方正仿宋_GBK" w:cs="Times New Roman"/>
          <w:sz w:val="32"/>
          <w:szCs w:val="32"/>
        </w:rPr>
        <w:t>开展了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工作，现将检查结果予以公示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一、公示起止日期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二、有关要求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（一）公示期内，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建筑施工企业</w:t>
      </w:r>
      <w:r>
        <w:rPr>
          <w:rFonts w:ascii="Times New Roman" w:hAnsi="Times New Roman" w:eastAsia="方正仿宋_GBK" w:cs="Times New Roman"/>
          <w:sz w:val="32"/>
          <w:szCs w:val="32"/>
        </w:rPr>
        <w:t>可登录“重庆市建筑企业资质管理系统V3.0”查询检查结果和具体原因。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（二）有关单位如对检查结果有异议，可在公示期内向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沙坪坝区</w:t>
      </w:r>
      <w:r>
        <w:rPr>
          <w:rFonts w:hint="eastAsia" w:ascii="方正仿宋_GBK" w:hAnsi="仿宋" w:eastAsia="方正仿宋_GBK" w:cs="仿宋"/>
          <w:sz w:val="32"/>
          <w:szCs w:val="32"/>
        </w:rPr>
        <w:t>住房和城乡建设委员会</w:t>
      </w:r>
      <w:r>
        <w:rPr>
          <w:rFonts w:ascii="Times New Roman" w:hAnsi="Times New Roman" w:eastAsia="方正仿宋_GBK" w:cs="Times New Roman"/>
          <w:sz w:val="32"/>
          <w:szCs w:val="32"/>
        </w:rPr>
        <w:t>提交陈述材料或整改材料。相关材料需加盖单位公章并附详细证明材料，以便核查。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同时在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“双随机、一公开”信息管理平台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须</w:t>
      </w:r>
      <w:r>
        <w:rPr>
          <w:rFonts w:ascii="Times New Roman" w:hAnsi="Times New Roman" w:eastAsia="方正仿宋_GBK" w:cs="Times New Roman"/>
          <w:sz w:val="32"/>
          <w:szCs w:val="32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电子</w:t>
      </w:r>
      <w:r>
        <w:rPr>
          <w:rFonts w:ascii="Times New Roman" w:hAnsi="Times New Roman" w:eastAsia="方正仿宋_GBK" w:cs="Times New Roman"/>
          <w:sz w:val="32"/>
          <w:szCs w:val="32"/>
        </w:rPr>
        <w:t>版材料。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交件</w:t>
      </w:r>
      <w:r>
        <w:rPr>
          <w:rFonts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沙坪坝区住房和城乡建设委员会（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沙坪坝区渝碚路99-9号）。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65386036。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 w:cs="Times New Roman"/>
          <w:sz w:val="32"/>
          <w:szCs w:val="32"/>
        </w:rPr>
        <w:t>年度本市建筑施工企业“双随机、一公开”检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1760" w:firstLineChars="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查结果汇总表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left="5700" w:leftChars="200" w:hanging="5280" w:hangingChars="165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沙坪坝区</w:t>
      </w:r>
      <w:r>
        <w:rPr>
          <w:rFonts w:hint="eastAsia" w:ascii="方正仿宋_GBK" w:hAnsi="仿宋" w:eastAsia="方正仿宋_GBK" w:cs="仿宋"/>
          <w:sz w:val="32"/>
          <w:szCs w:val="32"/>
        </w:rPr>
        <w:t>住房和城乡建设委员会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left="5700" w:leftChars="200" w:hanging="5280" w:hangingChars="1650"/>
        <w:jc w:val="left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（联系人：马老师，联系电话：65386036）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left="5700" w:leftChars="200" w:hanging="5280" w:hangingChars="1650"/>
        <w:jc w:val="left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（此件公开发布）</w:t>
      </w: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70" w:lineRule="exact"/>
        <w:contextualSpacing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spacing w:line="400" w:lineRule="exact"/>
        <w:contextualSpacing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年度沙坪坝区建筑施工企业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“双随机、一公开”检查结果汇总表</w:t>
      </w:r>
    </w:p>
    <w:p>
      <w:pPr>
        <w:widowControl/>
        <w:spacing w:line="570" w:lineRule="exact"/>
        <w:jc w:val="center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</w:rPr>
        <w:t>（检查结果为合格）</w:t>
      </w:r>
    </w:p>
    <w:p>
      <w:pPr>
        <w:widowControl/>
        <w:spacing w:line="400" w:lineRule="exac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</w:p>
    <w:tbl>
      <w:tblPr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699"/>
        <w:gridCol w:w="4428"/>
        <w:gridCol w:w="1385"/>
      </w:tblGrid>
      <w:tr>
        <w:trPr>
          <w:trHeight w:val="1009" w:hRule="atLeast"/>
          <w:tblHeader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受检资质及等级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检查结果</w:t>
            </w:r>
          </w:p>
        </w:tc>
      </w:tr>
      <w:tr>
        <w:trPr>
          <w:trHeight w:val="104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重庆展特建筑装饰工程有限公司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628" w:hRule="atLeast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重庆卉勃装饰工程有限公司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628" w:hRule="atLeast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防水防腐保温工程专业承包二级</w:t>
            </w:r>
          </w:p>
        </w:tc>
        <w:tc>
          <w:tcPr>
            <w:tcW w:w="13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04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重庆市盛茂固适工程技术有限公司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特种工程专业承包不分等级（结构补强）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104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重庆沃扬装饰工程有限公司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104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重庆市齐力合建筑劳务有限公司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施工劳务不分等级（备案）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104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重庆市新美日防水工程有限公司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防水防腐保温工程专业承包二级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104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重庆海田消防工程有限公司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消防设施工程专业承包二级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2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700" w:hRule="atLeast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重庆银商建设工程有限公司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机电工程施工总承包三级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700" w:hRule="atLeast"/>
        </w:trPr>
        <w:tc>
          <w:tcPr>
            <w:tcW w:w="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建筑工程施工总承包三级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700" w:hRule="atLeast"/>
        </w:trPr>
        <w:tc>
          <w:tcPr>
            <w:tcW w:w="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700" w:hRule="atLeast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重庆洲煌装饰工程有限公司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700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消防设施工程专业承包二级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700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防水防腐保温工程专业承包二级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rPr>
          <w:trHeight w:val="1040" w:hRule="atLeast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重庆鑫金装饰幕墙有限公司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rPr>
          <w:trHeight w:val="667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建筑幕墙工程专业承包二级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钢结构工程专业承包三级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重庆昊澈建筑工程有限公司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市政公用工程施工总承包三级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地基基础工程专业承包三级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建筑工程施工总承包三级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环保工程专业承包三级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钢结构工程专业承包三级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重庆远喆平建筑工程有限公司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建筑工程施工总承包三级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rPr>
          <w:trHeight w:val="714" w:hRule="atLeast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8"/>
                <w:szCs w:val="28"/>
              </w:rPr>
              <w:t>重庆市沙坪坝区第四建筑工程公司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城市及道路照明工程专业承包三级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钢结构工程专业承包三级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709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环保工程专业承包三级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714" w:hRule="atLeast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古建筑工程专业承包二级</w:t>
            </w:r>
          </w:p>
        </w:tc>
        <w:tc>
          <w:tcPr>
            <w:tcW w:w="13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0" w:lineRule="exact"/>
        <w:contextualSpacing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70" w:lineRule="exact"/>
        <w:contextualSpacing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年度沙坪坝区建筑施工企业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“双随机、一公开”检查结果汇总表</w:t>
      </w:r>
    </w:p>
    <w:p>
      <w:pPr>
        <w:widowControl/>
        <w:spacing w:line="570" w:lineRule="exact"/>
        <w:jc w:val="center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</w:rPr>
        <w:t>（检查结果为部分合格）</w:t>
      </w:r>
    </w:p>
    <w:p>
      <w:pPr>
        <w:widowControl/>
        <w:spacing w:line="570" w:lineRule="exact"/>
        <w:jc w:val="center"/>
        <w:rPr>
          <w:rFonts w:ascii="Times New Roman" w:hAnsi="Times New Roman" w:eastAsia="方正楷体_GBK"/>
          <w:color w:val="000000"/>
          <w:kern w:val="0"/>
          <w:sz w:val="22"/>
        </w:rPr>
      </w:pPr>
    </w:p>
    <w:tbl>
      <w:tblPr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771"/>
        <w:gridCol w:w="4605"/>
        <w:gridCol w:w="1204"/>
      </w:tblGrid>
      <w:tr>
        <w:trPr>
          <w:trHeight w:val="79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受检资质及等级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检查结果</w:t>
            </w:r>
          </w:p>
        </w:tc>
      </w:tr>
      <w:t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重庆凯程电力工程有限公司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输变电工程专业承包二级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建筑工程施工总承包三级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市政公用工程施工总承包三级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电力工程施工总承包三级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机电工程施工总承包三级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城市及道路照明工程专业承包三级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消防设施工程专业承包二级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重庆越洋装饰设计工程有限公司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建筑幕墙工程专业承包二级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电子与智能化工程专业承包二级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重庆川和电力工程技术有限公司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电力工程施工总承包三级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环保工程专业承包三级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建筑机电安装工程专业承包三级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30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eastAsia="zh-CN"/>
              </w:rPr>
              <w:t>施工劳务不分等级（备案）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spacing w:line="20" w:lineRule="exact"/>
        <w:contextualSpacing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br w:type="page"/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年度沙坪坝区建筑施工企业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“双随机、一公开”检查结果汇总表</w:t>
      </w:r>
    </w:p>
    <w:p>
      <w:pPr>
        <w:widowControl/>
        <w:spacing w:line="570" w:lineRule="exact"/>
        <w:jc w:val="center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</w:rPr>
        <w:t>（检查结果为不合格）</w:t>
      </w:r>
    </w:p>
    <w:p>
      <w:pPr>
        <w:widowControl/>
        <w:spacing w:line="570" w:lineRule="exact"/>
        <w:jc w:val="center"/>
        <w:rPr>
          <w:rFonts w:ascii="Times New Roman" w:hAnsi="Times New Roman" w:eastAsia="等线"/>
          <w:color w:val="000000"/>
          <w:kern w:val="0"/>
          <w:sz w:val="22"/>
        </w:rPr>
      </w:pPr>
    </w:p>
    <w:tbl>
      <w:tblPr>
        <w:tblW w:w="9156" w:type="dxa"/>
        <w:tblInd w:w="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039"/>
        <w:gridCol w:w="4225"/>
        <w:gridCol w:w="1372"/>
      </w:tblGrid>
      <w:tr>
        <w:trPr>
          <w:trHeight w:val="850" w:hRule="atLeast"/>
        </w:trPr>
        <w:tc>
          <w:tcPr>
            <w:tcW w:w="5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受检资质及等级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检查结果</w:t>
            </w:r>
          </w:p>
        </w:tc>
      </w:tr>
      <w:tr>
        <w:trPr>
          <w:trHeight w:val="544" w:hRule="atLeast"/>
        </w:trPr>
        <w:tc>
          <w:tcPr>
            <w:tcW w:w="520" w:type="dxa"/>
            <w:vAlign w:val="center"/>
          </w:tcPr>
          <w:p>
            <w:pPr>
              <w:widowControl/>
              <w:spacing w:beforeLines="20" w:afterLines="20"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beforeLines="20" w:afterLines="20"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重庆奥菲特装饰工程有限公司</w:t>
            </w:r>
          </w:p>
        </w:tc>
        <w:tc>
          <w:tcPr>
            <w:tcW w:w="4225" w:type="dxa"/>
            <w:vAlign w:val="center"/>
          </w:tcPr>
          <w:p>
            <w:pPr>
              <w:widowControl/>
              <w:spacing w:beforeLines="20" w:afterLines="20"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beforeLines="20" w:afterLines="20"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rPr>
          <w:trHeight w:val="544" w:hRule="atLeast"/>
        </w:trPr>
        <w:tc>
          <w:tcPr>
            <w:tcW w:w="520" w:type="dxa"/>
            <w:vAlign w:val="center"/>
          </w:tcPr>
          <w:p>
            <w:pPr>
              <w:widowControl/>
              <w:spacing w:beforeLines="20" w:afterLines="20"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beforeLines="20" w:afterLines="20"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重庆司南建筑工程有限公司</w:t>
            </w:r>
          </w:p>
        </w:tc>
        <w:tc>
          <w:tcPr>
            <w:tcW w:w="4225" w:type="dxa"/>
            <w:vAlign w:val="center"/>
          </w:tcPr>
          <w:p>
            <w:pPr>
              <w:widowControl/>
              <w:spacing w:beforeLines="20" w:afterLines="20"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水利水电工程施工总承包三级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beforeLines="20" w:afterLines="20"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</w:tbl>
    <w:p>
      <w:pPr>
        <w:spacing w:line="570" w:lineRule="exact"/>
        <w:contextualSpacing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70" w:lineRule="exact"/>
        <w:contextualSpacing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年度沙坪坝区建筑施工企业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“双随机、一公开”检查结果汇总表</w:t>
      </w:r>
    </w:p>
    <w:p>
      <w:pPr>
        <w:widowControl/>
        <w:spacing w:line="570" w:lineRule="exact"/>
        <w:jc w:val="center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</w:rPr>
        <w:t>（未报送受检资料）</w:t>
      </w:r>
    </w:p>
    <w:p>
      <w:pPr>
        <w:widowControl/>
        <w:spacing w:line="570" w:lineRule="exact"/>
        <w:jc w:val="center"/>
        <w:rPr>
          <w:rFonts w:ascii="Times New Roman" w:hAnsi="Times New Roman" w:eastAsia="等线"/>
          <w:color w:val="000000"/>
          <w:kern w:val="0"/>
          <w:sz w:val="22"/>
        </w:rPr>
      </w:pPr>
    </w:p>
    <w:tbl>
      <w:tblPr>
        <w:tblW w:w="91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039"/>
        <w:gridCol w:w="4253"/>
        <w:gridCol w:w="1372"/>
      </w:tblGrid>
      <w:tr>
        <w:trPr>
          <w:trHeight w:val="85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受检资质及等级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检查结果</w:t>
            </w:r>
          </w:p>
        </w:tc>
      </w:tr>
      <w:tr>
        <w:trPr>
          <w:trHeight w:val="510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9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重庆益恒建筑工程有限公司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特种工程专业承包不分等级（结构补强）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rPr>
          <w:trHeight w:val="51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防水防腐保温工程专业承包二级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重庆君利装饰工程有限公司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重庆巴源电力工程有限公司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电力工程施工总承包三级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rPr>
          <w:trHeight w:val="510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重庆市通途市政建设有限公司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建筑工程施工总承包三级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建筑装修装饰工程专业承包二级</w:t>
            </w:r>
          </w:p>
        </w:tc>
        <w:tc>
          <w:tcPr>
            <w:tcW w:w="13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>
      <w:pPr>
        <w:tabs>
          <w:tab w:val="left" w:pos="5098"/>
        </w:tabs>
        <w:jc w:val="left"/>
      </w:pPr>
      <w:r>
        <w:rPr>
          <w:rFonts w:hint="eastAsia"/>
        </w:rPr>
        <w:tab/>
      </w:r>
    </w:p>
    <w:sectPr>
      <w:pgSz w:w="11906" w:h="16838"/>
      <w:pgMar w:top="1418" w:right="1418" w:bottom="1418" w:left="14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rPr>
      <w:color w:val="333333"/>
      <w:u w:val="none"/>
    </w:rPr>
  </w:style>
  <w:style w:type="character" w:styleId="6">
    <w:name w:val="Hyperlink"/>
    <w:basedOn w:val="4"/>
    <w:rPr>
      <w:color w:val="333333"/>
      <w:u w:val="none"/>
    </w:rPr>
  </w:style>
  <w:style w:type="paragraph" w:customStyle="1" w:styleId="7">
    <w:name w:val="批注框文本1"/>
    <w:basedOn w:val="1"/>
    <w:link w:val="24"/>
    <w:rPr>
      <w:sz w:val="18"/>
      <w:szCs w:val="18"/>
    </w:rPr>
  </w:style>
  <w:style w:type="paragraph" w:customStyle="1" w:styleId="8">
    <w:name w:val="Normal (Web)"/>
    <w:basedOn w:val="1"/>
    <w:pPr>
      <w:jc w:val="left"/>
    </w:pPr>
    <w:rPr>
      <w:rFonts w:cs="Times New Roman"/>
      <w:kern w:val="0"/>
      <w:sz w:val="24"/>
    </w:rPr>
  </w:style>
  <w:style w:type="paragraph" w:customStyle="1" w:styleId="9">
    <w:name w:val="List Paragraph"/>
    <w:basedOn w:val="1"/>
    <w:pPr>
      <w:ind w:firstLine="420" w:firstLineChars="200"/>
    </w:pPr>
  </w:style>
  <w:style w:type="paragraph" w:customStyle="1" w:styleId="10">
    <w:name w:val="tit"/>
    <w:basedOn w:val="1"/>
    <w:pPr>
      <w:spacing w:after="300"/>
      <w:jc w:val="left"/>
    </w:pPr>
    <w:rPr>
      <w:rFonts w:cs="Times New Roman"/>
      <w:color w:val="333333"/>
      <w:kern w:val="0"/>
      <w:sz w:val="45"/>
      <w:szCs w:val="45"/>
    </w:rPr>
  </w:style>
  <w:style w:type="paragraph" w:customStyle="1" w:styleId="11">
    <w:name w:val="tit1"/>
    <w:basedOn w:val="1"/>
    <w:pPr>
      <w:spacing w:before="390"/>
      <w:jc w:val="left"/>
    </w:pPr>
    <w:rPr>
      <w:rFonts w:cs="Times New Roman"/>
      <w:color w:val="333333"/>
      <w:kern w:val="0"/>
      <w:sz w:val="30"/>
      <w:szCs w:val="30"/>
    </w:rPr>
  </w:style>
  <w:style w:type="paragraph" w:customStyle="1" w:styleId="12">
    <w:name w:val="tit4"/>
    <w:basedOn w:val="1"/>
    <w:pPr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13">
    <w:name w:val="tit6"/>
    <w:basedOn w:val="1"/>
    <w:pPr>
      <w:spacing w:line="330" w:lineRule="atLeast"/>
      <w:ind w:right="840"/>
      <w:jc w:val="left"/>
      <w:textAlignment w:val="center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14">
    <w:name w:val="tit2"/>
    <w:basedOn w:val="1"/>
    <w:pPr>
      <w:spacing w:before="300" w:after="60"/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15">
    <w:name w:val="tit3"/>
    <w:basedOn w:val="1"/>
    <w:pPr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16">
    <w:name w:val="tit5"/>
    <w:basedOn w:val="1"/>
    <w:pPr>
      <w:spacing w:line="750" w:lineRule="atLeast"/>
      <w:ind w:right="270"/>
      <w:jc w:val="right"/>
    </w:pPr>
    <w:rPr>
      <w:rFonts w:cs="Times New Roman"/>
      <w:color w:val="333333"/>
      <w:kern w:val="0"/>
      <w:sz w:val="24"/>
      <w:szCs w:val="24"/>
    </w:rPr>
  </w:style>
  <w:style w:type="paragraph" w:customStyle="1" w:styleId="17">
    <w:name w:val="tit7"/>
    <w:basedOn w:val="1"/>
    <w:pPr>
      <w:spacing w:before="390"/>
      <w:jc w:val="left"/>
    </w:pPr>
    <w:rPr>
      <w:rFonts w:cs="Times New Roman"/>
      <w:color w:val="333333"/>
      <w:kern w:val="0"/>
      <w:sz w:val="30"/>
      <w:szCs w:val="30"/>
    </w:rPr>
  </w:style>
  <w:style w:type="paragraph" w:customStyle="1" w:styleId="18">
    <w:name w:val="tit8"/>
    <w:basedOn w:val="1"/>
    <w:pPr>
      <w:spacing w:line="330" w:lineRule="atLeast"/>
      <w:ind w:right="840"/>
      <w:jc w:val="left"/>
      <w:textAlignment w:val="center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19">
    <w:name w:val="tit11"/>
    <w:basedOn w:val="1"/>
    <w:pPr>
      <w:spacing w:after="300"/>
      <w:jc w:val="left"/>
    </w:pPr>
    <w:rPr>
      <w:rFonts w:cs="Times New Roman"/>
      <w:color w:val="333333"/>
      <w:kern w:val="0"/>
      <w:sz w:val="45"/>
      <w:szCs w:val="45"/>
    </w:rPr>
  </w:style>
  <w:style w:type="paragraph" w:customStyle="1" w:styleId="20">
    <w:name w:val="_Style 48"/>
    <w:basedOn w:val="1"/>
    <w:next w:val="1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49"/>
    <w:basedOn w:val="1"/>
    <w:next w:val="1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页眉 字符"/>
    <w:basedOn w:val="4"/>
    <w:link w:val="3"/>
    <w:semiHidden/>
    <w:rPr>
      <w:sz w:val="18"/>
      <w:szCs w:val="18"/>
    </w:rPr>
  </w:style>
  <w:style w:type="character" w:customStyle="1" w:styleId="23">
    <w:name w:val="页脚 字符"/>
    <w:basedOn w:val="4"/>
    <w:link w:val="2"/>
    <w:semiHidden/>
    <w:rPr>
      <w:sz w:val="18"/>
      <w:szCs w:val="18"/>
    </w:rPr>
  </w:style>
  <w:style w:type="character" w:customStyle="1" w:styleId="24">
    <w:name w:val="批注框文本 字符"/>
    <w:basedOn w:val="4"/>
    <w:link w:val="7"/>
    <w:semiHidden/>
    <w:rPr>
      <w:sz w:val="18"/>
      <w:szCs w:val="18"/>
    </w:rPr>
  </w:style>
  <w:style w:type="character" w:customStyle="1" w:styleId="25">
    <w:name w:val="tyhl"/>
    <w:basedOn w:val="4"/>
    <w:rPr>
      <w:shd w:val="clear" w:color="auto" w:fill="FFFFFF"/>
    </w:rPr>
  </w:style>
  <w:style w:type="character" w:customStyle="1" w:styleId="26">
    <w:name w:val="con4"/>
    <w:basedOn w:val="4"/>
    <w:rPr/>
  </w:style>
  <w:style w:type="character" w:customStyle="1" w:styleId="27">
    <w:name w:val="hover20"/>
    <w:basedOn w:val="4"/>
    <w:rPr>
      <w:b/>
      <w:bCs/>
    </w:rPr>
  </w:style>
  <w:style w:type="character" w:customStyle="1" w:styleId="28">
    <w:name w:val="cur"/>
    <w:basedOn w:val="4"/>
    <w:rPr>
      <w:color w:val="3354A2"/>
    </w:rPr>
  </w:style>
  <w:style w:type="character" w:customStyle="1" w:styleId="29">
    <w:name w:val="tit9"/>
    <w:basedOn w:val="4"/>
    <w:rPr>
      <w:b/>
      <w:bCs/>
      <w:color w:val="333333"/>
      <w:sz w:val="39"/>
      <w:szCs w:val="39"/>
    </w:rPr>
  </w:style>
  <w:style w:type="character" w:customStyle="1" w:styleId="30">
    <w:name w:val="yj-blue"/>
    <w:basedOn w:val="4"/>
    <w:rPr>
      <w:b/>
      <w:bCs/>
      <w:color w:val="FFFFFF"/>
      <w:sz w:val="21"/>
      <w:szCs w:val="21"/>
      <w:shd w:val="clear" w:color="auto" w:fill="1E84CB"/>
    </w:rPr>
  </w:style>
  <w:style w:type="character" w:customStyle="1" w:styleId="31">
    <w:name w:val="w100"/>
    <w:basedOn w:val="4"/>
    <w:rPr/>
  </w:style>
  <w:style w:type="character" w:customStyle="1" w:styleId="32">
    <w:name w:val="name"/>
    <w:basedOn w:val="4"/>
    <w:rPr>
      <w:color w:val="2760B7"/>
    </w:rPr>
  </w:style>
  <w:style w:type="character" w:customStyle="1" w:styleId="33">
    <w:name w:val="red"/>
    <w:basedOn w:val="4"/>
    <w:rPr>
      <w:color w:val="E1211F"/>
    </w:rPr>
  </w:style>
  <w:style w:type="character" w:customStyle="1" w:styleId="34">
    <w:name w:val="red1"/>
    <w:basedOn w:val="4"/>
    <w:rPr>
      <w:color w:val="E1211F"/>
    </w:rPr>
  </w:style>
  <w:style w:type="character" w:customStyle="1" w:styleId="35">
    <w:name w:val="red2"/>
    <w:basedOn w:val="4"/>
    <w:rPr>
      <w:color w:val="E33938"/>
      <w:u w:val="single"/>
    </w:rPr>
  </w:style>
  <w:style w:type="character" w:customStyle="1" w:styleId="36">
    <w:name w:val="red3"/>
    <w:basedOn w:val="4"/>
    <w:rPr>
      <w:color w:val="E1211F"/>
      <w:u w:val="single"/>
    </w:rPr>
  </w:style>
  <w:style w:type="character" w:customStyle="1" w:styleId="37">
    <w:name w:val="red4"/>
    <w:basedOn w:val="4"/>
    <w:rPr>
      <w:color w:val="E1211F"/>
    </w:rPr>
  </w:style>
  <w:style w:type="character" w:customStyle="1" w:styleId="38">
    <w:name w:val="red5"/>
    <w:basedOn w:val="4"/>
    <w:rPr>
      <w:color w:val="E1211F"/>
    </w:rPr>
  </w:style>
  <w:style w:type="character" w:customStyle="1" w:styleId="39">
    <w:name w:val="yj-time"/>
    <w:basedOn w:val="4"/>
    <w:rPr>
      <w:color w:val="AAAAAA"/>
      <w:sz w:val="18"/>
      <w:szCs w:val="18"/>
    </w:rPr>
  </w:style>
  <w:style w:type="character" w:customStyle="1" w:styleId="40">
    <w:name w:val="yj-time1"/>
    <w:basedOn w:val="4"/>
    <w:rPr>
      <w:color w:val="AAAAAA"/>
      <w:sz w:val="18"/>
      <w:szCs w:val="18"/>
    </w:rPr>
  </w:style>
  <w:style w:type="character" w:customStyle="1" w:styleId="41">
    <w:name w:val="yjl"/>
    <w:basedOn w:val="4"/>
    <w:rPr>
      <w:color w:val="999999"/>
    </w:rPr>
  </w:style>
  <w:style w:type="character" w:customStyle="1" w:styleId="42">
    <w:name w:val="yjr"/>
    <w:basedOn w:val="4"/>
    <w:rPr/>
  </w:style>
  <w:style w:type="character" w:customStyle="1" w:styleId="43">
    <w:name w:val="tit12"/>
    <w:basedOn w:val="4"/>
    <w:rPr>
      <w:b/>
      <w:bCs/>
      <w:color w:val="333333"/>
      <w:sz w:val="39"/>
      <w:szCs w:val="39"/>
    </w:rPr>
  </w:style>
  <w:style w:type="character" w:customStyle="1" w:styleId="44">
    <w:name w:val="hover19"/>
    <w:basedOn w:val="4"/>
    <w:rPr>
      <w:b/>
      <w:bCs/>
    </w:rPr>
  </w:style>
  <w:style w:type="character" w:customStyle="1" w:styleId="45">
    <w:name w:val="yj-time2"/>
    <w:basedOn w:val="4"/>
    <w:rPr>
      <w:color w:val="AAAAAA"/>
      <w:sz w:val="18"/>
      <w:szCs w:val="18"/>
    </w:rPr>
  </w:style>
  <w:style w:type="character" w:customStyle="1" w:styleId="46">
    <w:name w:val="yj-time3"/>
    <w:basedOn w:val="4"/>
    <w:rPr>
      <w:color w:val="AAAAAA"/>
      <w:sz w:val="18"/>
      <w:szCs w:val="18"/>
    </w:rPr>
  </w:style>
  <w:style w:type="character" w:customStyle="1" w:styleId="47">
    <w:name w:val="cur4"/>
    <w:basedOn w:val="4"/>
    <w:rPr>
      <w:color w:val="3354A2"/>
    </w:rPr>
  </w:style>
  <w:style w:type="character" w:customStyle="1" w:styleId="48">
    <w:name w:val="tit10"/>
    <w:basedOn w:val="4"/>
    <w:rPr>
      <w:b/>
      <w:bCs/>
      <w:color w:val="333333"/>
      <w:sz w:val="39"/>
      <w:szCs w:val="39"/>
    </w:rPr>
  </w:style>
  <w:style w:type="character" w:customStyle="1" w:styleId="49">
    <w:name w:val="cur1"/>
    <w:basedOn w:val="4"/>
    <w:rPr>
      <w:color w:val="3354A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591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2021-12-22T17:51:00Z</dcterms:created>
  <dc:creator>Win7</dc:creator>
  <cp:lastPrinted>2022-12-05T15:04:00Z</cp:lastPrinted>
  <dcterms:modified xsi:type="dcterms:W3CDTF">2022-12-06T16:40:58Z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AE3F70FEE6704E469B866167490B454D</vt:lpwstr>
  </property>
</Properties>
</file>