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1000" w:lineRule="exact"/>
        <w:ind w:left="0" w:leftChars="0" w:firstLine="0" w:firstLineChars="0"/>
        <w:jc w:val="center"/>
        <w:textAlignment w:val="auto"/>
        <w:outlineLvl w:val="9"/>
        <w:rPr>
          <w:rFonts w:hint="default" w:ascii="Times New Roman" w:hAnsi="Times New Roman" w:eastAsia="方正仿宋_GBK" w:cs="Times New Roman"/>
          <w:color w:val="000000"/>
          <w:spacing w:val="-6"/>
          <w:sz w:val="32"/>
          <w:szCs w:val="32"/>
        </w:rPr>
      </w:pPr>
      <w:bookmarkStart w:id="0" w:name="_top"/>
      <w:bookmarkEnd w:id="0"/>
      <w:bookmarkStart w:id="1" w:name="_Hlk37239649"/>
      <w:bookmarkEnd w:id="1"/>
      <w:r>
        <w:rPr>
          <w:rFonts w:hint="default" w:ascii="Times New Roman" w:hAnsi="Times New Roman" w:eastAsia="宋体" w:cs="Times New Roman"/>
          <w:b/>
          <w:color w:val="FF0000"/>
          <w:spacing w:val="-23"/>
          <w:w w:val="65"/>
          <w:sz w:val="84"/>
          <w:szCs w:val="84"/>
        </w:rPr>
        <w:t>沙坪坝区歌乐山街道办事处电子公文</w:t>
      </w:r>
    </w:p>
    <w:p>
      <w:pPr>
        <w:keepNext w:val="0"/>
        <w:keepLines w:val="0"/>
        <w:pageBreakBefore w:val="0"/>
        <w:widowControl w:val="0"/>
        <w:kinsoku/>
        <w:overflowPunct/>
        <w:topLinePunct w:val="0"/>
        <w:bidi w:val="0"/>
        <w:adjustRightInd w:val="0"/>
        <w:snapToGrid w:val="0"/>
        <w:spacing w:after="0" w:line="594" w:lineRule="exact"/>
        <w:ind w:left="0" w:leftChars="0" w:firstLine="0" w:firstLineChars="0"/>
        <w:jc w:val="center"/>
        <w:textAlignment w:val="auto"/>
        <w:outlineLvl w:val="9"/>
        <w:rPr>
          <w:rFonts w:hint="default" w:ascii="Times New Roman" w:hAnsi="Times New Roman" w:eastAsia="方正仿宋_GBK" w:cs="Times New Roman"/>
          <w:color w:val="000000"/>
          <w:spacing w:val="-6"/>
          <w:sz w:val="32"/>
          <w:szCs w:val="32"/>
        </w:rPr>
      </w:pPr>
    </w:p>
    <w:p>
      <w:pPr>
        <w:keepNext w:val="0"/>
        <w:keepLines w:val="0"/>
        <w:pageBreakBefore w:val="0"/>
        <w:widowControl w:val="0"/>
        <w:kinsoku/>
        <w:overflowPunct/>
        <w:topLinePunct w:val="0"/>
        <w:bidi w:val="0"/>
        <w:adjustRightInd w:val="0"/>
        <w:snapToGrid w:val="0"/>
        <w:spacing w:after="0" w:line="594" w:lineRule="exact"/>
        <w:ind w:left="0" w:leftChars="0" w:firstLine="0" w:firstLineChars="0"/>
        <w:jc w:val="center"/>
        <w:textAlignment w:val="auto"/>
        <w:outlineLvl w:val="9"/>
        <w:rPr>
          <w:rFonts w:hint="default" w:ascii="Times New Roman" w:hAnsi="Times New Roman" w:eastAsia="方正仿宋_GBK" w:cs="Times New Roman"/>
          <w:color w:val="000000"/>
          <w:spacing w:val="-6"/>
          <w:sz w:val="32"/>
          <w:szCs w:val="32"/>
        </w:rPr>
      </w:pPr>
    </w:p>
    <w:p>
      <w:pPr>
        <w:keepNext w:val="0"/>
        <w:keepLines w:val="0"/>
        <w:pageBreakBefore w:val="0"/>
        <w:widowControl w:val="0"/>
        <w:kinsoku/>
        <w:overflowPunct/>
        <w:topLinePunct w:val="0"/>
        <w:bidi w:val="0"/>
        <w:adjustRightInd w:val="0"/>
        <w:snapToGrid w:val="0"/>
        <w:spacing w:after="0" w:line="594" w:lineRule="exact"/>
        <w:ind w:left="0" w:leftChars="0" w:firstLine="0" w:firstLineChars="0"/>
        <w:jc w:val="center"/>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color w:val="000000"/>
          <w:spacing w:val="-6"/>
          <w:sz w:val="32"/>
          <w:szCs w:val="32"/>
        </w:rPr>
        <w:t>歌街</w:t>
      </w:r>
      <w:r>
        <w:rPr>
          <w:rFonts w:hint="eastAsia" w:ascii="Times New Roman" w:hAnsi="Times New Roman" w:eastAsia="方正仿宋_GBK" w:cs="Times New Roman"/>
          <w:color w:val="000000"/>
          <w:spacing w:val="-6"/>
          <w:sz w:val="32"/>
          <w:szCs w:val="32"/>
          <w:lang w:eastAsia="zh-CN"/>
        </w:rPr>
        <w:t>文</w:t>
      </w:r>
      <w:r>
        <w:rPr>
          <w:rFonts w:hint="default" w:ascii="Times New Roman" w:hAnsi="Times New Roman" w:eastAsia="方正仿宋_GBK" w:cs="Times New Roman"/>
          <w:color w:val="000000"/>
          <w:spacing w:val="-6"/>
          <w:sz w:val="32"/>
          <w:szCs w:val="32"/>
        </w:rPr>
        <w:t>〔</w:t>
      </w:r>
      <w:r>
        <w:rPr>
          <w:rFonts w:hint="default" w:ascii="Times New Roman" w:hAnsi="Times New Roman" w:eastAsia="方正仿宋_GBK" w:cs="Times New Roman"/>
          <w:color w:val="000000"/>
          <w:spacing w:val="-6"/>
          <w:sz w:val="32"/>
          <w:szCs w:val="32"/>
          <w:lang w:val="en-US" w:eastAsia="zh-CN"/>
        </w:rPr>
        <w:t>2024</w:t>
      </w:r>
      <w:r>
        <w:rPr>
          <w:rFonts w:hint="default" w:ascii="Times New Roman" w:hAnsi="Times New Roman" w:eastAsia="方正仿宋_GBK" w:cs="Times New Roman"/>
          <w:color w:val="000000"/>
          <w:spacing w:val="-6"/>
          <w:sz w:val="32"/>
          <w:szCs w:val="32"/>
        </w:rPr>
        <w:t>〕</w:t>
      </w:r>
      <w:r>
        <w:rPr>
          <w:rFonts w:hint="eastAsia" w:ascii="Times New Roman" w:eastAsia="方正仿宋_GBK" w:cs="Times New Roman"/>
          <w:color w:val="000000"/>
          <w:spacing w:val="-6"/>
          <w:sz w:val="32"/>
          <w:szCs w:val="32"/>
          <w:lang w:val="en-US" w:eastAsia="zh-CN"/>
        </w:rPr>
        <w:t>185</w:t>
      </w:r>
      <w:r>
        <w:rPr>
          <w:rFonts w:hint="default" w:ascii="Times New Roman" w:hAnsi="Times New Roman" w:eastAsia="方正仿宋_GBK" w:cs="Times New Roman"/>
          <w:color w:val="000000"/>
          <w:spacing w:val="-6"/>
          <w:sz w:val="32"/>
          <w:szCs w:val="32"/>
        </w:rPr>
        <w:t>号</w:t>
      </w:r>
    </w:p>
    <w:p>
      <w:pPr>
        <w:spacing w:line="600" w:lineRule="exact"/>
        <w:jc w:val="both"/>
        <w:rPr>
          <w:rFonts w:hint="default" w:ascii="Times New Roman" w:hAnsi="Times New Roman" w:eastAsia="方正小标宋_GBK" w:cs="Times New Roman"/>
          <w:sz w:val="44"/>
          <w:szCs w:val="44"/>
        </w:rPr>
      </w:pPr>
      <w:r>
        <w:rPr>
          <w:rFonts w:hint="default" w:ascii="Times New Roman" w:hAnsi="Times New Roman" w:cs="Times New Roman"/>
          <w:sz w:val="32"/>
          <w:szCs w:val="32"/>
        </w:rPr>
        <w:pict>
          <v:line id="直接连接符 5" o:spid="_x0000_s2050" o:spt="20" style="position:absolute;left:0pt;margin-left:-3.45pt;margin-top:8.75pt;height:0pt;width:456.15pt;z-index:251659264;mso-width-relative:page;mso-height-relative:page;" filled="f" stroked="t" coordsize="21600,21600" o:gfxdata="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7BH7VAAAACAEAAA8AAAAAAAAAAQAgAAAAIgAAAGRycy9kb3ducmV2Lnht&#10;bFBLAQIUABQAAAAIAIdO4kA26mhV/AEAAPMDAAAOAAAAAAAAAAEAIAAAACQBAABkcnMvZTJvRG9j&#10;LnhtbFBLBQYAAAAABgAGAFkBAACSBQAAAAA=&#10;">
            <v:path arrowok="t"/>
            <v:fill on="f" focussize="0,0"/>
            <v:stroke weight="2pt" color="#FF0000" joinstyle="round"/>
            <v:imagedata o:title=""/>
            <o:lock v:ext="edit" aspectratio="f"/>
          </v:line>
        </w:pict>
      </w:r>
    </w:p>
    <w:p>
      <w:pPr>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关于明确2024年度耕地保护重点任务目标的通知</w:t>
      </w:r>
    </w:p>
    <w:p>
      <w:pPr>
        <w:rPr>
          <w:rFonts w:hint="default" w:ascii="Times New Roman" w:hAnsi="Times New Roman" w:eastAsia="方正仿宋_GBK" w:cs="Times New Roman"/>
        </w:rPr>
      </w:pPr>
    </w:p>
    <w:p>
      <w:pPr>
        <w:ind w:firstLine="0" w:firstLineChars="0"/>
        <w:rPr>
          <w:rFonts w:hint="default" w:ascii="Times New Roman" w:hAnsi="Times New Roman" w:eastAsia="方正仿宋_GBK" w:cs="Times New Roman"/>
        </w:rPr>
      </w:pPr>
      <w:r>
        <w:rPr>
          <w:rFonts w:hint="default" w:ascii="Times New Roman" w:hAnsi="Times New Roman" w:eastAsia="方正仿宋_GBK" w:cs="Times New Roman"/>
        </w:rPr>
        <w:t>各村、社区：</w:t>
      </w:r>
    </w:p>
    <w:p>
      <w:pPr>
        <w:rPr>
          <w:rFonts w:hint="default" w:ascii="Times New Roman" w:hAnsi="Times New Roman" w:eastAsia="方正仿宋_GBK" w:cs="Times New Roman"/>
        </w:rPr>
      </w:pPr>
      <w:r>
        <w:rPr>
          <w:rFonts w:hint="default" w:ascii="Times New Roman" w:hAnsi="Times New Roman" w:eastAsia="方正仿宋_GBK" w:cs="Times New Roman"/>
        </w:rPr>
        <w:t>为切实落实耕地保护党政同责，牢牢守住耕地保护红线，确保年度耕地保护目标考核圆满完成，按照全区耕地保护工作安排，现将歌乐山街道2024年度耕地保护重点任务相关事宜通知如下。</w:t>
      </w:r>
    </w:p>
    <w:p>
      <w:pPr>
        <w:rPr>
          <w:rFonts w:hint="default" w:ascii="Times New Roman" w:hAnsi="Times New Roman" w:cs="Times New Roman"/>
        </w:rPr>
      </w:pPr>
      <w:r>
        <w:rPr>
          <w:rFonts w:hint="default" w:ascii="Times New Roman" w:hAnsi="Times New Roman" w:cs="Times New Roman"/>
        </w:rPr>
        <w:t>一、2024年度耕地保护目标任务</w:t>
      </w:r>
    </w:p>
    <w:p>
      <w:pPr>
        <w:rPr>
          <w:rFonts w:hint="default" w:ascii="Times New Roman" w:hAnsi="Times New Roman" w:eastAsia="方正楷体_GBK" w:cs="Times New Roman"/>
        </w:rPr>
      </w:pPr>
      <w:r>
        <w:rPr>
          <w:rFonts w:hint="default" w:ascii="Times New Roman" w:hAnsi="Times New Roman" w:eastAsia="方正楷体_GBK" w:cs="Times New Roman"/>
        </w:rPr>
        <w:t>（一）耕地保有量任务</w:t>
      </w:r>
    </w:p>
    <w:p>
      <w:pPr>
        <w:rPr>
          <w:rFonts w:hint="default" w:ascii="Times New Roman" w:hAnsi="Times New Roman" w:eastAsia="方正仿宋_GBK" w:cs="Times New Roman"/>
        </w:rPr>
      </w:pPr>
      <w:r>
        <w:rPr>
          <w:rFonts w:hint="default" w:ascii="Times New Roman" w:hAnsi="Times New Roman" w:eastAsia="方正仿宋_GBK" w:cs="Times New Roman"/>
        </w:rPr>
        <w:t>耕地保有量任务包含以年度国土变更调查成果为基础的现状耕地面积和耕地保护红线面积。2024年末实际现状耕地面积不得低于2023年末实际现状耕地面积（年度恢复耕地数量大于耕地流出数量）；耕地保护红线范围内耕地面积不得低于“三区三线”划定时确定的耕地面积。</w:t>
      </w:r>
    </w:p>
    <w:p>
      <w:pPr>
        <w:rPr>
          <w:rFonts w:hint="default" w:ascii="Times New Roman" w:hAnsi="Times New Roman" w:eastAsia="方正仿宋_GBK" w:cs="Times New Roman"/>
        </w:rPr>
      </w:pPr>
      <w:r>
        <w:rPr>
          <w:rFonts w:hint="default" w:ascii="Times New Roman" w:hAnsi="Times New Roman" w:eastAsia="方正楷体_GBK" w:cs="Times New Roman"/>
        </w:rPr>
        <w:t>（二）永久基本农田保护任务</w:t>
      </w:r>
    </w:p>
    <w:p>
      <w:pPr>
        <w:rPr>
          <w:rFonts w:hint="default" w:ascii="Times New Roman" w:hAnsi="Times New Roman" w:eastAsia="方正仿宋_GBK" w:cs="Times New Roman"/>
        </w:rPr>
      </w:pPr>
      <w:r>
        <w:rPr>
          <w:rFonts w:hint="default" w:ascii="Times New Roman" w:hAnsi="Times New Roman" w:eastAsia="方正仿宋_GBK" w:cs="Times New Roman"/>
        </w:rPr>
        <w:t>以年度国土变更调查成果为基础，2024年末，辖区永久基本农田保护面积不得低于“三区三线”划定时确定的永久基本农田红线任务面积。</w:t>
      </w:r>
    </w:p>
    <w:p>
      <w:pPr>
        <w:rPr>
          <w:rFonts w:hint="default" w:ascii="Times New Roman" w:hAnsi="Times New Roman" w:eastAsia="方正仿宋_GBK" w:cs="Times New Roman"/>
        </w:rPr>
      </w:pPr>
      <w:r>
        <w:rPr>
          <w:rFonts w:hint="default" w:ascii="Times New Roman" w:hAnsi="Times New Roman" w:eastAsia="方正楷体_GBK" w:cs="Times New Roman"/>
        </w:rPr>
        <w:t>（三）违法占用耕地和永久基本农田控制任务</w:t>
      </w:r>
    </w:p>
    <w:p>
      <w:pPr>
        <w:rPr>
          <w:rFonts w:hint="default" w:ascii="Times New Roman" w:hAnsi="Times New Roman" w:eastAsia="方正仿宋_GBK" w:cs="Times New Roman"/>
        </w:rPr>
      </w:pPr>
      <w:r>
        <w:rPr>
          <w:rFonts w:hint="default" w:ascii="Times New Roman" w:hAnsi="Times New Roman" w:eastAsia="方正仿宋_GBK" w:cs="Times New Roman"/>
        </w:rPr>
        <w:t>在辖区土地卫片执法中，辖区内2023年度和2024年度累积计算剩余年度违法占用耕地比例低于15%，且违法占用耕地数量低于2亩。</w:t>
      </w:r>
    </w:p>
    <w:p>
      <w:pPr>
        <w:rPr>
          <w:rFonts w:hint="default" w:ascii="Times New Roman" w:hAnsi="Times New Roman" w:cs="Times New Roman"/>
        </w:rPr>
      </w:pPr>
      <w:r>
        <w:rPr>
          <w:rFonts w:hint="default" w:ascii="Times New Roman" w:hAnsi="Times New Roman" w:cs="Times New Roman"/>
        </w:rPr>
        <w:t>二、工作要求</w:t>
      </w:r>
    </w:p>
    <w:p>
      <w:pPr>
        <w:rPr>
          <w:rFonts w:hint="default" w:ascii="Times New Roman" w:hAnsi="Times New Roman" w:eastAsia="方正楷体_GBK" w:cs="Times New Roman"/>
        </w:rPr>
      </w:pPr>
      <w:r>
        <w:rPr>
          <w:rFonts w:hint="default" w:ascii="Times New Roman" w:hAnsi="Times New Roman" w:eastAsia="方正楷体_GBK" w:cs="Times New Roman"/>
        </w:rPr>
        <w:t>（一）加强组织领导，确保任务完成</w:t>
      </w:r>
    </w:p>
    <w:p>
      <w:pPr>
        <w:rPr>
          <w:rFonts w:hint="default" w:ascii="Times New Roman" w:hAnsi="Times New Roman" w:eastAsia="方正仿宋_GBK" w:cs="Times New Roman"/>
        </w:rPr>
      </w:pPr>
      <w:r>
        <w:rPr>
          <w:rFonts w:hint="default" w:ascii="Times New Roman" w:hAnsi="Times New Roman" w:eastAsia="方正仿宋_GBK" w:cs="Times New Roman"/>
        </w:rPr>
        <w:t>各村、社区要高度重视，切实加强耕地保护组织领导，统筹做好目标任务实施、项目管理、政策宣传等各项工作，切实履行耕地保护责任，落实工作措施，确保全面完成耕地保护年度各项任务。</w:t>
      </w:r>
    </w:p>
    <w:p>
      <w:pPr>
        <w:rPr>
          <w:rFonts w:hint="default" w:ascii="Times New Roman" w:hAnsi="Times New Roman" w:eastAsia="方正楷体_GBK" w:cs="Times New Roman"/>
        </w:rPr>
      </w:pPr>
      <w:r>
        <w:rPr>
          <w:rFonts w:hint="default" w:ascii="Times New Roman" w:hAnsi="Times New Roman" w:eastAsia="方正楷体_GBK" w:cs="Times New Roman"/>
        </w:rPr>
        <w:t>（二）加强监测监管，定期评估耕地保护任务完成情况</w:t>
      </w:r>
    </w:p>
    <w:p>
      <w:pPr>
        <w:rPr>
          <w:rFonts w:hint="default" w:ascii="Times New Roman" w:hAnsi="Times New Roman" w:eastAsia="方正仿宋_GBK" w:cs="Times New Roman"/>
        </w:rPr>
      </w:pPr>
      <w:r>
        <w:rPr>
          <w:rFonts w:hint="default" w:ascii="Times New Roman" w:hAnsi="Times New Roman" w:eastAsia="方正仿宋_GBK" w:cs="Times New Roman"/>
        </w:rPr>
        <w:t>要提高自主监测能力，加强对辖区耕地的动态巡查监测监管，及时发现耕地变化情况，对发现的问题即时整改。要对照耕地保护各项目标任务，按月定期评估完成情况，根据评估结果有针对性地采取补救措施。对辖区耕地保护任务完成情况要做到心中有数、手中有策、行动有力，确保按时完成耕地保护各项目标任务。</w:t>
      </w:r>
    </w:p>
    <w:p>
      <w:pPr>
        <w:rPr>
          <w:rFonts w:hint="default" w:ascii="Times New Roman" w:hAnsi="Times New Roman" w:eastAsia="方正楷体_GBK" w:cs="Times New Roman"/>
        </w:rPr>
      </w:pPr>
      <w:r>
        <w:rPr>
          <w:rFonts w:hint="default" w:ascii="Times New Roman" w:hAnsi="Times New Roman" w:eastAsia="方正楷体_GBK" w:cs="Times New Roman"/>
        </w:rPr>
        <w:t>（三）千方百计防止耕地流出</w:t>
      </w:r>
    </w:p>
    <w:p>
      <w:pPr>
        <w:rPr>
          <w:rFonts w:hint="default" w:ascii="Times New Roman" w:hAnsi="Times New Roman" w:eastAsia="方正仿宋_GBK" w:cs="Times New Roman"/>
        </w:rPr>
      </w:pPr>
      <w:r>
        <w:rPr>
          <w:rFonts w:hint="default" w:ascii="Times New Roman" w:hAnsi="Times New Roman" w:eastAsia="方正仿宋_GBK" w:cs="Times New Roman"/>
        </w:rPr>
        <w:t>一是抓紧整改存量“非粮化”，对下发的存量“非粮化”任务，逐图斑制定整改计划，倒排工期，打表推进问题处置。二是严防新增“非粮化”，加强耕地种植用途管控，尤其是 2022年以来恢复的耕地要加强后期管护利用，完善长效管护机制，防止耕地再流出。三是加快违法用地整改，新增问题应在发现后60日内完成整改，存量问题整改应制定整改计划统筹推进，逐月削减，争取在年内完成整改。</w:t>
      </w:r>
    </w:p>
    <w:p>
      <w:pPr>
        <w:rPr>
          <w:rFonts w:hint="default" w:ascii="Times New Roman" w:hAnsi="Times New Roman" w:eastAsia="方正楷体_GBK" w:cs="Times New Roman"/>
        </w:rPr>
      </w:pPr>
      <w:r>
        <w:rPr>
          <w:rFonts w:hint="default" w:ascii="Times New Roman" w:hAnsi="Times New Roman" w:eastAsia="方正楷体_GBK" w:cs="Times New Roman"/>
        </w:rPr>
        <w:t>（四）想</w:t>
      </w:r>
      <w:r>
        <w:rPr>
          <w:rFonts w:hint="eastAsia" w:ascii="Times New Roman" w:eastAsia="方正楷体_GBK" w:cs="Times New Roman"/>
          <w:lang w:eastAsia="zh-CN"/>
        </w:rPr>
        <w:t>方</w:t>
      </w:r>
      <w:bookmarkStart w:id="2" w:name="_GoBack"/>
      <w:bookmarkEnd w:id="2"/>
      <w:r>
        <w:rPr>
          <w:rFonts w:hint="default" w:ascii="Times New Roman" w:hAnsi="Times New Roman" w:eastAsia="方正楷体_GBK" w:cs="Times New Roman"/>
        </w:rPr>
        <w:t>设法增加耕地流入</w:t>
      </w:r>
    </w:p>
    <w:p>
      <w:pPr>
        <w:rPr>
          <w:rFonts w:hint="default" w:ascii="Times New Roman" w:hAnsi="Times New Roman" w:eastAsia="方正仿宋_GBK" w:cs="Times New Roman"/>
        </w:rPr>
      </w:pPr>
      <w:r>
        <w:rPr>
          <w:rFonts w:hint="default" w:ascii="Times New Roman" w:hAnsi="Times New Roman" w:eastAsia="方正仿宋_GBK" w:cs="Times New Roman"/>
        </w:rPr>
        <w:t>各村、社区要认真摸排耕地后备资源图斑情况，结合辖区土地现状，深挖耕地恢复潜力地块，尽早谋划，制定科学合理的耕地恢复工作方案，分类施策、有力有效开展耕地恢复工作，确保已恢复且符合要求的地块纳入年度国土变更调查成果。要确保恢复耕地质量和施工安全，防范安全事故和破坏生态环境等行为，存在风险隐患的，要及时纠正，化解矛盾。</w:t>
      </w:r>
    </w:p>
    <w:p>
      <w:pPr>
        <w:rPr>
          <w:rFonts w:hint="default" w:ascii="Times New Roman" w:hAnsi="Times New Roman" w:eastAsia="方正楷体_GBK" w:cs="Times New Roman"/>
        </w:rPr>
      </w:pPr>
      <w:r>
        <w:rPr>
          <w:rFonts w:hint="default" w:ascii="Times New Roman" w:hAnsi="Times New Roman" w:eastAsia="方正楷体_GBK" w:cs="Times New Roman"/>
        </w:rPr>
        <w:t>（五）稳妥审慎有序推进</w:t>
      </w:r>
    </w:p>
    <w:p>
      <w:pPr>
        <w:rPr>
          <w:rFonts w:hint="default" w:ascii="Times New Roman" w:hAnsi="Times New Roman" w:eastAsia="方正仿宋_GBK" w:cs="Times New Roman"/>
        </w:rPr>
      </w:pPr>
      <w:r>
        <w:rPr>
          <w:rFonts w:hint="default" w:ascii="Times New Roman" w:hAnsi="Times New Roman" w:eastAsia="方正仿宋_GBK" w:cs="Times New Roman"/>
        </w:rPr>
        <w:t>各村、社区在推进耕地保护工作中要坚持因地制宜，结合自然地理格局和农业生产规律，充分尊重农民意愿，稳妥审慎处置。坚决防止“简单化”“一刀切”，要加强耕地保护的政策宣传，增强社员群众的耕地保护意识，正面引导社会舆论，加强舆情监控处置。</w:t>
      </w:r>
    </w:p>
    <w:p>
      <w:pPr>
        <w:rPr>
          <w:rFonts w:hint="default" w:ascii="Times New Roman" w:hAnsi="Times New Roman" w:eastAsia="方正仿宋_GBK" w:cs="Times New Roman"/>
        </w:rPr>
      </w:pPr>
      <w:r>
        <w:rPr>
          <w:rFonts w:hint="default" w:ascii="Times New Roman" w:hAnsi="Times New Roman" w:eastAsia="方正仿宋_GBK" w:cs="Times New Roman"/>
        </w:rPr>
        <w:t>附件：2024年度各村、社区耕地保护目标任务分解表</w:t>
      </w:r>
    </w:p>
    <w:p>
      <w:pPr>
        <w:pStyle w:val="2"/>
        <w:rPr>
          <w:rFonts w:hint="default" w:ascii="Times New Roman" w:hAnsi="Times New Roman" w:cs="Times New Roman"/>
        </w:rPr>
      </w:pPr>
    </w:p>
    <w:p>
      <w:pPr>
        <w:pStyle w:val="2"/>
        <w:ind w:firstLine="3520" w:firstLineChars="11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沙坪坝区人民政府歌乐山街道办事处</w:t>
      </w:r>
    </w:p>
    <w:p>
      <w:pPr>
        <w:pStyle w:val="2"/>
        <w:ind w:firstLine="4800" w:firstLineChars="1500"/>
        <w:rPr>
          <w:rFonts w:hint="default" w:ascii="Times New Roman" w:hAnsi="Times New Roman" w:eastAsia="方正仿宋_GBK" w:cs="Times New Roman"/>
          <w:kern w:val="0"/>
          <w:sz w:val="32"/>
          <w:szCs w:val="32"/>
          <w:lang w:val="en-US" w:eastAsia="zh-CN" w:bidi="ar-SA"/>
        </w:rPr>
        <w:sectPr>
          <w:footerReference r:id="rId5" w:type="default"/>
          <w:pgSz w:w="11906" w:h="16838"/>
          <w:pgMar w:top="2098" w:right="1531" w:bottom="1984" w:left="1531" w:header="851" w:footer="992" w:gutter="0"/>
          <w:pgNumType w:fmt="decimal"/>
          <w:cols w:space="425" w:num="1"/>
          <w:docGrid w:type="lines" w:linePitch="312" w:charSpace="0"/>
        </w:sectPr>
      </w:pPr>
      <w:r>
        <w:rPr>
          <w:rFonts w:hint="eastAsia" w:ascii="Times New Roman" w:hAnsi="Times New Roman" w:eastAsia="方正仿宋_GBK" w:cs="Times New Roman"/>
          <w:kern w:val="0"/>
          <w:sz w:val="32"/>
          <w:szCs w:val="32"/>
          <w:lang w:val="en-US" w:eastAsia="zh-CN" w:bidi="ar-SA"/>
        </w:rPr>
        <w:t>2024年</w:t>
      </w:r>
      <w:r>
        <w:rPr>
          <w:rFonts w:hint="default" w:ascii="Times New Roman" w:eastAsia="方正仿宋_GBK" w:cs="Times New Roman"/>
          <w:kern w:val="0"/>
          <w:sz w:val="32"/>
          <w:szCs w:val="32"/>
          <w:lang w:val="en" w:eastAsia="zh-CN" w:bidi="ar-SA"/>
        </w:rPr>
        <w:t>10</w:t>
      </w:r>
      <w:r>
        <w:rPr>
          <w:rFonts w:hint="eastAsia" w:ascii="Times New Roman" w:hAnsi="Times New Roman" w:eastAsia="方正仿宋_GBK" w:cs="Times New Roman"/>
          <w:kern w:val="0"/>
          <w:sz w:val="32"/>
          <w:szCs w:val="32"/>
          <w:lang w:val="en-US" w:eastAsia="zh-CN" w:bidi="ar-SA"/>
        </w:rPr>
        <w:t>月</w:t>
      </w:r>
      <w:r>
        <w:rPr>
          <w:rFonts w:hint="default" w:ascii="Times New Roman" w:eastAsia="方正仿宋_GBK" w:cs="Times New Roman"/>
          <w:kern w:val="0"/>
          <w:sz w:val="32"/>
          <w:szCs w:val="32"/>
          <w:lang w:val="en" w:eastAsia="zh-CN" w:bidi="ar-SA"/>
        </w:rPr>
        <w:t>8</w:t>
      </w:r>
      <w:r>
        <w:rPr>
          <w:rFonts w:hint="eastAsia" w:ascii="Times New Roman" w:hAnsi="Times New Roman" w:eastAsia="方正仿宋_GBK" w:cs="Times New Roman"/>
          <w:kern w:val="0"/>
          <w:sz w:val="32"/>
          <w:szCs w:val="32"/>
          <w:lang w:val="en-US" w:eastAsia="zh-CN" w:bidi="ar-SA"/>
        </w:rPr>
        <w:t>日</w:t>
      </w:r>
    </w:p>
    <w:p>
      <w:pPr>
        <w:spacing w:line="560" w:lineRule="exact"/>
        <w:ind w:firstLine="0" w:firstLineChars="0"/>
        <w:rPr>
          <w:rFonts w:hint="default" w:ascii="Times New Roman" w:hAnsi="Times New Roman" w:cs="Times New Roman"/>
        </w:rPr>
      </w:pPr>
      <w:r>
        <w:rPr>
          <w:rFonts w:hint="default" w:ascii="Times New Roman" w:hAnsi="Times New Roman" w:cs="Times New Roman"/>
        </w:rPr>
        <w:t>附件</w:t>
      </w:r>
    </w:p>
    <w:p>
      <w:pPr>
        <w:spacing w:line="560" w:lineRule="exact"/>
        <w:ind w:firstLine="0" w:firstLineChars="0"/>
        <w:jc w:val="center"/>
        <w:rPr>
          <w:rFonts w:hint="default" w:ascii="Times New Roman" w:hAnsi="Times New Roman" w:eastAsia="方正小标宋_GBK" w:cs="Times New Roman"/>
          <w:sz w:val="44"/>
          <w:szCs w:val="44"/>
        </w:rPr>
      </w:pPr>
    </w:p>
    <w:p>
      <w:pPr>
        <w:spacing w:line="56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2024年度各村、社区耕地保护目标任务</w:t>
      </w:r>
    </w:p>
    <w:p>
      <w:pPr>
        <w:spacing w:line="56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分解表</w:t>
      </w:r>
    </w:p>
    <w:tbl>
      <w:tblPr>
        <w:tblStyle w:val="7"/>
        <w:tblW w:w="9498"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85"/>
        <w:gridCol w:w="992"/>
        <w:gridCol w:w="3402"/>
        <w:gridCol w:w="31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tcPr>
          <w:p>
            <w:pPr>
              <w:ind w:firstLine="0" w:firstLineChars="0"/>
              <w:jc w:val="center"/>
              <w:rPr>
                <w:rFonts w:hint="default" w:ascii="Times New Roman" w:hAnsi="Times New Roman" w:cs="Times New Roman"/>
              </w:rPr>
            </w:pPr>
            <w:r>
              <w:rPr>
                <w:rFonts w:hint="default" w:ascii="Times New Roman" w:hAnsi="Times New Roman" w:cs="Times New Roman"/>
              </w:rPr>
              <w:t>村、社区</w:t>
            </w:r>
          </w:p>
        </w:tc>
        <w:tc>
          <w:tcPr>
            <w:tcW w:w="992" w:type="dxa"/>
          </w:tcPr>
          <w:p>
            <w:pPr>
              <w:ind w:firstLine="0" w:firstLineChars="0"/>
              <w:jc w:val="center"/>
              <w:rPr>
                <w:rFonts w:hint="default" w:ascii="Times New Roman" w:hAnsi="Times New Roman" w:cs="Times New Roman"/>
              </w:rPr>
            </w:pPr>
            <w:r>
              <w:rPr>
                <w:rFonts w:hint="default" w:ascii="Times New Roman" w:hAnsi="Times New Roman" w:cs="Times New Roman"/>
              </w:rPr>
              <w:t>序号</w:t>
            </w:r>
          </w:p>
        </w:tc>
        <w:tc>
          <w:tcPr>
            <w:tcW w:w="3402" w:type="dxa"/>
          </w:tcPr>
          <w:p>
            <w:pPr>
              <w:ind w:firstLine="0" w:firstLineChars="0"/>
              <w:jc w:val="center"/>
              <w:rPr>
                <w:rFonts w:hint="default" w:ascii="Times New Roman" w:hAnsi="Times New Roman" w:cs="Times New Roman"/>
              </w:rPr>
            </w:pPr>
            <w:r>
              <w:rPr>
                <w:rFonts w:hint="default" w:ascii="Times New Roman" w:hAnsi="Times New Roman" w:cs="Times New Roman"/>
              </w:rPr>
              <w:t>考核指标</w:t>
            </w:r>
          </w:p>
        </w:tc>
        <w:tc>
          <w:tcPr>
            <w:tcW w:w="3119" w:type="dxa"/>
          </w:tcPr>
          <w:p>
            <w:pPr>
              <w:ind w:firstLine="0" w:firstLineChars="0"/>
              <w:jc w:val="center"/>
              <w:rPr>
                <w:rFonts w:hint="default" w:ascii="Times New Roman" w:hAnsi="Times New Roman" w:cs="Times New Roman"/>
              </w:rPr>
            </w:pPr>
            <w:r>
              <w:rPr>
                <w:rFonts w:hint="default" w:ascii="Times New Roman" w:hAnsi="Times New Roman" w:cs="Times New Roman"/>
              </w:rPr>
              <w:t>2024年目标任务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restart"/>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金刚村</w:t>
            </w: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耕地保有量</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2504.69亩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永久基本农田保护面积</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1980.86亩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违法违规占用耕地比例</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&lt;15%，且数量&lt;2亩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4</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耕地恢复补足</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10亩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restart"/>
            <w:vAlign w:val="center"/>
          </w:tcPr>
          <w:p>
            <w:pPr>
              <w:spacing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歌乐村</w:t>
            </w: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耕地保有量</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818.97亩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永久基本农田保护面积</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482.45亩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违法违规占用耕地比例</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&lt;15%，且数量&lt;2亩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4</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耕地恢复补足</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9亩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restart"/>
            <w:vAlign w:val="center"/>
          </w:tcPr>
          <w:p>
            <w:pPr>
              <w:spacing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天池村</w:t>
            </w: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耕地保有量</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858.71亩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永久基本农田保护面积</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514.48亩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违法违规占用耕地比例</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&lt;15%，且数量&lt;2亩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4</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耕地恢复补足</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32亩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restart"/>
            <w:vAlign w:val="center"/>
          </w:tcPr>
          <w:p>
            <w:pPr>
              <w:spacing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新开寺村</w:t>
            </w: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耕地保有量</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904.36亩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永久基本农田保护面积</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622.79亩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违法违规占用耕地比例</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&lt;15%，且数量&lt;2亩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4</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耕地恢复补足</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8亩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restart"/>
            <w:vAlign w:val="center"/>
          </w:tcPr>
          <w:p>
            <w:pPr>
              <w:spacing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山洞村</w:t>
            </w: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耕地保有量</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1001.8亩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永久基本农田保护面积</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416.53亩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违法违规占用耕地比例</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&lt;15%，且数量&lt;2亩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4</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耕地恢复补足</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7亩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restart"/>
            <w:vAlign w:val="center"/>
          </w:tcPr>
          <w:p>
            <w:pPr>
              <w:spacing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高店子社区</w:t>
            </w: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耕地保有量</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91.51亩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eastAsia="方正仿宋_GBK" w:cs="Times New Roman"/>
                <w:sz w:val="28"/>
                <w:szCs w:val="28"/>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永久基本农田保护面积</w:t>
            </w:r>
          </w:p>
        </w:tc>
        <w:tc>
          <w:tcPr>
            <w:tcW w:w="3119" w:type="dxa"/>
            <w:vAlign w:val="center"/>
          </w:tcPr>
          <w:p>
            <w:pPr>
              <w:spacing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12.23亩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eastAsia="方正仿宋_GBK" w:cs="Times New Roman"/>
                <w:sz w:val="28"/>
                <w:szCs w:val="28"/>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违法违规占用耕地比例</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eastAsia="方正仿宋_GBK" w:cs="Times New Roman"/>
                <w:sz w:val="28"/>
                <w:szCs w:val="28"/>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4</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耕地恢复补足</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restart"/>
            <w:vAlign w:val="center"/>
          </w:tcPr>
          <w:p>
            <w:pPr>
              <w:spacing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大土村社区</w:t>
            </w: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耕地保有量</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48.07亩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eastAsia="方正仿宋_GBK" w:cs="Times New Roman"/>
                <w:sz w:val="28"/>
                <w:szCs w:val="28"/>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永久基本农田保护面积</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12.7</w:t>
            </w:r>
            <w:r>
              <w:rPr>
                <w:rFonts w:hint="default" w:ascii="Times New Roman" w:hAnsi="Times New Roman" w:eastAsia="方正仿宋_GBK" w:cs="Times New Roman"/>
                <w:sz w:val="28"/>
                <w:szCs w:val="28"/>
              </w:rPr>
              <w:t>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eastAsia="方正仿宋_GBK" w:cs="Times New Roman"/>
                <w:sz w:val="28"/>
                <w:szCs w:val="28"/>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违法违规占用耕地比例</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vAlign w:val="center"/>
          </w:tcPr>
          <w:p>
            <w:pPr>
              <w:spacing w:line="560" w:lineRule="exact"/>
              <w:ind w:firstLine="0" w:firstLineChars="0"/>
              <w:jc w:val="center"/>
              <w:rPr>
                <w:rFonts w:hint="default" w:ascii="Times New Roman" w:hAnsi="Times New Roman" w:eastAsia="方正仿宋_GBK" w:cs="Times New Roman"/>
                <w:sz w:val="28"/>
                <w:szCs w:val="28"/>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4</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耕地恢复补足</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restart"/>
            <w:vAlign w:val="center"/>
          </w:tcPr>
          <w:p>
            <w:pPr>
              <w:spacing w:line="560" w:lineRule="exact"/>
              <w:ind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矿山破社区</w:t>
            </w: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耕地保有量</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45.07亩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永久基本农田保护面积</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0.4</w:t>
            </w:r>
            <w:r>
              <w:rPr>
                <w:rFonts w:hint="default" w:ascii="Times New Roman" w:hAnsi="Times New Roman" w:eastAsia="方正仿宋_GBK" w:cs="Times New Roman"/>
                <w:sz w:val="28"/>
                <w:szCs w:val="28"/>
              </w:rPr>
              <w:t>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违法违规占用耕地比例</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5" w:type="dxa"/>
            <w:vMerge w:val="continue"/>
          </w:tcPr>
          <w:p>
            <w:pPr>
              <w:spacing w:line="560" w:lineRule="exact"/>
              <w:ind w:firstLine="0" w:firstLineChars="0"/>
              <w:rPr>
                <w:rFonts w:hint="default" w:ascii="Times New Roman" w:hAnsi="Times New Roman" w:cs="Times New Roman"/>
              </w:rPr>
            </w:pPr>
          </w:p>
        </w:tc>
        <w:tc>
          <w:tcPr>
            <w:tcW w:w="99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cs="Times New Roman"/>
              </w:rPr>
              <w:t>4</w:t>
            </w:r>
          </w:p>
        </w:tc>
        <w:tc>
          <w:tcPr>
            <w:tcW w:w="3402"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耕地恢复补足</w:t>
            </w:r>
          </w:p>
        </w:tc>
        <w:tc>
          <w:tcPr>
            <w:tcW w:w="3119" w:type="dxa"/>
            <w:vAlign w:val="center"/>
          </w:tcPr>
          <w:p>
            <w:pPr>
              <w:spacing w:line="560" w:lineRule="exact"/>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w:t>
            </w:r>
          </w:p>
        </w:tc>
      </w:tr>
    </w:tbl>
    <w:p>
      <w:pPr>
        <w:ind w:firstLine="0" w:firstLineChars="0"/>
        <w:rPr>
          <w:rFonts w:hint="default" w:ascii="Times New Roman" w:hAnsi="Times New Roman" w:cs="Times New Roman"/>
        </w:rPr>
      </w:pPr>
    </w:p>
    <w:sectPr>
      <w:pgSz w:w="11906" w:h="16838"/>
      <w:pgMar w:top="1440" w:right="1797" w:bottom="1440" w:left="1797" w:header="851" w:footer="992" w:gutter="0"/>
      <w:pgNumType w:fmt="decimal"/>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lZjA0MzEzMjUzYjhkNDM5MTIyOGJkNGIxNWViNmEifQ=="/>
  </w:docVars>
  <w:rsids>
    <w:rsidRoot w:val="00B16B0C"/>
    <w:rsid w:val="00077E66"/>
    <w:rsid w:val="000D4E14"/>
    <w:rsid w:val="00167682"/>
    <w:rsid w:val="00204C6A"/>
    <w:rsid w:val="002B04F8"/>
    <w:rsid w:val="002C23B9"/>
    <w:rsid w:val="003F69FC"/>
    <w:rsid w:val="00413376"/>
    <w:rsid w:val="0041694C"/>
    <w:rsid w:val="004726EA"/>
    <w:rsid w:val="004913F5"/>
    <w:rsid w:val="004D00C7"/>
    <w:rsid w:val="006463C7"/>
    <w:rsid w:val="00663A08"/>
    <w:rsid w:val="006F4DDA"/>
    <w:rsid w:val="00735BC6"/>
    <w:rsid w:val="00804832"/>
    <w:rsid w:val="008B3866"/>
    <w:rsid w:val="008C3EB1"/>
    <w:rsid w:val="00910EBF"/>
    <w:rsid w:val="00954622"/>
    <w:rsid w:val="00990EAA"/>
    <w:rsid w:val="009F136C"/>
    <w:rsid w:val="009F26D1"/>
    <w:rsid w:val="00A11A22"/>
    <w:rsid w:val="00AF4342"/>
    <w:rsid w:val="00B16B0C"/>
    <w:rsid w:val="00B43685"/>
    <w:rsid w:val="00B74EC2"/>
    <w:rsid w:val="00B8396B"/>
    <w:rsid w:val="00BB4898"/>
    <w:rsid w:val="00C00C3A"/>
    <w:rsid w:val="00C147E7"/>
    <w:rsid w:val="00CA032A"/>
    <w:rsid w:val="00D44105"/>
    <w:rsid w:val="00E1037D"/>
    <w:rsid w:val="00EC08A5"/>
    <w:rsid w:val="37E66781"/>
    <w:rsid w:val="3AD36D89"/>
    <w:rsid w:val="4211482C"/>
    <w:rsid w:val="6E1F3916"/>
    <w:rsid w:val="7B72441C"/>
    <w:rsid w:val="7DFFC72B"/>
    <w:rsid w:val="EECB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640" w:firstLineChars="200"/>
      <w:jc w:val="both"/>
    </w:pPr>
    <w:rPr>
      <w:rFonts w:ascii="方正黑体_GBK" w:hAnsi="Times New Roman" w:eastAsia="方正黑体_GBK" w:cs="Times New Roman"/>
      <w:kern w:val="0"/>
      <w:sz w:val="32"/>
      <w:szCs w:val="32"/>
      <w:lang w:val="en-US" w:eastAsia="zh-CN" w:bidi="ar-SA"/>
    </w:rPr>
  </w:style>
  <w:style w:type="paragraph" w:styleId="3">
    <w:name w:val="heading 4"/>
    <w:basedOn w:val="1"/>
    <w:next w:val="1"/>
    <w:link w:val="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标题 4 Char"/>
    <w:basedOn w:val="8"/>
    <w:link w:val="3"/>
    <w:semiHidden/>
    <w:qFormat/>
    <w:uiPriority w:val="9"/>
    <w:rPr>
      <w:rFonts w:asciiTheme="majorHAnsi" w:hAnsiTheme="majorHAnsi" w:eastAsiaTheme="majorEastAsia" w:cstheme="majorBidi"/>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1222</Words>
  <Characters>1268</Characters>
  <Lines>13</Lines>
  <Paragraphs>3</Paragraphs>
  <TotalTime>3</TotalTime>
  <ScaleCrop>false</ScaleCrop>
  <LinksUpToDate>false</LinksUpToDate>
  <CharactersWithSpaces>1269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2024-09-11T08:52:00Z</dcterms:created>
  <dc:creator>HP</dc:creator>
  <cp:lastModifiedBy>kylin</cp:lastModifiedBy>
  <cp:lastPrinted>2024-09-30T14:30:00Z</cp:lastPrinted>
  <dcterms:modified xsi:type="dcterms:W3CDTF">2024-10-08T17:18:08Z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75A977459BC84CD5A04156C7440C66EC_12</vt:lpwstr>
  </property>
</Properties>
</file>