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580" w:lineRule="exact"/>
        <w:jc w:val="center"/>
        <w:rPr>
          <w:rFonts w:hint="eastAsia" w:eastAsia="方正小标宋_GBK" w:cs="方正小标宋_GBK"/>
          <w:sz w:val="44"/>
        </w:rPr>
      </w:pPr>
      <w:r>
        <w:rPr>
          <w:rFonts w:hint="eastAsia" w:eastAsia="方正小标宋_GBK" w:cs="方正小标宋_GBK"/>
          <w:sz w:val="44"/>
        </w:rPr>
        <w:t>重庆市沙坪坝区人民政府土主街道办事处</w:t>
      </w:r>
    </w:p>
    <w:p>
      <w:pPr>
        <w:widowControl/>
        <w:wordWrap w:val="0"/>
        <w:spacing w:line="580" w:lineRule="exact"/>
        <w:jc w:val="center"/>
        <w:rPr>
          <w:rFonts w:hint="eastAsia" w:eastAsia="方正小标宋_GBK" w:cs="方正小标宋_GBK"/>
          <w:sz w:val="44"/>
        </w:rPr>
      </w:pPr>
      <w:r>
        <w:rPr>
          <w:rFonts w:hint="eastAsia" w:eastAsia="方正小标宋_GBK" w:cs="方正小标宋_GBK"/>
          <w:sz w:val="44"/>
        </w:rPr>
        <w:t>2024年法治政府建设情况报告</w:t>
      </w:r>
    </w:p>
    <w:p>
      <w:pPr>
        <w:widowControl/>
        <w:wordWrap w:val="0"/>
        <w:spacing w:line="580" w:lineRule="exact"/>
        <w:ind w:firstLine="640" w:firstLineChars="200"/>
        <w:rPr>
          <w:rFonts w:cs="方正仿宋_GBK"/>
        </w:rPr>
      </w:pPr>
      <w:r>
        <w:rPr>
          <w:rFonts w:hint="eastAsia" w:cs="方正仿宋_GBK"/>
        </w:rPr>
        <w:t>2024年，在区委、区政府的坚强领导下，土主街道坚持以习近平新时代中国特色社会主义思想为指引，</w:t>
      </w:r>
      <w:r>
        <w:rPr>
          <w:rFonts w:hint="eastAsia"/>
          <w:color w:val="000000"/>
        </w:rPr>
        <w:t>全面贯彻落实党的二十大和二十届历次全会精神，</w:t>
      </w:r>
      <w:r>
        <w:rPr>
          <w:rFonts w:hint="eastAsia" w:cs="方正仿宋_GBK"/>
        </w:rPr>
        <w:t>对标对表《2024年全区法治政府建设工作要点》目标任务，结合工作实际，扎实开展法治政府建设各项工作，现将有关情况报告如下：</w:t>
      </w:r>
    </w:p>
    <w:p>
      <w:pPr>
        <w:widowControl/>
        <w:wordWrap w:val="0"/>
        <w:spacing w:line="580" w:lineRule="exact"/>
        <w:ind w:firstLine="640" w:firstLineChars="200"/>
        <w:rPr>
          <w:rFonts w:eastAsia="楷体_GB2312" w:cstheme="minorBidi"/>
          <w:szCs w:val="22"/>
        </w:rPr>
      </w:pPr>
      <w:r>
        <w:rPr>
          <w:rFonts w:hint="eastAsia" w:eastAsia="方正黑体_GBK" w:cs="方正黑体_GBK"/>
          <w:snapToGrid w:val="0"/>
          <w:kern w:val="0"/>
        </w:rPr>
        <w:t>一、推进法治政府建设的主要举措和成效</w:t>
      </w:r>
    </w:p>
    <w:p>
      <w:pPr>
        <w:widowControl/>
        <w:wordWrap w:val="0"/>
        <w:spacing w:line="580" w:lineRule="exact"/>
        <w:ind w:firstLine="640" w:firstLineChars="200"/>
        <w:rPr>
          <w:rFonts w:hint="eastAsia" w:ascii="方正楷体_GBK" w:hAnsi="方正楷体_GBK" w:eastAsia="方正楷体_GBK" w:cs="方正楷体_GBK"/>
          <w:color w:val="000000"/>
        </w:rPr>
      </w:pPr>
      <w:r>
        <w:rPr>
          <w:rFonts w:hint="eastAsia" w:ascii="方正楷体_GBK" w:hAnsi="方正楷体_GBK" w:eastAsia="方正楷体_GBK" w:cs="方正楷体_GBK"/>
          <w:szCs w:val="22"/>
        </w:rPr>
        <w:t>（一）</w:t>
      </w:r>
      <w:r>
        <w:rPr>
          <w:rFonts w:hint="eastAsia" w:ascii="方正楷体_GBK" w:hAnsi="方正楷体_GBK" w:eastAsia="方正楷体_GBK" w:cs="方正楷体_GBK"/>
          <w:color w:val="000000"/>
        </w:rPr>
        <w:t>党建引领基层法治</w:t>
      </w:r>
    </w:p>
    <w:p>
      <w:pPr>
        <w:widowControl/>
        <w:wordWrap w:val="0"/>
        <w:spacing w:line="580" w:lineRule="exact"/>
        <w:ind w:firstLine="640" w:firstLineChars="200"/>
        <w:rPr>
          <w:rFonts w:cs="方正仿宋_GBK"/>
        </w:rPr>
      </w:pPr>
      <w:r>
        <w:rPr>
          <w:rFonts w:hint="eastAsia" w:cs="方正仿宋_GBK"/>
        </w:rPr>
        <w:t>深入学习贯彻习近平法治思想，深刻领悟“两个确立”的决定性意义，增强“四个意识”、坚定“四个自信”、做到“两个维护”，紧紧围绕贯彻落实市委六届历次全会部署和区委十三届历次全会精神，牢牢把握稳进增效、除险固安、改革突破、惠民强企工作导向，大力弘扬社会主义法治精神，着力提高社会治理法治化水平，进一步增强全社会厉行法治的积极性和主动性，为土主基层法治建设纵深推进、营造良好法治环境。</w:t>
      </w:r>
    </w:p>
    <w:p>
      <w:pPr>
        <w:pStyle w:val="9"/>
        <w:widowControl/>
        <w:wordWrap w:val="0"/>
        <w:spacing w:beforeAutospacing="0" w:afterAutospacing="0" w:line="580" w:lineRule="exact"/>
        <w:ind w:firstLine="640" w:firstLineChars="200"/>
        <w:jc w:val="both"/>
        <w:textAlignment w:val="baseline"/>
        <w:rPr>
          <w:kern w:val="2"/>
          <w:sz w:val="32"/>
        </w:rPr>
      </w:pPr>
      <w:r>
        <w:rPr>
          <w:rFonts w:hint="eastAsia"/>
          <w:sz w:val="32"/>
        </w:rPr>
        <w:t>深入实施“党建扎桩</w:t>
      </w:r>
      <w:r>
        <w:rPr>
          <w:rFonts w:hint="eastAsia" w:ascii="方正仿宋_GBK" w:hAnsi="方正仿宋_GBK" w:cs="方正仿宋_GBK"/>
          <w:sz w:val="32"/>
        </w:rPr>
        <w:t>·</w:t>
      </w:r>
      <w:r>
        <w:rPr>
          <w:rFonts w:hint="eastAsia"/>
          <w:sz w:val="32"/>
        </w:rPr>
        <w:t>治理结网”工程，扎实推进“一中心四板块”基层治理体系建设，推动小网格促进大民生、推动新发展。</w:t>
      </w:r>
      <w:r>
        <w:rPr>
          <w:rFonts w:hint="eastAsia" w:ascii="方正仿宋_GBK" w:hAnsi="方正仿宋_GBK" w:cs="方正仿宋_GBK"/>
          <w:b/>
          <w:bCs/>
          <w:color w:val="000000"/>
          <w:sz w:val="32"/>
        </w:rPr>
        <w:t>一是完善基层智治体系。</w:t>
      </w:r>
      <w:r>
        <w:rPr>
          <w:sz w:val="32"/>
        </w:rPr>
        <w:t>根据</w:t>
      </w:r>
      <w:r>
        <w:rPr>
          <w:rFonts w:ascii="方正仿宋_GBK" w:hAnsi="方正仿宋_GBK" w:cs="方正仿宋_GBK"/>
          <w:sz w:val="32"/>
        </w:rPr>
        <w:t>“</w:t>
      </w:r>
      <w:r>
        <w:rPr>
          <w:sz w:val="32"/>
        </w:rPr>
        <w:t>141</w:t>
      </w:r>
      <w:r>
        <w:rPr>
          <w:rFonts w:ascii="方正仿宋_GBK" w:hAnsi="方正仿宋_GBK" w:cs="方正仿宋_GBK"/>
          <w:sz w:val="32"/>
        </w:rPr>
        <w:t>”</w:t>
      </w:r>
      <w:r>
        <w:rPr>
          <w:sz w:val="32"/>
        </w:rPr>
        <w:t>体系改革要求，数字赋能推进</w:t>
      </w:r>
      <w:r>
        <w:rPr>
          <w:rFonts w:ascii="方正仿宋_GBK" w:hAnsi="方正仿宋_GBK" w:cs="方正仿宋_GBK"/>
          <w:sz w:val="32"/>
        </w:rPr>
        <w:t>“大综合一体化”城市综合治</w:t>
      </w:r>
      <w:r>
        <w:rPr>
          <w:sz w:val="32"/>
        </w:rPr>
        <w:t>理体制机制建设，</w:t>
      </w:r>
      <w:r>
        <w:rPr>
          <w:rFonts w:ascii="方正仿宋_GBK" w:hAnsi="方正仿宋_GBK" w:cs="方正仿宋_GBK"/>
          <w:sz w:val="32"/>
        </w:rPr>
        <w:t>以“单建</w:t>
      </w:r>
      <w:r>
        <w:rPr>
          <w:sz w:val="32"/>
        </w:rPr>
        <w:t>+</w:t>
      </w:r>
      <w:r>
        <w:rPr>
          <w:rFonts w:ascii="方正仿宋_GBK" w:hAnsi="方正仿宋_GBK" w:cs="方正仿宋_GBK"/>
          <w:sz w:val="32"/>
        </w:rPr>
        <w:t>联建”模式，</w:t>
      </w:r>
      <w:r>
        <w:rPr>
          <w:sz w:val="32"/>
        </w:rPr>
        <w:t>强化街道带网格能力，配齐</w:t>
      </w:r>
      <w:r>
        <w:rPr>
          <w:rFonts w:hint="eastAsia" w:ascii="方正仿宋_GBK" w:hAnsi="方正仿宋_GBK" w:cs="方正仿宋_GBK"/>
          <w:sz w:val="32"/>
        </w:rPr>
        <w:t>配强“</w:t>
      </w:r>
      <w:r>
        <w:rPr>
          <w:sz w:val="32"/>
        </w:rPr>
        <w:t>1+</w:t>
      </w:r>
      <w:r>
        <w:rPr>
          <w:rFonts w:hint="eastAsia"/>
          <w:sz w:val="32"/>
        </w:rPr>
        <w:t>4</w:t>
      </w:r>
      <w:r>
        <w:rPr>
          <w:sz w:val="32"/>
        </w:rPr>
        <w:t>+N</w:t>
      </w:r>
      <w:r>
        <w:rPr>
          <w:rFonts w:ascii="方正仿宋_GBK" w:hAnsi="方正仿宋_GBK" w:cs="方正仿宋_GBK"/>
          <w:sz w:val="32"/>
        </w:rPr>
        <w:t>”网</w:t>
      </w:r>
      <w:r>
        <w:rPr>
          <w:sz w:val="32"/>
        </w:rPr>
        <w:t>格团队，划分综合网格</w:t>
      </w:r>
      <w:r>
        <w:rPr>
          <w:rFonts w:hint="eastAsia"/>
          <w:sz w:val="32"/>
        </w:rPr>
        <w:t>96</w:t>
      </w:r>
      <w:r>
        <w:rPr>
          <w:sz w:val="32"/>
        </w:rPr>
        <w:t>个，划分</w:t>
      </w:r>
      <w:r>
        <w:rPr>
          <w:rFonts w:hint="eastAsia"/>
          <w:sz w:val="32"/>
        </w:rPr>
        <w:t>企业</w:t>
      </w:r>
      <w:r>
        <w:rPr>
          <w:sz w:val="32"/>
        </w:rPr>
        <w:t>集群专属网格</w:t>
      </w:r>
      <w:r>
        <w:rPr>
          <w:rFonts w:hint="eastAsia"/>
          <w:sz w:val="32"/>
        </w:rPr>
        <w:t>15</w:t>
      </w:r>
      <w:r>
        <w:rPr>
          <w:sz w:val="32"/>
        </w:rPr>
        <w:t>个，推</w:t>
      </w:r>
      <w:r>
        <w:rPr>
          <w:rFonts w:ascii="方正仿宋_GBK" w:hAnsi="方正仿宋_GBK" w:cs="方正仿宋_GBK"/>
          <w:sz w:val="32"/>
        </w:rPr>
        <w:t>行“居民吹哨</w:t>
      </w:r>
      <w:r>
        <w:rPr>
          <w:sz w:val="32"/>
        </w:rPr>
        <w:t>，网格报</w:t>
      </w:r>
      <w:r>
        <w:rPr>
          <w:rFonts w:ascii="方正仿宋_GBK" w:hAnsi="方正仿宋_GBK" w:cs="方正仿宋_GBK"/>
          <w:sz w:val="32"/>
        </w:rPr>
        <w:t>到”机</w:t>
      </w:r>
      <w:r>
        <w:rPr>
          <w:sz w:val="32"/>
        </w:rPr>
        <w:t>制，网格连通社区、街道、区级部门，确保网格事件精准投放，节约时间优化流程</w:t>
      </w:r>
      <w:r>
        <w:rPr>
          <w:rFonts w:hint="eastAsia"/>
          <w:sz w:val="32"/>
        </w:rPr>
        <w:t>。</w:t>
      </w:r>
      <w:r>
        <w:rPr>
          <w:sz w:val="32"/>
        </w:rPr>
        <w:t>累计</w:t>
      </w:r>
      <w:r>
        <w:rPr>
          <w:rFonts w:hint="eastAsia"/>
          <w:sz w:val="32"/>
        </w:rPr>
        <w:t>办理反诈预警、养老、欠薪、城市管理等</w:t>
      </w:r>
      <w:r>
        <w:rPr>
          <w:sz w:val="32"/>
        </w:rPr>
        <w:t>网格事件</w:t>
      </w:r>
      <w:r>
        <w:rPr>
          <w:rFonts w:hint="eastAsia"/>
          <w:sz w:val="32"/>
        </w:rPr>
        <w:t>10515件</w:t>
      </w:r>
      <w:r>
        <w:rPr>
          <w:sz w:val="32"/>
        </w:rPr>
        <w:t>。</w:t>
      </w:r>
      <w:r>
        <w:rPr>
          <w:rFonts w:ascii="方正仿宋_GBK" w:hAnsi="方正仿宋_GBK" w:cs="方正仿宋_GBK"/>
          <w:b/>
          <w:bCs/>
          <w:color w:val="000000"/>
          <w:sz w:val="32"/>
        </w:rPr>
        <w:t>二是</w:t>
      </w:r>
      <w:r>
        <w:rPr>
          <w:rFonts w:hint="eastAsia" w:ascii="方正仿宋_GBK" w:hAnsi="方正仿宋_GBK" w:cs="方正仿宋_GBK"/>
          <w:b/>
          <w:bCs/>
          <w:color w:val="000000"/>
          <w:sz w:val="32"/>
        </w:rPr>
        <w:t>法治</w:t>
      </w:r>
      <w:r>
        <w:rPr>
          <w:rFonts w:ascii="方正仿宋_GBK" w:hAnsi="方正仿宋_GBK" w:cs="方正仿宋_GBK"/>
          <w:b/>
          <w:bCs/>
          <w:color w:val="000000"/>
          <w:sz w:val="32"/>
        </w:rPr>
        <w:t>服务网格化。</w:t>
      </w:r>
      <w:r>
        <w:rPr>
          <w:rFonts w:hint="eastAsia"/>
          <w:kern w:val="2"/>
          <w:sz w:val="32"/>
        </w:rPr>
        <w:t>发挥网格“零距离”优势，开展政策宣讲、普法宣传活动，推送典型案例25个，开展送法进网格32次，网格员搜集群众法律问题115个，联系法律顾问解决居民法律服务需求45个，开展网格调解128次，法治网格服务有效解决法治服务“最后一公里”难题。</w:t>
      </w:r>
    </w:p>
    <w:p>
      <w:pPr>
        <w:pStyle w:val="9"/>
        <w:widowControl/>
        <w:wordWrap w:val="0"/>
        <w:spacing w:beforeAutospacing="0" w:afterAutospacing="0" w:line="580" w:lineRule="exact"/>
        <w:ind w:firstLine="640" w:firstLineChars="200"/>
        <w:jc w:val="both"/>
        <w:textAlignment w:val="baseline"/>
        <w:rPr>
          <w:rFonts w:hint="eastAsia" w:ascii="方正楷体_GBK" w:hAnsi="方正楷体_GBK" w:eastAsia="方正楷体_GBK" w:cs="方正楷体_GBK"/>
          <w:kern w:val="2"/>
          <w:sz w:val="32"/>
          <w:szCs w:val="22"/>
        </w:rPr>
      </w:pPr>
      <w:r>
        <w:rPr>
          <w:rFonts w:hint="eastAsia" w:ascii="方正楷体_GBK" w:hAnsi="方正楷体_GBK" w:eastAsia="方正楷体_GBK" w:cs="方正楷体_GBK"/>
          <w:kern w:val="2"/>
          <w:sz w:val="32"/>
          <w:szCs w:val="22"/>
        </w:rPr>
        <w:t>（二）深学笃用习近平法治思想</w:t>
      </w:r>
    </w:p>
    <w:p>
      <w:pPr>
        <w:pStyle w:val="9"/>
        <w:widowControl/>
        <w:wordWrap w:val="0"/>
        <w:spacing w:beforeAutospacing="0" w:afterAutospacing="0" w:line="580" w:lineRule="exact"/>
        <w:ind w:firstLine="640" w:firstLineChars="200"/>
        <w:jc w:val="both"/>
        <w:textAlignment w:val="baseline"/>
        <w:rPr>
          <w:rFonts w:cs="方正仿宋_GBK"/>
          <w:kern w:val="2"/>
          <w:sz w:val="32"/>
        </w:rPr>
      </w:pPr>
      <w:r>
        <w:rPr>
          <w:rFonts w:hint="eastAsia" w:cs="方正仿宋_GBK"/>
          <w:kern w:val="2"/>
          <w:sz w:val="32"/>
        </w:rPr>
        <w:t>把学习贯彻习近平法治思想作为法治政府建设的首要任务，推动习近平法治思想的内涵融入依法行政的方方面面，做到一体学习领会、一体指导实践、一体推动落实。抓住领导干部“关键少数”，将习近平法治思想作为党工委理论学习中心组必学内容，开展专题学6次，常规学习15次；把习近平法治思想纳入街道干部职工、村社区两委班子培训内容，邀请法律专家、党校教授等培训3次，将《习近平法治思想概论》《习近平论坚持全面依法治国》等理论读物作为日常培训内容，开展常态化学习8次，有效提高了干部依法行政水平；利用宣传标语、宣传海报、“网格群”“社区群”等多种渠道，在住宅小区、大型商场、旅游景点、法治公园等场所，广泛开展习近平法治思想社会面宣传；开展习近平法治思想进农村、进社区、进机关、进校园、进网格等专题讲座、活动共计50余场；利用多种形式开展“12.4”国家宪法日和宪法宣传周活动，被市级、区级媒体报道2次。</w:t>
      </w:r>
    </w:p>
    <w:p>
      <w:pPr>
        <w:pStyle w:val="9"/>
        <w:widowControl/>
        <w:wordWrap w:val="0"/>
        <w:spacing w:beforeAutospacing="0" w:afterAutospacing="0" w:line="580" w:lineRule="exact"/>
        <w:ind w:firstLine="640" w:firstLineChars="200"/>
        <w:jc w:val="both"/>
        <w:textAlignment w:val="baseline"/>
        <w:rPr>
          <w:rFonts w:hint="eastAsia" w:ascii="方正楷体_GBK" w:hAnsi="方正楷体_GBK" w:eastAsia="方正楷体_GBK" w:cs="方正楷体_GBK"/>
          <w:kern w:val="2"/>
          <w:sz w:val="32"/>
          <w:szCs w:val="22"/>
        </w:rPr>
      </w:pPr>
      <w:r>
        <w:rPr>
          <w:rFonts w:hint="eastAsia" w:ascii="方正楷体_GBK" w:hAnsi="方正楷体_GBK" w:eastAsia="方正楷体_GBK" w:cs="方正楷体_GBK"/>
          <w:kern w:val="2"/>
          <w:sz w:val="32"/>
          <w:szCs w:val="22"/>
        </w:rPr>
        <w:t>（三）完善依法行政制度体系</w:t>
      </w:r>
    </w:p>
    <w:p>
      <w:pPr>
        <w:pStyle w:val="9"/>
        <w:widowControl/>
        <w:wordWrap w:val="0"/>
        <w:spacing w:beforeAutospacing="0" w:afterAutospacing="0" w:line="580" w:lineRule="exact"/>
        <w:ind w:firstLine="640" w:firstLineChars="200"/>
        <w:jc w:val="both"/>
        <w:textAlignment w:val="baseline"/>
        <w:rPr>
          <w:rFonts w:cs="方正仿宋_GBK"/>
          <w:sz w:val="32"/>
        </w:rPr>
      </w:pPr>
      <w:r>
        <w:rPr>
          <w:rFonts w:hint="eastAsia" w:cs="方正仿宋_GBK"/>
          <w:sz w:val="32"/>
        </w:rPr>
        <w:t>党政一把手带头学法、用法，推进重大事项集体讨论，依法决策，落实法律顾问参与依法行政决策要求，保障依法行政顺利实施，有效降低法律风险。落实行政规范性文件备案审查制度，审查8份文件；落实领导干部干预统计工作排查制度，建立台账，党工委理论学习中心组学习《统计法》《统计法实施条例》2次；严守财务制度，建立常态化审计制度，接受审计3次；接受人大、纪（工）委日常监督，开展廉政警示教育8次；深化政务公开和政府信息公开，重点做好建设项目批准和实施领域、公共资源配置领域、社会公益事业建设领域信息公开工作，及时回应社会关切，保障人民群众知情权。受理、回复“民呼我为”、市长信箱等网络问政平台来信来电来访8030件，政府信息公开6条。近3年违建整治1.27万方</w:t>
      </w:r>
      <w:r>
        <w:rPr>
          <w:rFonts w:cs="方正仿宋_GBK"/>
          <w:sz w:val="32"/>
        </w:rPr>
        <w:t>，连续</w:t>
      </w:r>
      <w:r>
        <w:rPr>
          <w:rFonts w:hint="eastAsia" w:cs="方正仿宋_GBK"/>
          <w:sz w:val="32"/>
        </w:rPr>
        <w:t>3</w:t>
      </w:r>
      <w:r>
        <w:rPr>
          <w:rFonts w:cs="方正仿宋_GBK"/>
          <w:sz w:val="32"/>
        </w:rPr>
        <w:t>年</w:t>
      </w:r>
      <w:r>
        <w:rPr>
          <w:rFonts w:hint="eastAsia" w:cs="方正仿宋_GBK"/>
          <w:sz w:val="32"/>
        </w:rPr>
        <w:t>排</w:t>
      </w:r>
      <w:r>
        <w:rPr>
          <w:rFonts w:cs="方正仿宋_GBK"/>
          <w:sz w:val="32"/>
        </w:rPr>
        <w:t>全区第一</w:t>
      </w:r>
      <w:r>
        <w:rPr>
          <w:rFonts w:hint="eastAsia" w:cs="方正仿宋_GBK"/>
          <w:sz w:val="32"/>
        </w:rPr>
        <w:t>。</w:t>
      </w:r>
    </w:p>
    <w:p>
      <w:pPr>
        <w:pStyle w:val="9"/>
        <w:widowControl/>
        <w:wordWrap w:val="0"/>
        <w:spacing w:beforeAutospacing="0" w:afterAutospacing="0" w:line="580" w:lineRule="exact"/>
        <w:ind w:firstLine="640" w:firstLineChars="200"/>
        <w:jc w:val="both"/>
        <w:textAlignment w:val="baseline"/>
        <w:rPr>
          <w:rFonts w:hint="eastAsia" w:ascii="方正楷体_GBK" w:hAnsi="方正楷体_GBK" w:eastAsia="方正楷体_GBK" w:cs="方正楷体_GBK"/>
          <w:kern w:val="2"/>
          <w:sz w:val="32"/>
          <w:szCs w:val="22"/>
        </w:rPr>
      </w:pPr>
      <w:r>
        <w:rPr>
          <w:rFonts w:hint="eastAsia" w:ascii="方正楷体_GBK" w:hAnsi="方正楷体_GBK" w:eastAsia="方正楷体_GBK" w:cs="方正楷体_GBK"/>
          <w:kern w:val="2"/>
          <w:sz w:val="32"/>
          <w:szCs w:val="22"/>
        </w:rPr>
        <w:t>（四）重大行政决策科学民主合法</w:t>
      </w:r>
    </w:p>
    <w:p>
      <w:pPr>
        <w:pStyle w:val="9"/>
        <w:widowControl/>
        <w:wordWrap w:val="0"/>
        <w:spacing w:beforeAutospacing="0" w:afterAutospacing="0" w:line="580" w:lineRule="exact"/>
        <w:ind w:firstLine="640" w:firstLineChars="200"/>
        <w:textAlignment w:val="baseline"/>
        <w:rPr>
          <w:rFonts w:cs="方正仿宋_GBK"/>
          <w:color w:val="000000"/>
          <w:sz w:val="32"/>
        </w:rPr>
      </w:pPr>
      <w:r>
        <w:rPr>
          <w:rFonts w:hint="eastAsia" w:cs="方正仿宋_GBK"/>
          <w:color w:val="000000"/>
          <w:sz w:val="32"/>
        </w:rPr>
        <w:t>按照“集体领导、民主集中、个别酝酿、会议决定”的原则，针对重大事项决策、重要干部任免、重要项目安排、大额资金使用等召开党工委会11次。充分发挥法律顾问和专家咨询论证、审核把关作用，对重大涉法事项进行法制审核，全年法律顾问为我街道审核合同160余份，提供各类法律服务共计300余次，诉讼法律服务为12次，专项法律服务为5余次，委托代理诉讼案件3件。</w:t>
      </w:r>
    </w:p>
    <w:p>
      <w:pPr>
        <w:pStyle w:val="12"/>
        <w:widowControl/>
        <w:numPr>
          <w:ilvl w:val="0"/>
          <w:numId w:val="1"/>
        </w:numPr>
        <w:wordWrap w:val="0"/>
        <w:spacing w:line="580" w:lineRule="exact"/>
        <w:ind w:firstLine="640" w:firstLineChars="200"/>
        <w:jc w:val="both"/>
        <w:rPr>
          <w:rFonts w:hint="eastAsia" w:ascii="方正楷体_GBK" w:hAnsi="方正楷体_GBK" w:eastAsia="方正楷体_GBK" w:cs="方正楷体_GBK"/>
          <w:color w:val="auto"/>
          <w:kern w:val="2"/>
          <w:sz w:val="32"/>
          <w:szCs w:val="22"/>
        </w:rPr>
      </w:pPr>
      <w:r>
        <w:rPr>
          <w:rFonts w:hint="eastAsia" w:eastAsia="方正楷体_GBK"/>
          <w:color w:val="auto"/>
          <w:kern w:val="2"/>
          <w:sz w:val="32"/>
          <w:szCs w:val="22"/>
        </w:rPr>
        <w:t>推进行政执法权体制改革落地见效</w:t>
      </w:r>
    </w:p>
    <w:p>
      <w:pPr>
        <w:pStyle w:val="12"/>
        <w:widowControl/>
        <w:wordWrap w:val="0"/>
        <w:spacing w:line="580" w:lineRule="exact"/>
        <w:ind w:firstLine="640" w:firstLineChars="200"/>
        <w:jc w:val="both"/>
      </w:pPr>
      <w:r>
        <w:rPr>
          <w:rFonts w:hint="eastAsia" w:eastAsia="方正仿宋_GBK"/>
          <w:sz w:val="32"/>
          <w:szCs w:val="32"/>
        </w:rPr>
        <w:t>根据</w:t>
      </w:r>
      <w:r>
        <w:rPr>
          <w:rFonts w:eastAsia="方正仿宋_GBK"/>
          <w:sz w:val="32"/>
          <w:szCs w:val="32"/>
        </w:rPr>
        <w:t>《重庆市人民政府办公厅关于深化乡镇(街道)综合行政执法改革的实施意见》《重庆市沙坪坝区人民政府办公室关于印发沙坪坝区深化镇(街道)综合行政执法改革实施方案的通知》</w:t>
      </w:r>
      <w:r>
        <w:rPr>
          <w:rFonts w:hint="eastAsia" w:eastAsia="方正仿宋_GBK"/>
          <w:sz w:val="32"/>
          <w:szCs w:val="32"/>
        </w:rPr>
        <w:t>要求，加快推进街道行政执法改革工作。充分发挥</w:t>
      </w:r>
      <w:r>
        <w:rPr>
          <w:rFonts w:eastAsia="方正仿宋_GBK"/>
          <w:sz w:val="32"/>
          <w:szCs w:val="32"/>
        </w:rPr>
        <w:t>街道综合行政执法指挥中心</w:t>
      </w:r>
      <w:r>
        <w:rPr>
          <w:rFonts w:hint="eastAsia" w:eastAsia="方正仿宋_GBK"/>
          <w:sz w:val="32"/>
          <w:szCs w:val="32"/>
        </w:rPr>
        <w:t>统领作用，配备12人组成的执法“一支队伍”，</w:t>
      </w:r>
      <w:r>
        <w:rPr>
          <w:rFonts w:eastAsia="方正仿宋_GBK"/>
          <w:sz w:val="32"/>
          <w:szCs w:val="32"/>
        </w:rPr>
        <w:t>承接区级部门下沉执法事项</w:t>
      </w:r>
      <w:r>
        <w:rPr>
          <w:rFonts w:hint="eastAsia" w:eastAsia="方正仿宋_GBK"/>
          <w:sz w:val="32"/>
          <w:szCs w:val="32"/>
        </w:rPr>
        <w:t>118</w:t>
      </w:r>
      <w:r>
        <w:rPr>
          <w:rFonts w:eastAsia="方正仿宋_GBK"/>
          <w:sz w:val="32"/>
          <w:szCs w:val="32"/>
        </w:rPr>
        <w:t>项</w:t>
      </w:r>
      <w:r>
        <w:rPr>
          <w:rFonts w:hint="eastAsia" w:eastAsia="方正仿宋_GBK"/>
          <w:sz w:val="32"/>
          <w:szCs w:val="32"/>
        </w:rPr>
        <w:t>，配齐执法服装等装备、配备掌上执法便携式打印机12台</w:t>
      </w:r>
      <w:r>
        <w:rPr>
          <w:rFonts w:eastAsia="方正仿宋_GBK"/>
          <w:sz w:val="32"/>
          <w:szCs w:val="32"/>
        </w:rPr>
        <w:t>。聚焦解决重复检查、多头执法、执法扰企扰民等问题，创新谋划酒店、景</w:t>
      </w:r>
      <w:r>
        <w:rPr>
          <w:rFonts w:ascii="方正仿宋_GBK" w:hAnsi="方正仿宋_GBK" w:eastAsia="方正仿宋_GBK" w:cs="方正仿宋_GBK"/>
          <w:color w:val="auto"/>
          <w:sz w:val="32"/>
          <w:szCs w:val="32"/>
          <w:lang w:bidi="ar"/>
        </w:rPr>
        <w:t>区“执法监管一件事”</w:t>
      </w:r>
      <w:r>
        <w:rPr>
          <w:rFonts w:eastAsia="方正仿宋_GBK"/>
          <w:sz w:val="32"/>
          <w:szCs w:val="32"/>
        </w:rPr>
        <w:t>，把</w:t>
      </w:r>
      <w:r>
        <w:rPr>
          <w:rFonts w:ascii="方正仿宋_GBK" w:hAnsi="方正仿宋_GBK" w:eastAsia="方正仿宋_GBK" w:cs="方正仿宋_GBK"/>
          <w:color w:val="auto"/>
          <w:sz w:val="32"/>
          <w:szCs w:val="32"/>
          <w:lang w:bidi="ar"/>
        </w:rPr>
        <w:t>“多个部门重复查”变成“一支队伍一次查”，</w:t>
      </w:r>
      <w:r>
        <w:rPr>
          <w:rFonts w:eastAsia="方正仿宋_GBK"/>
          <w:sz w:val="32"/>
          <w:szCs w:val="32"/>
        </w:rPr>
        <w:t>有效减少检查频率</w:t>
      </w:r>
      <w:r>
        <w:rPr>
          <w:rFonts w:hint="eastAsia" w:eastAsia="方正仿宋_GBK"/>
          <w:sz w:val="32"/>
          <w:szCs w:val="32"/>
        </w:rPr>
        <w:t>60</w:t>
      </w:r>
      <w:r>
        <w:rPr>
          <w:rFonts w:eastAsia="方正仿宋_GBK"/>
          <w:sz w:val="32"/>
          <w:szCs w:val="32"/>
        </w:rPr>
        <w:t>%以上，减少涉企执法干扰</w:t>
      </w:r>
      <w:r>
        <w:rPr>
          <w:rFonts w:hint="eastAsia"/>
          <w:sz w:val="32"/>
          <w:szCs w:val="32"/>
        </w:rPr>
        <w:t>220</w:t>
      </w:r>
      <w:r>
        <w:rPr>
          <w:rFonts w:eastAsia="方正仿宋_GBK"/>
          <w:sz w:val="32"/>
          <w:szCs w:val="32"/>
        </w:rPr>
        <w:t>余次。践</w:t>
      </w:r>
      <w:r>
        <w:rPr>
          <w:rFonts w:ascii="方正仿宋_GBK" w:hAnsi="方正仿宋_GBK" w:eastAsia="方正仿宋_GBK" w:cs="方正仿宋_GBK"/>
          <w:color w:val="auto"/>
          <w:sz w:val="32"/>
          <w:szCs w:val="32"/>
          <w:lang w:bidi="ar"/>
        </w:rPr>
        <w:t>行“管理、执法、服务”三</w:t>
      </w:r>
      <w:r>
        <w:rPr>
          <w:rFonts w:eastAsia="方正仿宋_GBK"/>
          <w:sz w:val="32"/>
          <w:szCs w:val="32"/>
        </w:rPr>
        <w:t>位一体的服务型行政执法模式，聚焦柔性执法常态化，坚</w:t>
      </w:r>
      <w:r>
        <w:rPr>
          <w:rFonts w:ascii="方正仿宋_GBK" w:hAnsi="方正仿宋_GBK" w:eastAsia="方正仿宋_GBK" w:cs="方正仿宋_GBK"/>
          <w:color w:val="auto"/>
          <w:sz w:val="32"/>
          <w:szCs w:val="32"/>
          <w:lang w:bidi="ar"/>
        </w:rPr>
        <w:t>持“教育为先，宽严适度、过罚相当”，</w:t>
      </w:r>
      <w:r>
        <w:rPr>
          <w:rFonts w:eastAsia="方正仿宋_GBK"/>
          <w:sz w:val="32"/>
          <w:szCs w:val="32"/>
        </w:rPr>
        <w:t>减免当事人罚款</w:t>
      </w:r>
      <w:r>
        <w:rPr>
          <w:rFonts w:hint="eastAsia"/>
          <w:sz w:val="32"/>
          <w:szCs w:val="32"/>
        </w:rPr>
        <w:t>1.5</w:t>
      </w:r>
      <w:r>
        <w:rPr>
          <w:rFonts w:eastAsia="方正仿宋_GBK"/>
          <w:sz w:val="32"/>
          <w:szCs w:val="32"/>
        </w:rPr>
        <w:t>万元</w:t>
      </w:r>
      <w:r>
        <w:rPr>
          <w:rFonts w:eastAsia="微软雅黑"/>
          <w:color w:val="333333"/>
          <w:sz w:val="27"/>
          <w:szCs w:val="27"/>
          <w:shd w:val="clear" w:color="auto" w:fill="FFFFFF"/>
        </w:rPr>
        <w:t>。</w:t>
      </w:r>
      <w:r>
        <w:rPr>
          <w:rFonts w:hint="eastAsia" w:eastAsia="方正仿宋_GBK" w:cs="方正仿宋_GBK"/>
          <w:sz w:val="32"/>
          <w:szCs w:val="32"/>
          <w:lang w:bidi="ar"/>
        </w:rPr>
        <w:t>加强执法监督，</w:t>
      </w:r>
      <w:r>
        <w:rPr>
          <w:rFonts w:eastAsia="方正仿宋_GBK" w:cs="方正仿宋_GBK"/>
          <w:sz w:val="32"/>
          <w:szCs w:val="32"/>
        </w:rPr>
        <w:t>设立</w:t>
      </w:r>
      <w:r>
        <w:rPr>
          <w:rFonts w:hint="eastAsia" w:eastAsia="方正仿宋_GBK" w:cs="方正仿宋_GBK"/>
          <w:sz w:val="32"/>
          <w:szCs w:val="32"/>
        </w:rPr>
        <w:t>由司法所牵头，12名村社区行政执法监督员共同组成的行政</w:t>
      </w:r>
      <w:r>
        <w:rPr>
          <w:rFonts w:eastAsia="方正仿宋_GBK" w:cs="方正仿宋_GBK"/>
          <w:sz w:val="32"/>
          <w:szCs w:val="32"/>
        </w:rPr>
        <w:t>执法监督工作小组</w:t>
      </w:r>
      <w:r>
        <w:rPr>
          <w:rFonts w:hint="eastAsia" w:eastAsia="方正仿宋_GBK" w:cs="方正仿宋_GBK"/>
          <w:sz w:val="32"/>
          <w:szCs w:val="32"/>
        </w:rPr>
        <w:t>，定期开展执法监督。</w:t>
      </w:r>
    </w:p>
    <w:p>
      <w:pPr>
        <w:widowControl/>
        <w:wordWrap w:val="0"/>
        <w:spacing w:line="580" w:lineRule="exact"/>
        <w:ind w:firstLine="640" w:firstLineChars="200"/>
        <w:rPr>
          <w:rFonts w:eastAsia="方正楷体_GBK"/>
          <w:szCs w:val="22"/>
        </w:rPr>
      </w:pPr>
      <w:r>
        <w:rPr>
          <w:rFonts w:eastAsia="方正楷体_GBK"/>
          <w:szCs w:val="22"/>
        </w:rPr>
        <w:t>（</w:t>
      </w:r>
      <w:r>
        <w:rPr>
          <w:rFonts w:hint="eastAsia" w:eastAsia="方正楷体_GBK"/>
          <w:szCs w:val="22"/>
        </w:rPr>
        <w:t>六</w:t>
      </w:r>
      <w:r>
        <w:rPr>
          <w:rFonts w:eastAsia="方正楷体_GBK"/>
          <w:szCs w:val="22"/>
        </w:rPr>
        <w:t>）</w:t>
      </w:r>
      <w:r>
        <w:rPr>
          <w:rFonts w:hint="eastAsia" w:eastAsia="方正楷体_GBK"/>
          <w:szCs w:val="22"/>
        </w:rPr>
        <w:t>打造法治化营商环境</w:t>
      </w:r>
    </w:p>
    <w:p>
      <w:pPr>
        <w:pStyle w:val="9"/>
        <w:widowControl/>
        <w:wordWrap w:val="0"/>
        <w:spacing w:beforeAutospacing="0" w:afterAutospacing="0" w:line="580" w:lineRule="exact"/>
        <w:ind w:firstLine="640" w:firstLineChars="200"/>
        <w:jc w:val="both"/>
        <w:textAlignment w:val="baseline"/>
        <w:rPr>
          <w:rFonts w:eastAsia="微软雅黑"/>
          <w:color w:val="333333"/>
          <w:sz w:val="27"/>
          <w:szCs w:val="27"/>
          <w:shd w:val="clear" w:color="auto" w:fill="FFFFFF"/>
        </w:rPr>
      </w:pPr>
      <w:r>
        <w:rPr>
          <w:rFonts w:hint="eastAsia"/>
          <w:sz w:val="32"/>
        </w:rPr>
        <w:t>坚持法治就是最好的营商环境，提升政务服务质量，加大柔性执法力度，建设公平竞争市场环境。</w:t>
      </w:r>
      <w:r>
        <w:rPr>
          <w:rFonts w:hint="eastAsia" w:ascii="方正仿宋_GBK" w:hAnsi="方正仿宋_GBK" w:cs="方正仿宋_GBK"/>
          <w:b/>
          <w:bCs/>
          <w:sz w:val="32"/>
        </w:rPr>
        <w:t>一是依法行政先行。</w:t>
      </w:r>
      <w:r>
        <w:rPr>
          <w:sz w:val="32"/>
        </w:rPr>
        <w:t>党政一把手带头学法、用法，落实重大事项集体讨论，法律顾问参与决策制度。深入开</w:t>
      </w:r>
      <w:r>
        <w:rPr>
          <w:rFonts w:ascii="方正仿宋_GBK" w:hAnsi="方正仿宋_GBK" w:cs="方正仿宋_GBK"/>
          <w:sz w:val="32"/>
        </w:rPr>
        <w:t>展“互联网+政务服务”，</w:t>
      </w:r>
      <w:r>
        <w:rPr>
          <w:sz w:val="32"/>
        </w:rPr>
        <w:t>全面推行综合窗口，实现功能集成，让数据多跑路、群众少跑路，行政许可事项时限</w:t>
      </w:r>
      <w:r>
        <w:rPr>
          <w:rFonts w:hint="eastAsia"/>
          <w:sz w:val="32"/>
        </w:rPr>
        <w:t>进一步压缩</w:t>
      </w:r>
      <w:r>
        <w:rPr>
          <w:sz w:val="32"/>
        </w:rPr>
        <w:t>，其他依申请类事项时限压缩比例</w:t>
      </w:r>
      <w:r>
        <w:rPr>
          <w:rFonts w:hint="eastAsia"/>
          <w:sz w:val="32"/>
        </w:rPr>
        <w:t>30</w:t>
      </w:r>
      <w:r>
        <w:rPr>
          <w:sz w:val="32"/>
        </w:rPr>
        <w:t>%。</w:t>
      </w:r>
      <w:r>
        <w:rPr>
          <w:rFonts w:ascii="方正仿宋_GBK" w:hAnsi="方正仿宋_GBK" w:cs="方正仿宋_GBK"/>
          <w:b/>
          <w:bCs/>
          <w:sz w:val="32"/>
        </w:rPr>
        <w:t>二是“公平竞争”常抓。</w:t>
      </w:r>
      <w:r>
        <w:rPr>
          <w:sz w:val="32"/>
        </w:rPr>
        <w:t>严格落实市场准入负面清单制度，建立完</w:t>
      </w:r>
      <w:r>
        <w:rPr>
          <w:rFonts w:ascii="方正仿宋_GBK" w:hAnsi="方正仿宋_GBK" w:cs="方正仿宋_GBK"/>
          <w:sz w:val="32"/>
        </w:rPr>
        <w:t>善“公平竞争审查”机制</w:t>
      </w:r>
      <w:r>
        <w:rPr>
          <w:sz w:val="32"/>
        </w:rPr>
        <w:t>，清理违反公平、开放、透明市场规则的政策措施，落实《重庆市优化营商环境条例》</w:t>
      </w:r>
      <w:r>
        <w:rPr>
          <w:rFonts w:hint="eastAsia"/>
          <w:sz w:val="32"/>
        </w:rPr>
        <w:t>精神</w:t>
      </w:r>
      <w:r>
        <w:rPr>
          <w:sz w:val="32"/>
        </w:rPr>
        <w:t>，坚决杜绝民营企业在资质资格获取、招投标、政府采购、权益保护等方面的差异化待遇，坚决破除地方保护主义，引导企业良性竞争。</w:t>
      </w:r>
    </w:p>
    <w:p>
      <w:pPr>
        <w:widowControl/>
        <w:wordWrap w:val="0"/>
        <w:spacing w:line="580" w:lineRule="exact"/>
        <w:ind w:firstLine="640" w:firstLineChars="200"/>
        <w:rPr>
          <w:rFonts w:eastAsia="楷体_GB2312" w:cstheme="minorBidi"/>
          <w:szCs w:val="22"/>
        </w:rPr>
      </w:pPr>
      <w:r>
        <w:rPr>
          <w:rFonts w:eastAsia="方正楷体_GBK"/>
          <w:szCs w:val="22"/>
        </w:rPr>
        <w:t>（</w:t>
      </w:r>
      <w:r>
        <w:rPr>
          <w:rFonts w:hint="eastAsia" w:eastAsia="方正楷体_GBK"/>
          <w:szCs w:val="22"/>
        </w:rPr>
        <w:t>七</w:t>
      </w:r>
      <w:r>
        <w:rPr>
          <w:rFonts w:eastAsia="方正楷体_GBK"/>
          <w:szCs w:val="22"/>
        </w:rPr>
        <w:t>）</w:t>
      </w:r>
      <w:r>
        <w:rPr>
          <w:rFonts w:hint="eastAsia" w:eastAsia="方正楷体_GBK"/>
          <w:szCs w:val="22"/>
        </w:rPr>
        <w:t>法治保障稳定发展</w:t>
      </w:r>
      <w:r>
        <w:rPr>
          <w:rFonts w:hint="eastAsia" w:ascii="方正仿宋_GBK" w:hAnsi="方正仿宋_GBK" w:cs="方正仿宋_GBK"/>
          <w:kern w:val="0"/>
          <w:lang w:bidi="ar"/>
        </w:rPr>
        <w:t>“</w:t>
      </w:r>
      <w:r>
        <w:rPr>
          <w:rFonts w:hint="eastAsia" w:eastAsia="方正楷体_GBK"/>
          <w:szCs w:val="22"/>
        </w:rPr>
        <w:t>基本盘</w:t>
      </w:r>
      <w:r>
        <w:rPr>
          <w:rFonts w:hint="eastAsia" w:ascii="方正仿宋_GBK" w:hAnsi="方正仿宋_GBK" w:cs="方正仿宋_GBK"/>
          <w:kern w:val="0"/>
          <w:lang w:bidi="ar"/>
        </w:rPr>
        <w:t>”</w:t>
      </w:r>
    </w:p>
    <w:p>
      <w:pPr>
        <w:widowControl/>
        <w:wordWrap w:val="0"/>
        <w:spacing w:line="580" w:lineRule="exact"/>
        <w:ind w:firstLine="640" w:firstLineChars="200"/>
        <w:rPr>
          <w:rFonts w:cs="方正仿宋_GBK"/>
        </w:rPr>
      </w:pPr>
      <w:r>
        <w:t>深入实</w:t>
      </w:r>
      <w:r>
        <w:rPr>
          <w:rFonts w:ascii="方正仿宋_GBK" w:hAnsi="方正仿宋_GBK" w:cs="方正仿宋_GBK"/>
          <w:kern w:val="0"/>
          <w:lang w:bidi="ar"/>
        </w:rPr>
        <w:t>施“枫桥经验”重</w:t>
      </w:r>
      <w:r>
        <w:t>庆实践，充分发挥街道社会治理服务中</w:t>
      </w:r>
      <w:r>
        <w:rPr>
          <w:rFonts w:ascii="方正仿宋_GBK" w:hAnsi="方正仿宋_GBK" w:cs="方正仿宋_GBK"/>
          <w:kern w:val="0"/>
          <w:lang w:bidi="ar"/>
        </w:rPr>
        <w:t>心“融合”功</w:t>
      </w:r>
      <w:r>
        <w:t>能，实施综治、信访、司法、调解功能布局一体化建设</w:t>
      </w:r>
      <w:r>
        <w:rPr>
          <w:rFonts w:hint="eastAsia"/>
        </w:rPr>
        <w:t>，有效维护辖区安全稳定。</w:t>
      </w:r>
      <w:r>
        <w:rPr>
          <w:rFonts w:hint="eastAsia" w:ascii="方正仿宋_GBK" w:hAnsi="方正仿宋_GBK" w:cs="方正仿宋_GBK"/>
          <w:b/>
          <w:bCs/>
        </w:rPr>
        <w:t>一是织密法治网络，营造稳定环境。</w:t>
      </w:r>
      <w:r>
        <w:t>持续加强基层法治队伍建设，村、社区配备</w:t>
      </w:r>
      <w:r>
        <w:rPr>
          <w:rFonts w:ascii="方正仿宋_GBK" w:hAnsi="方正仿宋_GBK" w:cs="方正仿宋_GBK"/>
          <w:kern w:val="0"/>
          <w:lang w:bidi="ar"/>
        </w:rPr>
        <w:t>“</w:t>
      </w:r>
      <w:r>
        <w:t>1名法律顾问+4名法律明</w:t>
      </w:r>
      <w:r>
        <w:rPr>
          <w:rFonts w:ascii="方正仿宋_GBK" w:hAnsi="方正仿宋_GBK" w:cs="方正仿宋_GBK"/>
          <w:kern w:val="0"/>
          <w:lang w:bidi="ar"/>
        </w:rPr>
        <w:t>白人”，</w:t>
      </w:r>
      <w:r>
        <w:t>律师、法官、公证员深度参与矛盾纠纷化解，打通法治服务最后一公里</w:t>
      </w:r>
      <w:r>
        <w:rPr>
          <w:rFonts w:hint="eastAsia"/>
        </w:rPr>
        <w:t>。</w:t>
      </w:r>
      <w:r>
        <w:t>充分发</w:t>
      </w:r>
      <w:r>
        <w:rPr>
          <w:rFonts w:ascii="方正仿宋_GBK" w:hAnsi="方正仿宋_GBK" w:cs="方正仿宋_GBK"/>
          <w:kern w:val="0"/>
          <w:lang w:bidi="ar"/>
        </w:rPr>
        <w:t>挥“一庭两所”作用</w:t>
      </w:r>
      <w:r>
        <w:t>，</w:t>
      </w:r>
      <w:r>
        <w:rPr>
          <w:rFonts w:hint="eastAsia"/>
        </w:rPr>
        <w:t>邀请法官开展调解员、综治员法律知识培训4场、“送法进企业”“法官讲典型案例”13场，联动区法院、区公安局化解高空抛物、遗赠抚养、工伤死亡等敏感群体性事件12起，</w:t>
      </w:r>
      <w:r>
        <w:t>形成</w:t>
      </w:r>
      <w:r>
        <w:rPr>
          <w:rFonts w:hint="eastAsia"/>
        </w:rPr>
        <w:t>“</w:t>
      </w:r>
      <w:r>
        <w:t>警调、诉调</w:t>
      </w:r>
      <w:r>
        <w:rPr>
          <w:rFonts w:hint="eastAsia"/>
        </w:rPr>
        <w:t>、人调” 一</w:t>
      </w:r>
      <w:r>
        <w:t>张网。近3年，利用人民调解、仲裁、诉讼等多种方式妥善处理房地产相关行业欠薪、房屋质量、拖欠工程款等矛盾纠纷</w:t>
      </w:r>
      <w:r>
        <w:rPr>
          <w:rFonts w:hint="eastAsia"/>
        </w:rPr>
        <w:t>8</w:t>
      </w:r>
      <w:r>
        <w:t>00余次，涉及</w:t>
      </w:r>
      <w:r>
        <w:rPr>
          <w:rFonts w:hint="eastAsia"/>
        </w:rPr>
        <w:t>6000</w:t>
      </w:r>
      <w:r>
        <w:t>人，涉及金额</w:t>
      </w:r>
      <w:r>
        <w:rPr>
          <w:rFonts w:hint="eastAsia"/>
        </w:rPr>
        <w:t>上亿</w:t>
      </w:r>
      <w:r>
        <w:t>，推动</w:t>
      </w:r>
      <w:r>
        <w:rPr>
          <w:rFonts w:hint="eastAsia"/>
        </w:rPr>
        <w:t>8</w:t>
      </w:r>
      <w:r>
        <w:t>个保交楼项目竣工交付，有效稳定</w:t>
      </w:r>
      <w:r>
        <w:rPr>
          <w:rFonts w:hint="eastAsia"/>
        </w:rPr>
        <w:t>发展</w:t>
      </w:r>
      <w:r>
        <w:t>基本盘。</w:t>
      </w:r>
      <w:r>
        <w:rPr>
          <w:rFonts w:hint="eastAsia" w:ascii="方正仿宋_GBK" w:hAnsi="方正仿宋_GBK" w:cs="方正仿宋_GBK"/>
          <w:b/>
          <w:bCs/>
        </w:rPr>
        <w:t>二</w:t>
      </w:r>
      <w:r>
        <w:rPr>
          <w:rFonts w:ascii="方正仿宋_GBK" w:hAnsi="方正仿宋_GBK" w:cs="方正仿宋_GBK"/>
          <w:b/>
          <w:bCs/>
        </w:rPr>
        <w:t>是保障劳动者合法权益</w:t>
      </w:r>
      <w:r>
        <w:rPr>
          <w:rFonts w:hint="eastAsia" w:ascii="方正仿宋_GBK" w:hAnsi="方正仿宋_GBK" w:cs="方正仿宋_GBK"/>
          <w:b/>
          <w:bCs/>
        </w:rPr>
        <w:t>，</w:t>
      </w:r>
      <w:r>
        <w:rPr>
          <w:rFonts w:ascii="方正仿宋_GBK" w:hAnsi="方正仿宋_GBK" w:cs="方正仿宋_GBK"/>
          <w:b/>
          <w:bCs/>
        </w:rPr>
        <w:t>打造良好就业环境。</w:t>
      </w:r>
      <w:r>
        <w:t>打造</w:t>
      </w:r>
      <w:r>
        <w:rPr>
          <w:rFonts w:hint="eastAsia"/>
        </w:rPr>
        <w:t>集</w:t>
      </w:r>
      <w:r>
        <w:t>法院巡回审判</w:t>
      </w:r>
      <w:r>
        <w:rPr>
          <w:rFonts w:hint="eastAsia"/>
        </w:rPr>
        <w:t>、</w:t>
      </w:r>
      <w:r>
        <w:t>劳动仲裁</w:t>
      </w:r>
      <w:r>
        <w:rPr>
          <w:rFonts w:hint="eastAsia"/>
        </w:rPr>
        <w:t>、人民调解三位一体的</w:t>
      </w:r>
      <w:r>
        <w:t>西部劳动关系公共服务平台，</w:t>
      </w:r>
      <w:r>
        <w:rPr>
          <w:rFonts w:hint="eastAsia"/>
        </w:rPr>
        <w:t>入选全国第一批基层劳动关系公共服务样板点，全年</w:t>
      </w:r>
      <w:r>
        <w:t>成功调解劳动争议</w:t>
      </w:r>
      <w:r>
        <w:rPr>
          <w:rFonts w:hint="eastAsia"/>
        </w:rPr>
        <w:t>250</w:t>
      </w:r>
      <w:r>
        <w:t>件，</w:t>
      </w:r>
      <w:r>
        <w:rPr>
          <w:rFonts w:hint="eastAsia"/>
        </w:rPr>
        <w:t>经法院司法确认72件，</w:t>
      </w:r>
      <w:r>
        <w:t>为农民工追讨工资</w:t>
      </w:r>
      <w:r>
        <w:rPr>
          <w:rFonts w:hint="eastAsia"/>
        </w:rPr>
        <w:t>481万</w:t>
      </w:r>
      <w:r>
        <w:t>元。</w:t>
      </w:r>
    </w:p>
    <w:p>
      <w:pPr>
        <w:pStyle w:val="9"/>
        <w:widowControl/>
        <w:wordWrap w:val="0"/>
        <w:spacing w:beforeAutospacing="0" w:afterAutospacing="0" w:line="580" w:lineRule="exact"/>
        <w:ind w:firstLine="640" w:firstLineChars="200"/>
        <w:jc w:val="both"/>
        <w:textAlignment w:val="baseline"/>
        <w:rPr>
          <w:rFonts w:eastAsia="方正黑体_GBK" w:cs="方正黑体_GBK"/>
          <w:color w:val="333333"/>
          <w:sz w:val="32"/>
          <w:shd w:val="clear" w:color="auto" w:fill="FFFFFF"/>
        </w:rPr>
      </w:pPr>
      <w:r>
        <w:rPr>
          <w:rFonts w:hint="eastAsia" w:eastAsia="方正黑体_GBK" w:cs="方正黑体_GBK"/>
          <w:color w:val="333333"/>
          <w:sz w:val="32"/>
          <w:shd w:val="clear" w:color="auto" w:fill="FFFFFF"/>
        </w:rPr>
        <w:t>二、党政主要负责人履职情况</w:t>
      </w:r>
    </w:p>
    <w:p>
      <w:pPr>
        <w:pStyle w:val="9"/>
        <w:widowControl/>
        <w:wordWrap w:val="0"/>
        <w:spacing w:beforeAutospacing="0" w:afterAutospacing="0" w:line="580" w:lineRule="exact"/>
        <w:ind w:firstLine="640" w:firstLineChars="200"/>
        <w:jc w:val="both"/>
        <w:textAlignment w:val="baseline"/>
        <w:rPr>
          <w:rFonts w:cs="方正仿宋_GBK"/>
          <w:sz w:val="32"/>
          <w:lang w:bidi="ar"/>
        </w:rPr>
      </w:pPr>
      <w:r>
        <w:rPr>
          <w:rFonts w:hint="eastAsia" w:cs="方正仿宋_GBK"/>
          <w:kern w:val="2"/>
          <w:sz w:val="32"/>
          <w:shd w:val="clear" w:color="auto" w:fill="FFFFFF"/>
        </w:rPr>
        <w:t>党政主要负责人带头深入学习贯彻习近平法治思想，贯彻落实习近平总书记关于法治建设的重要指示，坚决扛起推进法治建设第一责任人责任，对标对表职责清单8项内容，将法治建设纳入街道总体规划和年度工作计划，贯彻落实党中央关于全面依法治国的重大决策部署、市委关于全面依法治市、区委关于全面依法治区工作要求，坚决执行以宪法为核心的各项法律法规，严格按照法律要求和法定程序开展各项工作，带头做到依法决策、依法管理、依法办事。推动综合行政执法体制改革精神落实，加快形成职责清晰、协同高效、机制健全、行为规范、监督有力的行政执法新格局。常态化开展“以案四说”“以案促改”30余次，组织村（社区）行政执法监督员开展履职能力培训2期。大力推进依法行政、法制宣传教育，依托和顺茶馆、法治公园等阵地，结合“八五”普法，组织开展“民法典护万家”等普法宣传活动10场次，受众2000余人次。</w:t>
      </w:r>
    </w:p>
    <w:p>
      <w:pPr>
        <w:wordWrap w:val="0"/>
        <w:spacing w:line="580" w:lineRule="exact"/>
        <w:ind w:firstLine="640" w:firstLineChars="200"/>
        <w:rPr>
          <w:rFonts w:eastAsia="方正黑体_GBK" w:cs="方正黑体_GBK"/>
          <w:kern w:val="0"/>
          <w:lang w:bidi="ar"/>
        </w:rPr>
      </w:pPr>
      <w:r>
        <w:rPr>
          <w:rFonts w:hint="eastAsia" w:eastAsia="方正黑体_GBK" w:cs="方正黑体_GBK"/>
          <w:snapToGrid w:val="0"/>
          <w:kern w:val="0"/>
        </w:rPr>
        <w:t>三、推进法治政府建设存在的不足和原因</w:t>
      </w:r>
    </w:p>
    <w:p>
      <w:pPr>
        <w:wordWrap w:val="0"/>
        <w:spacing w:line="580" w:lineRule="exact"/>
        <w:ind w:firstLine="640" w:firstLineChars="200"/>
        <w:rPr>
          <w:rFonts w:cs="方正仿宋_GBK"/>
          <w:kern w:val="0"/>
          <w:lang w:bidi="ar"/>
        </w:rPr>
      </w:pPr>
      <w:r>
        <w:rPr>
          <w:rFonts w:hint="eastAsia" w:eastAsia="方正楷体_GBK"/>
          <w:szCs w:val="22"/>
        </w:rPr>
        <w:t>一是法治意识有待进一步加强</w:t>
      </w:r>
      <w:r>
        <w:rPr>
          <w:rFonts w:hint="eastAsia" w:ascii="方正楷体_GBK" w:hAnsi="方正楷体_GBK" w:eastAsia="方正楷体_GBK" w:cs="方正楷体_GBK"/>
          <w:kern w:val="0"/>
          <w:lang w:bidi="ar"/>
        </w:rPr>
        <w:t>。</w:t>
      </w:r>
      <w:r>
        <w:rPr>
          <w:rFonts w:hint="eastAsia" w:cs="方正仿宋_GBK"/>
          <w:kern w:val="0"/>
          <w:lang w:bidi="ar"/>
        </w:rPr>
        <w:t>个别干部对依法行政、法治政府建设认识不够深入，主动学习法律动力不足，将法治融入到行政工作做得不够好。</w:t>
      </w:r>
    </w:p>
    <w:p>
      <w:pPr>
        <w:wordWrap w:val="0"/>
        <w:spacing w:line="580" w:lineRule="exact"/>
        <w:ind w:firstLine="640" w:firstLineChars="200"/>
        <w:rPr>
          <w:rFonts w:cs="方正仿宋_GBK"/>
          <w:kern w:val="0"/>
          <w:lang w:bidi="ar"/>
        </w:rPr>
      </w:pPr>
      <w:r>
        <w:rPr>
          <w:rFonts w:hint="eastAsia" w:eastAsia="方正楷体_GBK"/>
          <w:szCs w:val="22"/>
        </w:rPr>
        <w:t>二是综合行政执法运行体系有待优化。</w:t>
      </w:r>
      <w:r>
        <w:rPr>
          <w:rFonts w:hint="eastAsia" w:cs="方正仿宋_GBK"/>
          <w:kern w:val="0"/>
          <w:lang w:bidi="ar"/>
        </w:rPr>
        <w:t>多部门下沉执法事项与“一支队伍管执法”之间的关系有待进一步理顺，确保能接得住；行政执法队伍业务能力有待进一步提升，各部门业务都需要熟悉，避免只懂执法不懂业务，一支队伍管执法流于形式；执法“一件事”场景探索不够，仍然存在多部门重复检查扰企的情况。</w:t>
      </w:r>
    </w:p>
    <w:p>
      <w:pPr>
        <w:wordWrap w:val="0"/>
        <w:spacing w:line="580" w:lineRule="exact"/>
        <w:ind w:firstLine="640" w:firstLineChars="200"/>
        <w:rPr>
          <w:rFonts w:cs="方正仿宋_GBK"/>
          <w:kern w:val="0"/>
          <w:lang w:bidi="ar"/>
        </w:rPr>
      </w:pPr>
      <w:r>
        <w:rPr>
          <w:rFonts w:hint="eastAsia" w:eastAsia="方正楷体_GBK"/>
          <w:szCs w:val="22"/>
        </w:rPr>
        <w:t>三是矛盾纠纷化解能力有待进一步提高。</w:t>
      </w:r>
      <w:r>
        <w:rPr>
          <w:rFonts w:hint="eastAsia" w:cs="方正仿宋_GBK"/>
          <w:kern w:val="0"/>
          <w:lang w:bidi="ar"/>
        </w:rPr>
        <w:t>街道虽进入城镇化后期，但仍面临大量房屋质量、欠薪、物业等纠纷，化解难度大，需要进一步提升矛盾纠纷化解能力，切实解决群众的需求。</w:t>
      </w:r>
    </w:p>
    <w:p>
      <w:pPr>
        <w:wordWrap w:val="0"/>
        <w:spacing w:line="580" w:lineRule="exact"/>
        <w:ind w:firstLine="640" w:firstLineChars="200"/>
        <w:rPr>
          <w:rFonts w:eastAsia="方正黑体_GBK" w:cs="方正黑体_GBK"/>
          <w:snapToGrid w:val="0"/>
          <w:kern w:val="0"/>
        </w:rPr>
      </w:pPr>
      <w:r>
        <w:rPr>
          <w:rFonts w:hint="eastAsia" w:eastAsia="方正黑体_GBK" w:cs="方正黑体_GBK"/>
          <w:snapToGrid w:val="0"/>
          <w:kern w:val="0"/>
        </w:rPr>
        <w:t>四、2025年推进法治政府建设的工作思路目标举措</w:t>
      </w:r>
    </w:p>
    <w:p>
      <w:pPr>
        <w:wordWrap w:val="0"/>
        <w:spacing w:line="580" w:lineRule="exact"/>
        <w:ind w:firstLine="640" w:firstLineChars="200"/>
        <w:jc w:val="left"/>
        <w:rPr>
          <w:rFonts w:cs="方正仿宋_GBK"/>
          <w:kern w:val="0"/>
          <w:lang w:bidi="ar"/>
        </w:rPr>
      </w:pPr>
      <w:r>
        <w:rPr>
          <w:rFonts w:hint="eastAsia" w:cs="方正仿宋_GBK"/>
          <w:kern w:val="0"/>
          <w:lang w:bidi="ar"/>
        </w:rPr>
        <w:t>一是进一步推动党工委理论学习中心组学法制度、领导干部述法制度落实，系统性加强干部法治理论学习，在机关、村（居）开展定期学法、轮流学法活动，提升依法行政意识和能力。</w:t>
      </w:r>
    </w:p>
    <w:p>
      <w:pPr>
        <w:wordWrap w:val="0"/>
        <w:spacing w:line="580" w:lineRule="exact"/>
        <w:ind w:firstLine="640" w:firstLineChars="200"/>
        <w:rPr>
          <w:rFonts w:cs="方正仿宋_GBK"/>
          <w:kern w:val="0"/>
          <w:lang w:bidi="ar"/>
        </w:rPr>
      </w:pPr>
      <w:r>
        <w:rPr>
          <w:rFonts w:hint="eastAsia" w:cs="方正仿宋_GBK"/>
          <w:kern w:val="0"/>
          <w:lang w:bidi="ar"/>
        </w:rPr>
        <w:t>二是进一步推动综合行政执法精神落地落实，优化执法“一支队伍”人员结构，强化执法队伍管理、学习和培训，完善执法内控机制，加大执法监督力度，加强执法“一件事”场景谋划。</w:t>
      </w:r>
    </w:p>
    <w:p>
      <w:pPr>
        <w:wordWrap w:val="0"/>
        <w:spacing w:line="580" w:lineRule="exact"/>
        <w:ind w:firstLine="640" w:firstLineChars="200"/>
        <w:rPr>
          <w:rFonts w:cs="方正仿宋_GBK"/>
          <w:kern w:val="0"/>
          <w:lang w:bidi="ar"/>
        </w:rPr>
      </w:pPr>
      <w:r>
        <w:rPr>
          <w:rFonts w:hint="eastAsia" w:cs="方正仿宋_GBK"/>
          <w:kern w:val="0"/>
          <w:lang w:bidi="ar"/>
        </w:rPr>
        <w:t>三是进一步探索多元化解矛盾纠纷方式，推动人民调解、行政调解、司法调解衔接联动，发挥网格治理优势，有效推动法官、公证员、法律顾问等力量提前介入、深度参与，将矛盾纠纷化解在初期。加强公共法律服务供给，加快推进基层法治化进程。</w:t>
      </w:r>
    </w:p>
    <w:p>
      <w:pPr>
        <w:spacing w:line="580" w:lineRule="exact"/>
        <w:ind w:firstLine="420"/>
      </w:pPr>
      <w:r>
        <w:rPr>
          <w:rFonts w:hint="eastAsia"/>
        </w:rPr>
        <w:t>（此件公开发布）</w:t>
      </w:r>
    </w:p>
    <w:p>
      <w:pPr>
        <w:spacing w:line="580" w:lineRule="exact"/>
      </w:pPr>
    </w:p>
    <w:p>
      <w:pPr>
        <w:spacing w:line="580" w:lineRule="exact"/>
        <w:jc w:val="right"/>
      </w:pPr>
      <w:r>
        <w:t>中共沙坪坝区</w:t>
      </w:r>
      <w:r>
        <w:rPr>
          <w:rFonts w:hint="eastAsia"/>
        </w:rPr>
        <w:t>土主</w:t>
      </w:r>
      <w:r>
        <w:t>街道工作委员会</w:t>
      </w:r>
    </w:p>
    <w:p>
      <w:pPr>
        <w:spacing w:line="580" w:lineRule="exact"/>
      </w:pPr>
      <w:r>
        <w:rPr>
          <w:rFonts w:hint="eastAsia"/>
        </w:rPr>
        <w:t xml:space="preserve">                          </w:t>
      </w:r>
      <w:r>
        <w:t>沙坪坝区人民政府</w:t>
      </w:r>
      <w:r>
        <w:rPr>
          <w:rFonts w:hint="eastAsia"/>
        </w:rPr>
        <w:t>土主</w:t>
      </w:r>
      <w:r>
        <w:t>街道办事处</w:t>
      </w:r>
    </w:p>
    <w:p>
      <w:pPr>
        <w:pStyle w:val="3"/>
        <w:spacing w:line="580" w:lineRule="exact"/>
        <w:rPr>
          <w:rFonts w:eastAsia="方正仿宋_GBK"/>
        </w:rPr>
      </w:pPr>
      <w:r>
        <w:rPr>
          <w:rFonts w:eastAsia="方正仿宋_GBK"/>
        </w:rPr>
        <w:t xml:space="preserve">             </w:t>
      </w:r>
      <w:r>
        <w:rPr>
          <w:rFonts w:hint="eastAsia" w:eastAsia="方正仿宋_GBK"/>
        </w:rPr>
        <w:t xml:space="preserve">        </w:t>
      </w:r>
      <w:r>
        <w:rPr>
          <w:rFonts w:eastAsia="方正仿宋_GBK"/>
        </w:rPr>
        <w:t xml:space="preserve">   </w:t>
      </w:r>
      <w:r>
        <w:rPr>
          <w:rFonts w:hint="eastAsia" w:eastAsia="方正仿宋_GBK"/>
        </w:rPr>
        <w:t xml:space="preserve">          </w:t>
      </w:r>
      <w:r>
        <w:rPr>
          <w:rFonts w:eastAsia="方正仿宋_GBK"/>
        </w:rPr>
        <w:t>202</w:t>
      </w:r>
      <w:r>
        <w:rPr>
          <w:rFonts w:hint="eastAsia" w:eastAsia="方正仿宋_GBK"/>
          <w:lang w:val="en-US" w:eastAsia="zh-CN"/>
        </w:rPr>
        <w:t>5</w:t>
      </w:r>
      <w:bookmarkStart w:id="0" w:name="_GoBack"/>
      <w:bookmarkEnd w:id="0"/>
      <w:r>
        <w:rPr>
          <w:rFonts w:eastAsia="方正仿宋_GBK"/>
        </w:rPr>
        <w:t>年</w:t>
      </w:r>
      <w:r>
        <w:rPr>
          <w:rFonts w:hint="eastAsia" w:eastAsia="方正仿宋_GBK"/>
        </w:rPr>
        <w:t>3</w:t>
      </w:r>
      <w:r>
        <w:rPr>
          <w:rFonts w:eastAsia="方正仿宋_GBK"/>
        </w:rPr>
        <w:t>月</w:t>
      </w:r>
      <w:r>
        <w:rPr>
          <w:rFonts w:hint="eastAsia" w:eastAsia="方正仿宋_GBK"/>
        </w:rPr>
        <w:t>12</w:t>
      </w:r>
      <w:r>
        <w:rPr>
          <w:rFonts w:eastAsia="方正仿宋_GBK"/>
        </w:rPr>
        <w:t>日</w:t>
      </w:r>
    </w:p>
    <w:p>
      <w:pPr>
        <w:widowControl/>
        <w:wordWrap w:val="0"/>
      </w:pPr>
    </w:p>
    <w:sectPr>
      <w:footerReference r:id="rId3" w:type="default"/>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Helvetica">
    <w:altName w:val="Liberation Sans"/>
    <w:panose1 w:val="020B0604020202020204"/>
    <w:charset w:val="00"/>
    <w:family w:val="swiss"/>
    <w:pitch w:val="default"/>
    <w:sig w:usb0="00000000" w:usb1="00000000" w:usb2="00000000" w:usb3="00000000" w:csb0="00000001"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Liberation Sans">
    <w:panose1 w:val="020B06040202020202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A6CA2"/>
    <w:multiLevelType w:val="singleLevel"/>
    <w:tmpl w:val="DE7A6CA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B0F4C"/>
    <w:rsid w:val="006C15CF"/>
    <w:rsid w:val="00937ADC"/>
    <w:rsid w:val="00B27D00"/>
    <w:rsid w:val="00CD02F1"/>
    <w:rsid w:val="00DA7F34"/>
    <w:rsid w:val="00DC4FAF"/>
    <w:rsid w:val="00E149C8"/>
    <w:rsid w:val="06DC0B6E"/>
    <w:rsid w:val="0BA95DF7"/>
    <w:rsid w:val="11B241FB"/>
    <w:rsid w:val="16FF2804"/>
    <w:rsid w:val="202B0F4C"/>
    <w:rsid w:val="227107D0"/>
    <w:rsid w:val="257243C5"/>
    <w:rsid w:val="26525D15"/>
    <w:rsid w:val="3FC06CA7"/>
    <w:rsid w:val="408E2B77"/>
    <w:rsid w:val="527C57C8"/>
    <w:rsid w:val="593272F6"/>
    <w:rsid w:val="68CB1B1F"/>
    <w:rsid w:val="6F2677CD"/>
    <w:rsid w:val="74E26DC2"/>
    <w:rsid w:val="755D528A"/>
    <w:rsid w:val="760440B1"/>
    <w:rsid w:val="9EFE8E02"/>
    <w:rsid w:val="FFFF8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880" w:firstLineChars="200"/>
    </w:pPr>
  </w:style>
  <w:style w:type="paragraph" w:styleId="3">
    <w:name w:val="Body Text"/>
    <w:basedOn w:val="1"/>
    <w:next w:val="1"/>
    <w:qFormat/>
    <w:uiPriority w:val="0"/>
    <w:pPr>
      <w:spacing w:after="120"/>
    </w:pPr>
    <w:rPr>
      <w:rFonts w:eastAsia="仿宋_GB2312"/>
    </w:rPr>
  </w:style>
  <w:style w:type="paragraph" w:styleId="4">
    <w:name w:val="Body Text Indent 2"/>
    <w:basedOn w:val="1"/>
    <w:next w:val="3"/>
    <w:qFormat/>
    <w:uiPriority w:val="0"/>
    <w:pPr>
      <w:spacing w:before="100" w:beforeAutospacing="1" w:line="570" w:lineRule="exact"/>
      <w:ind w:firstLine="640"/>
    </w:pPr>
    <w:rPr>
      <w:rFonts w:eastAsia="仿宋_GB2312"/>
    </w:rPr>
  </w:style>
  <w:style w:type="paragraph" w:styleId="5">
    <w:name w:val="footer"/>
    <w:basedOn w:val="1"/>
    <w:next w:val="6"/>
    <w:qFormat/>
    <w:uiPriority w:val="0"/>
    <w:pPr>
      <w:tabs>
        <w:tab w:val="center" w:pos="4153"/>
        <w:tab w:val="right" w:pos="8306"/>
      </w:tabs>
      <w:snapToGrid w:val="0"/>
      <w:jc w:val="left"/>
    </w:pPr>
    <w:rPr>
      <w:sz w:val="18"/>
      <w:szCs w:val="18"/>
    </w:rPr>
  </w:style>
  <w:style w:type="paragraph" w:customStyle="1" w:styleId="6">
    <w:name w:val="索引 51"/>
    <w:basedOn w:val="1"/>
    <w:next w:val="1"/>
    <w:qFormat/>
    <w:uiPriority w:val="0"/>
    <w:pPr>
      <w:ind w:left="168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9">
    <w:name w:val="Normal (Web)"/>
    <w:basedOn w:val="1"/>
    <w:qFormat/>
    <w:uiPriority w:val="0"/>
    <w:pPr>
      <w:spacing w:beforeAutospacing="1" w:afterAutospacing="1"/>
      <w:jc w:val="left"/>
    </w:pPr>
    <w:rPr>
      <w:kern w:val="0"/>
      <w:sz w:val="24"/>
    </w:rPr>
  </w:style>
  <w:style w:type="paragraph" w:customStyle="1" w:styleId="1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默认"/>
    <w:qFormat/>
    <w:uiPriority w:val="0"/>
    <w:rPr>
      <w:rFonts w:ascii="Helvetica" w:hAnsi="Helvetica" w:eastAsia="Helvetica" w:cs="Times New Roman"/>
      <w:color w:val="00000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607</Words>
  <Characters>3462</Characters>
  <Lines>28</Lines>
  <Paragraphs>8</Paragraphs>
  <TotalTime>32</TotalTime>
  <ScaleCrop>false</ScaleCrop>
  <LinksUpToDate>false</LinksUpToDate>
  <CharactersWithSpaces>4061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2024-03-08T02:09:00Z</dcterms:created>
  <dc:creator>谢彦欣</dc:creator>
  <cp:lastModifiedBy>user</cp:lastModifiedBy>
  <cp:lastPrinted>2025-03-11T17:46:00Z</cp:lastPrinted>
  <dcterms:modified xsi:type="dcterms:W3CDTF">2025-03-14T18:06:24Z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2C27361B60AB4F668B680E2B743C06D6_13</vt:lpwstr>
  </property>
  <property fmtid="{D5CDD505-2E9C-101B-9397-08002B2CF9AE}" pid="4" name="KSOTemplateDocerSaveRecord">
    <vt:lpwstr>eyJoZGlkIjoiZDUxOGI3ZTg3MTc5NTk0MDMzZjc0NmE5N2RiOTM3ZTgiLCJ1c2VySWQiOiIyNDMyMzE3NDYifQ==</vt:lpwstr>
  </property>
</Properties>
</file>