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454" w:tblpY="1986"/>
        <w:tblOverlap w:val="never"/>
        <w:tblW w:w="0" w:type="auto"/>
        <w:tblInd w:w="0" w:type="dxa"/>
        <w:tblBorders>
          <w:top w:val="none" w:color="auto" w:sz="0" w:space="0"/>
          <w:left w:val="none" w:color="auto" w:sz="0" w:space="0"/>
          <w:bottom w:val="single" w:color="DA251D"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0"/>
        <w:gridCol w:w="1416"/>
        <w:gridCol w:w="5664"/>
      </w:tblGrid>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PrEx>
        <w:trPr>
          <w:trHeight w:val="1985" w:hRule="exact"/>
        </w:trPr>
        <w:tc>
          <w:tcPr>
            <w:tcW w:w="9180" w:type="dxa"/>
            <w:gridSpan w:val="3"/>
            <w:tcBorders>
              <w:bottom w:val="nil"/>
            </w:tcBorders>
          </w:tcPr>
          <w:p>
            <w:pPr>
              <w:overflowPunct w:val="0"/>
              <w:spacing w:line="580" w:lineRule="exact"/>
              <w:rPr>
                <w:rFonts w:eastAsia="方正黑体_GBK"/>
              </w:rPr>
            </w:pP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exact"/>
        </w:trPr>
        <w:tc>
          <w:tcPr>
            <w:tcW w:w="2100" w:type="dxa"/>
            <w:vMerge w:val="restart"/>
            <w:tcBorders>
              <w:top w:val="nil"/>
            </w:tcBorders>
            <w:vAlign w:val="center"/>
          </w:tcPr>
          <w:p>
            <w:pPr>
              <w:spacing w:line="1400" w:lineRule="exact"/>
              <w:jc w:val="center"/>
              <w:rPr>
                <w:rFonts w:ascii="方正小标宋_GBK" w:eastAsia="方正小标宋_GBK"/>
                <w:b/>
                <w:color w:val="FF0000"/>
                <w:spacing w:val="-20"/>
                <w:w w:val="55"/>
                <w:sz w:val="108"/>
                <w:szCs w:val="108"/>
              </w:rPr>
            </w:pPr>
            <w:r>
              <w:rPr>
                <w:rFonts w:hint="eastAsia" w:ascii="方正小标宋_GBK" w:eastAsia="方正小标宋_GBK"/>
                <w:b/>
                <w:color w:val="FF0000"/>
                <w:spacing w:val="23"/>
                <w:w w:val="55"/>
                <w:sz w:val="90"/>
                <w:szCs w:val="90"/>
              </w:rPr>
              <w:t>重庆市</w:t>
            </w:r>
          </w:p>
        </w:tc>
        <w:tc>
          <w:tcPr>
            <w:tcW w:w="1416" w:type="dxa"/>
            <w:tcBorders>
              <w:top w:val="nil"/>
            </w:tcBorders>
            <w:vAlign w:val="bottom"/>
          </w:tcPr>
          <w:p>
            <w:pPr>
              <w:spacing w:line="700" w:lineRule="exact"/>
              <w:jc w:val="center"/>
              <w:rPr>
                <w:rFonts w:ascii="方正小标宋_GBK" w:eastAsia="方正小标宋_GBK"/>
                <w:b/>
                <w:snapToGrid w:val="0"/>
                <w:color w:val="FF0000"/>
                <w:w w:val="55"/>
                <w:kern w:val="0"/>
                <w:sz w:val="52"/>
                <w:szCs w:val="52"/>
              </w:rPr>
            </w:pPr>
            <w:r>
              <w:rPr>
                <w:rFonts w:hint="eastAsia" w:ascii="方正小标宋_GBK" w:eastAsia="方正小标宋_GBK"/>
                <w:b/>
                <w:snapToGrid w:val="0"/>
                <w:color w:val="FF0000"/>
                <w:w w:val="55"/>
                <w:kern w:val="0"/>
                <w:sz w:val="52"/>
                <w:szCs w:val="52"/>
              </w:rPr>
              <w:t>沙坪坝区</w:t>
            </w:r>
          </w:p>
        </w:tc>
        <w:tc>
          <w:tcPr>
            <w:tcW w:w="5664" w:type="dxa"/>
            <w:vMerge w:val="restart"/>
            <w:tcBorders>
              <w:top w:val="nil"/>
            </w:tcBorders>
            <w:vAlign w:val="center"/>
          </w:tcPr>
          <w:p>
            <w:pPr>
              <w:spacing w:line="1400" w:lineRule="exact"/>
              <w:jc w:val="center"/>
              <w:rPr>
                <w:rFonts w:ascii="方正小标宋_GBK" w:eastAsia="方正小标宋_GBK"/>
                <w:b/>
                <w:color w:val="FF0000"/>
                <w:spacing w:val="-20"/>
                <w:w w:val="55"/>
                <w:sz w:val="108"/>
                <w:szCs w:val="108"/>
              </w:rPr>
            </w:pPr>
            <w:r>
              <w:rPr>
                <w:rFonts w:hint="eastAsia" w:ascii="方正小标宋_GBK" w:eastAsia="方正小标宋_GBK"/>
                <w:b/>
                <w:color w:val="FF0000"/>
                <w:spacing w:val="40"/>
                <w:w w:val="55"/>
                <w:sz w:val="90"/>
                <w:szCs w:val="90"/>
              </w:rPr>
              <w:t>新桥街道办事处文件</w:t>
            </w: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exact"/>
        </w:trPr>
        <w:tc>
          <w:tcPr>
            <w:tcW w:w="2100" w:type="dxa"/>
            <w:vMerge w:val="continue"/>
            <w:vAlign w:val="center"/>
          </w:tcPr>
          <w:p>
            <w:pPr>
              <w:rPr>
                <w:b/>
                <w:color w:val="FF0000"/>
                <w:spacing w:val="-100"/>
                <w:w w:val="55"/>
              </w:rPr>
            </w:pPr>
          </w:p>
        </w:tc>
        <w:tc>
          <w:tcPr>
            <w:tcW w:w="1416" w:type="dxa"/>
          </w:tcPr>
          <w:p>
            <w:pPr>
              <w:spacing w:line="700" w:lineRule="exact"/>
              <w:rPr>
                <w:rFonts w:ascii="方正小标宋_GBK" w:eastAsia="方正小标宋_GBK"/>
                <w:b/>
                <w:snapToGrid w:val="0"/>
                <w:color w:val="FF0000"/>
                <w:w w:val="55"/>
                <w:kern w:val="0"/>
                <w:sz w:val="52"/>
                <w:szCs w:val="52"/>
              </w:rPr>
            </w:pPr>
            <w:r>
              <w:rPr>
                <w:rFonts w:hint="eastAsia" w:ascii="方正小标宋_GBK" w:eastAsia="方正小标宋_GBK"/>
                <w:b/>
                <w:snapToGrid w:val="0"/>
                <w:color w:val="FF0000"/>
                <w:w w:val="55"/>
                <w:kern w:val="0"/>
                <w:sz w:val="52"/>
                <w:szCs w:val="52"/>
              </w:rPr>
              <w:t>人民政府</w:t>
            </w:r>
          </w:p>
        </w:tc>
        <w:tc>
          <w:tcPr>
            <w:tcW w:w="5664" w:type="dxa"/>
            <w:vMerge w:val="continue"/>
            <w:vAlign w:val="center"/>
          </w:tcPr>
          <w:p>
            <w:pPr>
              <w:rPr>
                <w:b/>
                <w:color w:val="FF0000"/>
                <w:spacing w:val="-100"/>
                <w:w w:val="55"/>
              </w:rPr>
            </w:pP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PrEx>
        <w:trPr>
          <w:trHeight w:val="594" w:hRule="exact"/>
        </w:trPr>
        <w:tc>
          <w:tcPr>
            <w:tcW w:w="9180" w:type="dxa"/>
            <w:gridSpan w:val="3"/>
            <w:vAlign w:val="center"/>
          </w:tcPr>
          <w:p>
            <w:pPr>
              <w:spacing w:line="594" w:lineRule="exact"/>
              <w:jc w:val="center"/>
              <w:rPr>
                <w:b/>
                <w:color w:val="FF0000"/>
              </w:rPr>
            </w:pP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PrEx>
        <w:trPr>
          <w:trHeight w:val="594" w:hRule="exact"/>
        </w:trPr>
        <w:tc>
          <w:tcPr>
            <w:tcW w:w="9180" w:type="dxa"/>
            <w:gridSpan w:val="3"/>
            <w:vAlign w:val="center"/>
          </w:tcPr>
          <w:p>
            <w:pPr>
              <w:spacing w:line="594" w:lineRule="exact"/>
              <w:jc w:val="center"/>
              <w:rPr>
                <w:b/>
                <w:color w:val="FF0000"/>
              </w:rPr>
            </w:pP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rPr>
        <w:tc>
          <w:tcPr>
            <w:tcW w:w="9180" w:type="dxa"/>
            <w:gridSpan w:val="3"/>
            <w:vAlign w:val="center"/>
          </w:tcPr>
          <w:p>
            <w:pPr>
              <w:spacing w:line="594" w:lineRule="exact"/>
              <w:jc w:val="center"/>
              <w:rPr>
                <w:b/>
                <w:color w:val="DA251D"/>
              </w:rPr>
            </w:pPr>
            <w:r>
              <w:rPr>
                <w:rFonts w:hint="eastAsia"/>
              </w:rPr>
              <w:t>沙新街发〔202</w:t>
            </w:r>
            <w:r>
              <w:t>4</w:t>
            </w:r>
            <w:r>
              <w:rPr>
                <w:rFonts w:hint="eastAsia"/>
              </w:rPr>
              <w:t>〕</w:t>
            </w:r>
            <w:r>
              <w:t xml:space="preserve"> 52  </w:t>
            </w:r>
            <w:r>
              <w:rPr>
                <w:rFonts w:hint="eastAsia"/>
              </w:rPr>
              <w:t>号</w:t>
            </w: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exact"/>
        </w:trPr>
        <w:tc>
          <w:tcPr>
            <w:tcW w:w="9180" w:type="dxa"/>
            <w:gridSpan w:val="3"/>
            <w:vAlign w:val="center"/>
          </w:tcPr>
          <w:p>
            <w:pPr>
              <w:spacing w:line="1400" w:lineRule="exact"/>
              <w:rPr>
                <w:rFonts w:ascii="方正小标宋_GBK" w:eastAsia="方正小标宋_GBK"/>
                <w:b/>
                <w:color w:val="FF0000"/>
                <w:spacing w:val="-20"/>
                <w:w w:val="55"/>
                <w:sz w:val="108"/>
                <w:szCs w:val="108"/>
                <w:highlight w:val="red"/>
              </w:rPr>
            </w:pPr>
          </w:p>
        </w:tc>
      </w:tr>
    </w:tbl>
    <w:p>
      <w:pPr>
        <w:pStyle w:val="3"/>
        <w:spacing w:line="400" w:lineRule="exact"/>
      </w:pPr>
    </w:p>
    <w:p>
      <w:pPr>
        <w:pStyle w:val="3"/>
        <w:spacing w:line="400" w:lineRule="exact"/>
      </w:pPr>
    </w:p>
    <w:p>
      <w:pPr>
        <w:spacing w:line="580" w:lineRule="exact"/>
        <w:jc w:val="center"/>
        <w:rPr>
          <w:rFonts w:eastAsia="方正小标宋_GBK"/>
          <w:sz w:val="44"/>
        </w:rPr>
      </w:pPr>
      <w:r>
        <w:rPr>
          <w:rFonts w:hint="eastAsia" w:eastAsia="方正小标宋_GBK"/>
          <w:sz w:val="44"/>
        </w:rPr>
        <w:t>沙坪坝区人民政府新桥街道办事处</w:t>
      </w:r>
    </w:p>
    <w:p>
      <w:pPr>
        <w:spacing w:line="580" w:lineRule="exact"/>
        <w:jc w:val="center"/>
        <w:rPr>
          <w:rFonts w:eastAsia="方正小标宋_GBK"/>
          <w:sz w:val="44"/>
        </w:rPr>
      </w:pPr>
      <w:r>
        <w:rPr>
          <w:rFonts w:hint="eastAsia" w:eastAsia="方正小标宋_GBK"/>
          <w:sz w:val="44"/>
        </w:rPr>
        <w:t>关于印发2</w:t>
      </w:r>
      <w:r>
        <w:rPr>
          <w:rFonts w:eastAsia="方正小标宋_GBK"/>
          <w:sz w:val="44"/>
        </w:rPr>
        <w:t>024</w:t>
      </w:r>
      <w:r>
        <w:rPr>
          <w:rFonts w:hint="eastAsia" w:eastAsia="方正小标宋_GBK"/>
          <w:sz w:val="44"/>
        </w:rPr>
        <w:t>年新桥街道打击整治成品油非法经营专项行动方案的通知</w:t>
      </w:r>
    </w:p>
    <w:p>
      <w:pPr>
        <w:pStyle w:val="2"/>
        <w:spacing w:line="580" w:lineRule="exact"/>
      </w:pPr>
    </w:p>
    <w:p>
      <w:pPr>
        <w:spacing w:line="580" w:lineRule="exact"/>
        <w:rPr>
          <w:rFonts w:eastAsia="方正楷体_GBK" w:cs="Times New Roman"/>
        </w:rPr>
      </w:pPr>
      <w:r>
        <w:rPr>
          <w:rFonts w:eastAsia="方正楷体_GBK" w:cs="Times New Roman"/>
        </w:rPr>
        <w:t>各岗位、站所、社区：</w:t>
      </w:r>
    </w:p>
    <w:p>
      <w:pPr>
        <w:spacing w:line="580" w:lineRule="exact"/>
        <w:ind w:firstLine="640" w:firstLineChars="200"/>
        <w:rPr>
          <w:rFonts w:eastAsia="方正楷体_GBK" w:cs="Times New Roman"/>
        </w:rPr>
      </w:pPr>
      <w:r>
        <w:rPr>
          <w:rFonts w:eastAsia="方正楷体_GBK" w:cs="Times New Roman"/>
        </w:rPr>
        <w:t>现将《2024年新桥街道打击整治成品油非法经营专项行动方案》印发给你们，请认真组织实施。</w:t>
      </w:r>
    </w:p>
    <w:p>
      <w:pPr>
        <w:pStyle w:val="2"/>
        <w:spacing w:line="580" w:lineRule="exact"/>
        <w:rPr>
          <w:rFonts w:ascii="Times New Roman" w:hAnsi="Times New Roman" w:eastAsia="方正楷体_GBK" w:cs="Times New Roman"/>
        </w:rPr>
      </w:pPr>
    </w:p>
    <w:p>
      <w:pPr>
        <w:pStyle w:val="2"/>
        <w:spacing w:line="580" w:lineRule="exact"/>
        <w:rPr>
          <w:rFonts w:ascii="Times New Roman" w:hAnsi="Times New Roman" w:eastAsia="方正楷体_GBK" w:cs="Times New Roman"/>
        </w:rPr>
      </w:pPr>
    </w:p>
    <w:p>
      <w:pPr>
        <w:spacing w:line="580" w:lineRule="exact"/>
        <w:ind w:firstLine="640" w:firstLineChars="200"/>
        <w:jc w:val="center"/>
        <w:rPr>
          <w:rFonts w:eastAsia="方正楷体_GBK" w:cs="Times New Roman"/>
        </w:rPr>
      </w:pPr>
      <w:r>
        <w:rPr>
          <w:rFonts w:eastAsia="方正楷体_GBK" w:cs="Times New Roman"/>
        </w:rPr>
        <w:t xml:space="preserve">           重庆市沙坪坝区人民政府新桥街道办事处</w:t>
      </w:r>
    </w:p>
    <w:p>
      <w:pPr>
        <w:spacing w:line="580" w:lineRule="exact"/>
        <w:ind w:right="1280" w:rightChars="400"/>
        <w:jc w:val="center"/>
        <w:rPr>
          <w:rFonts w:eastAsia="方正楷体_GBK" w:cs="Times New Roman"/>
        </w:rPr>
      </w:pPr>
      <w:r>
        <w:rPr>
          <w:rFonts w:eastAsia="方正楷体_GBK" w:cs="Times New Roman"/>
        </w:rPr>
        <w:t xml:space="preserve">                            2024年8月1日</w:t>
      </w:r>
    </w:p>
    <w:p>
      <w:pPr>
        <w:spacing w:line="580" w:lineRule="exact"/>
        <w:jc w:val="center"/>
        <w:rPr>
          <w:rFonts w:eastAsia="方正小标宋_GBK"/>
          <w:sz w:val="44"/>
          <w:szCs w:val="44"/>
        </w:rPr>
      </w:pPr>
      <w:r>
        <w:rPr>
          <w:rFonts w:hint="eastAsia" w:eastAsia="方正小标宋_GBK"/>
          <w:sz w:val="44"/>
          <w:szCs w:val="44"/>
        </w:rPr>
        <w:t>2024年新桥街道打击整治成品油非法经营</w:t>
      </w:r>
    </w:p>
    <w:p>
      <w:pPr>
        <w:spacing w:line="580" w:lineRule="exact"/>
        <w:jc w:val="center"/>
      </w:pPr>
      <w:r>
        <w:rPr>
          <w:rFonts w:hint="eastAsia" w:eastAsia="方正小标宋_GBK"/>
          <w:sz w:val="44"/>
          <w:szCs w:val="44"/>
        </w:rPr>
        <w:t>专项行动方案</w:t>
      </w:r>
    </w:p>
    <w:p>
      <w:pPr>
        <w:spacing w:line="580" w:lineRule="exact"/>
        <w:ind w:firstLine="640" w:firstLineChars="200"/>
      </w:pPr>
    </w:p>
    <w:p>
      <w:pPr>
        <w:widowControl/>
        <w:spacing w:line="580" w:lineRule="exact"/>
        <w:jc w:val="left"/>
      </w:pPr>
      <w:r>
        <w:rPr>
          <w:rFonts w:hint="eastAsia"/>
        </w:rPr>
        <w:t xml:space="preserve">    为进一步健全完善成品油流通监管机制，严厉打击成品油非法经营行为，全力保障人民生命财产安全，维护健康发展市场秩序，按照</w:t>
      </w:r>
      <w:r>
        <w:rPr>
          <w:rFonts w:ascii="方正仿宋_GBK" w:hAnsi="方正仿宋_GBK"/>
          <w:color w:val="000000"/>
          <w:kern w:val="0"/>
          <w:sz w:val="31"/>
          <w:szCs w:val="31"/>
          <w:lang w:bidi="ar"/>
        </w:rPr>
        <w:t>市</w:t>
      </w:r>
      <w:r>
        <w:rPr>
          <w:rFonts w:hint="eastAsia" w:ascii="方正仿宋_GBK" w:hAnsi="方正仿宋_GBK"/>
          <w:color w:val="000000"/>
          <w:kern w:val="0"/>
          <w:sz w:val="31"/>
          <w:szCs w:val="31"/>
          <w:lang w:bidi="ar"/>
        </w:rPr>
        <w:t>、区</w:t>
      </w:r>
      <w:r>
        <w:rPr>
          <w:rFonts w:ascii="方正仿宋_GBK" w:hAnsi="方正仿宋_GBK"/>
          <w:color w:val="000000"/>
          <w:kern w:val="0"/>
          <w:sz w:val="31"/>
          <w:szCs w:val="31"/>
          <w:lang w:bidi="ar"/>
        </w:rPr>
        <w:t>成品油市场监管联席会议办公室</w:t>
      </w:r>
      <w:r>
        <w:rPr>
          <w:rFonts w:hint="eastAsia" w:ascii="方正仿宋_GBK" w:hAnsi="方正仿宋_GBK"/>
          <w:color w:val="000000"/>
          <w:kern w:val="0"/>
          <w:sz w:val="31"/>
          <w:szCs w:val="31"/>
          <w:lang w:bidi="ar"/>
        </w:rPr>
        <w:t>工作部署</w:t>
      </w:r>
      <w:r>
        <w:rPr>
          <w:rFonts w:hint="eastAsia"/>
        </w:rPr>
        <w:t>，决定从即日起至2024年12月底，在辖区范围内开展打击整治成品油非法经营专项行动（以下简称专项行动）。</w:t>
      </w:r>
    </w:p>
    <w:p>
      <w:pPr>
        <w:spacing w:line="590" w:lineRule="exact"/>
        <w:ind w:firstLine="640" w:firstLineChars="200"/>
      </w:pPr>
      <w:r>
        <w:rPr>
          <w:rFonts w:hint="eastAsia" w:ascii="方正黑体_GBK" w:hAnsi="方正黑体_GBK" w:eastAsia="方正黑体_GBK" w:cs="Times New Roman"/>
        </w:rPr>
        <w:t>一、工作目标</w:t>
      </w:r>
    </w:p>
    <w:p>
      <w:pPr>
        <w:spacing w:line="590" w:lineRule="exact"/>
        <w:ind w:firstLine="640" w:firstLineChars="200"/>
      </w:pPr>
      <w:r>
        <w:rPr>
          <w:rFonts w:hint="eastAsia"/>
        </w:rPr>
        <w:t>按照“堵源头、打终端、斩链条、建机制”的工作思路，坚决打击成品油流通领域各类违法违规行为，坚持源头治理与长效机制相结合，压实镇街属地责任、行业部门监管责任、成品油企业主体责任，以消除安全隐患、严查黑加油站（点）、打击劣质油品销售、查处偷逃税款为重点，依法严厉打击成品油非法生产、储存、经营、运输、销售行为，查处“涉油”违法犯罪分子及其“保护伞”，实现源头严防、过程严管、后果严惩，彻底消除安全隐患，维护市场经营秩序，保障成品油市场健康稳定发展。</w:t>
      </w:r>
    </w:p>
    <w:p>
      <w:pPr>
        <w:spacing w:line="590" w:lineRule="exact"/>
        <w:ind w:firstLine="640" w:firstLineChars="200"/>
      </w:pPr>
      <w:r>
        <w:rPr>
          <w:rFonts w:hint="eastAsia" w:ascii="方正黑体_GBK" w:hAnsi="方正黑体_GBK" w:eastAsia="方正黑体_GBK" w:cs="Times New Roman"/>
        </w:rPr>
        <w:t>二、组织领导</w:t>
      </w:r>
    </w:p>
    <w:p>
      <w:pPr>
        <w:spacing w:line="590" w:lineRule="exact"/>
        <w:ind w:firstLine="640" w:firstLineChars="200"/>
      </w:pPr>
      <w:r>
        <w:rPr>
          <w:rFonts w:hint="eastAsia"/>
        </w:rPr>
        <w:t>成立街道打击整治成品油非法经营专项行动领导小组（以下简称领导小组），由街道办事处主任侯勇任组长，综合协调岗、企业服务岗、应急消防岗的分管领导任副组长，企业服务岗岗长、应急消防岗岗长、环保征收岗岗长、城市建设岗岗长、司法行政岗岗长、宣传</w:t>
      </w:r>
      <w:r>
        <w:t>工作岗</w:t>
      </w:r>
      <w:r>
        <w:rPr>
          <w:rFonts w:hint="eastAsia"/>
        </w:rPr>
        <w:t>岗长、新桥派出所所长、新桥市场监管所所长、新桥税务所所长、各社区书记为成员。领导小组下设街道成品油非法经营打击整治办公室（以下简称街道成品油打非办），负责辖区打击整治成品油非法经营专项行动的组织协调和监督指导工作，由企业服务岗岗长任办公室主任，应急消防岗、环保征收岗、城市建设岗、司法行政岗、宣传</w:t>
      </w:r>
      <w:r>
        <w:t>工作岗</w:t>
      </w:r>
      <w:r>
        <w:rPr>
          <w:rFonts w:hint="eastAsia"/>
        </w:rPr>
        <w:t>、新桥派出所、新桥市场监管所、新桥税务所、各社区负责人及工作人员为副主任及成员。</w:t>
      </w:r>
    </w:p>
    <w:p>
      <w:pPr>
        <w:spacing w:line="590" w:lineRule="exact"/>
        <w:ind w:firstLine="640" w:firstLineChars="200"/>
      </w:pPr>
      <w:r>
        <w:rPr>
          <w:rFonts w:hint="eastAsia" w:ascii="方正黑体_GBK" w:hAnsi="方正黑体_GBK" w:eastAsia="方正黑体_GBK" w:cs="Times New Roman"/>
        </w:rPr>
        <w:t>三、重点任务</w:t>
      </w:r>
    </w:p>
    <w:p>
      <w:pPr>
        <w:spacing w:line="590" w:lineRule="exact"/>
        <w:ind w:firstLine="640" w:firstLineChars="200"/>
      </w:pPr>
      <w:r>
        <w:rPr>
          <w:rFonts w:hint="eastAsia" w:ascii="楷体" w:hAnsi="楷体" w:eastAsia="楷体" w:cs="楷体"/>
        </w:rPr>
        <w:t>（一）严格油品源头管控。</w:t>
      </w:r>
      <w:r>
        <w:rPr>
          <w:rFonts w:hint="eastAsia" w:ascii="方正仿宋_GBK" w:hAnsi="楷体" w:cs="楷体"/>
        </w:rPr>
        <w:t>加强对进入新桥街道范围运油车辆检查，严禁区外非法油品流入我街道。</w:t>
      </w:r>
    </w:p>
    <w:p>
      <w:pPr>
        <w:spacing w:line="590" w:lineRule="exact"/>
        <w:ind w:firstLine="640" w:firstLineChars="200"/>
        <w:rPr>
          <w:rFonts w:ascii="方正仿宋_GBK"/>
        </w:rPr>
      </w:pPr>
      <w:r>
        <w:rPr>
          <w:rFonts w:hint="eastAsia" w:ascii="楷体" w:hAnsi="楷体" w:eastAsia="楷体" w:cs="楷体"/>
        </w:rPr>
        <w:t>（二）严密排查制售油窝点。</w:t>
      </w:r>
      <w:r>
        <w:rPr>
          <w:rFonts w:hint="eastAsia" w:ascii="方正仿宋_GBK" w:hAnsi="楷体" w:cs="楷体"/>
        </w:rPr>
        <w:t>排查摸底，重点对辖区内所有居民小区车库、露天停车场、工业企业、加油站、建筑工地等场所进行一次拉网式排查。</w:t>
      </w:r>
    </w:p>
    <w:p>
      <w:pPr>
        <w:spacing w:line="590" w:lineRule="exact"/>
        <w:ind w:firstLine="640" w:firstLineChars="200"/>
        <w:rPr>
          <w:rFonts w:ascii="方正仿宋_GBK"/>
        </w:rPr>
      </w:pPr>
      <w:r>
        <w:rPr>
          <w:rFonts w:hint="eastAsia" w:ascii="楷体" w:hAnsi="楷体" w:eastAsia="楷体" w:cs="楷体"/>
        </w:rPr>
        <w:t>（三）斩断流动售油链条。</w:t>
      </w:r>
      <w:r>
        <w:rPr>
          <w:rFonts w:hint="eastAsia" w:ascii="方正仿宋_GBK" w:hAnsi="楷体" w:cs="楷体"/>
        </w:rPr>
        <w:t>加强对非法改</w:t>
      </w:r>
      <w:r>
        <w:rPr>
          <w:rFonts w:hint="eastAsia" w:ascii="方正仿宋_GBK"/>
        </w:rPr>
        <w:t>装机动车从事成品油非法销售行为和无证油罐车线索摸排。对未获得交通、市场监管等相关部门许可，未持有《危险货物道路运输许可证》《营业执照》等证件的运输车辆在国省道、施工工地、物流园区、车辆维修厂、停车场等隐蔽场所非法流动销售成品油的，及时上报街道成品油打非办。</w:t>
      </w:r>
    </w:p>
    <w:p>
      <w:pPr>
        <w:spacing w:line="590" w:lineRule="exact"/>
        <w:ind w:firstLine="640" w:firstLineChars="200"/>
      </w:pPr>
      <w:r>
        <w:rPr>
          <w:rFonts w:hint="eastAsia" w:ascii="楷体" w:hAnsi="楷体" w:eastAsia="楷体" w:cs="楷体"/>
        </w:rPr>
        <w:t>（四）建立长效管理机制。</w:t>
      </w:r>
      <w:r>
        <w:rPr>
          <w:rFonts w:hint="eastAsia"/>
        </w:rPr>
        <w:t>固化专项行动成果经验，健全完善联合执法、密切协作长效机制，形成长期坚持、齐抓共管工作格局。</w:t>
      </w:r>
    </w:p>
    <w:p>
      <w:pPr>
        <w:spacing w:line="590" w:lineRule="exact"/>
        <w:ind w:firstLine="640" w:firstLineChars="200"/>
      </w:pPr>
      <w:r>
        <w:rPr>
          <w:rFonts w:hint="eastAsia" w:ascii="方正黑体_GBK" w:hAnsi="方正黑体_GBK" w:eastAsia="方正黑体_GBK" w:cs="Times New Roman"/>
        </w:rPr>
        <w:t>四、时间步骤</w:t>
      </w:r>
    </w:p>
    <w:p>
      <w:pPr>
        <w:spacing w:line="590" w:lineRule="exact"/>
        <w:ind w:firstLine="640" w:firstLineChars="200"/>
      </w:pPr>
      <w:r>
        <w:rPr>
          <w:rFonts w:hint="eastAsia"/>
        </w:rPr>
        <w:t xml:space="preserve">此次专项行动从即日起至 2024年12月31日，为期 </w:t>
      </w:r>
      <w:r>
        <w:t>5</w:t>
      </w:r>
      <w:r>
        <w:rPr>
          <w:rFonts w:hint="eastAsia"/>
        </w:rPr>
        <w:t>个月，共分三个阶段。</w:t>
      </w:r>
    </w:p>
    <w:p>
      <w:pPr>
        <w:spacing w:line="590" w:lineRule="exact"/>
        <w:ind w:firstLine="640" w:firstLineChars="200"/>
      </w:pPr>
      <w:r>
        <w:rPr>
          <w:rFonts w:hint="eastAsia"/>
        </w:rPr>
        <w:t>第一阶段：动员部署、摸底排查阶段（即日起至</w:t>
      </w:r>
      <w:r>
        <w:t>8</w:t>
      </w:r>
      <w:r>
        <w:rPr>
          <w:rFonts w:hint="eastAsia"/>
        </w:rPr>
        <w:t>月</w:t>
      </w:r>
      <w:r>
        <w:t>15</w:t>
      </w:r>
      <w:r>
        <w:rPr>
          <w:rFonts w:hint="eastAsia"/>
        </w:rPr>
        <w:t xml:space="preserve"> 日）。各岗位、站所、社区抓紧召开会议动员部署，深入研究本辖区、本行业涉及成品油非法经营存在的突出问题和风险隐患，集中力量开展拉网式清理排查，对排查出的问题隐患，形成问题台账，按照各自职责及时整治。各岗位、站所、社区问题台账（详见附件 1）于</w:t>
      </w:r>
      <w:r>
        <w:t>8</w:t>
      </w:r>
      <w:r>
        <w:rPr>
          <w:rFonts w:hint="eastAsia"/>
        </w:rPr>
        <w:t>月</w:t>
      </w:r>
      <w:r>
        <w:t>15</w:t>
      </w:r>
      <w:r>
        <w:rPr>
          <w:rFonts w:hint="eastAsia"/>
        </w:rPr>
        <w:t>日前报街道成品油打非办。</w:t>
      </w:r>
    </w:p>
    <w:p>
      <w:pPr>
        <w:spacing w:line="590" w:lineRule="exact"/>
        <w:ind w:firstLine="640" w:firstLineChars="200"/>
      </w:pPr>
      <w:r>
        <w:rPr>
          <w:rFonts w:hint="eastAsia"/>
        </w:rPr>
        <w:t>第二阶段：依法查处、集中整治阶段（</w:t>
      </w:r>
      <w:r>
        <w:t>8</w:t>
      </w:r>
      <w:r>
        <w:rPr>
          <w:rFonts w:hint="eastAsia"/>
        </w:rPr>
        <w:t>月</w:t>
      </w:r>
      <w:r>
        <w:t>15</w:t>
      </w:r>
      <w:r>
        <w:rPr>
          <w:rFonts w:hint="eastAsia"/>
        </w:rPr>
        <w:t>日至10月31日）。根据摸排结果及问题台账进行逐项清理，制定整改计划，明确整改时限和具体整改任务，落实查处和整改措施，切实纠正存在的违法违规行为，确保打击整治成效。特别是对未取得《成品油零售经营批准证书》《营业执照》《危险化学品经营许可证》违规经营的加油站（点），一律关停，并提请相关职能部门进行联合查处；情节严重涉嫌犯罪的，依法移送司法机关追究刑事责任。</w:t>
      </w:r>
    </w:p>
    <w:p>
      <w:pPr>
        <w:spacing w:line="590" w:lineRule="exact"/>
        <w:ind w:firstLine="640" w:firstLineChars="200"/>
      </w:pPr>
      <w:r>
        <w:rPr>
          <w:rFonts w:hint="eastAsia"/>
        </w:rPr>
        <w:t>第三阶段：总结复盘、建章立制阶段（11月1日至12月31日）。总结推广专项行动经验做法，找准成品油流通管理的薄弱环节和痛点难点，加强自用油安全管理，常态化开展部门联合执法、举报核查、分级分类管理等方面建章立制，形成长效管理机制，持续净化成品油市场秩序。</w:t>
      </w:r>
    </w:p>
    <w:p>
      <w:pPr>
        <w:spacing w:line="590" w:lineRule="exact"/>
        <w:ind w:firstLine="640" w:firstLineChars="200"/>
        <w:rPr>
          <w:rFonts w:ascii="方正黑体_GBK" w:hAnsi="方正黑体_GBK" w:eastAsia="方正黑体_GBK" w:cs="Times New Roman"/>
        </w:rPr>
      </w:pPr>
      <w:r>
        <w:rPr>
          <w:rFonts w:hint="eastAsia" w:ascii="方正黑体_GBK" w:hAnsi="方正黑体_GBK" w:eastAsia="方正黑体_GBK" w:cs="Times New Roman"/>
        </w:rPr>
        <w:t>四</w:t>
      </w:r>
      <w:r>
        <w:rPr>
          <w:rFonts w:ascii="方正黑体_GBK" w:hAnsi="方正黑体_GBK" w:eastAsia="方正黑体_GBK" w:cs="Times New Roman"/>
        </w:rPr>
        <w:t>、</w:t>
      </w:r>
      <w:r>
        <w:rPr>
          <w:rFonts w:hint="eastAsia" w:ascii="方正黑体_GBK" w:hAnsi="方正黑体_GBK" w:eastAsia="方正黑体_GBK" w:cs="Times New Roman"/>
        </w:rPr>
        <w:t>责任</w:t>
      </w:r>
      <w:r>
        <w:rPr>
          <w:rFonts w:ascii="方正黑体_GBK" w:hAnsi="方正黑体_GBK" w:eastAsia="方正黑体_GBK" w:cs="Times New Roman"/>
        </w:rPr>
        <w:t>分工</w:t>
      </w:r>
    </w:p>
    <w:p>
      <w:pPr>
        <w:spacing w:line="590" w:lineRule="exact"/>
        <w:ind w:firstLine="642" w:firstLineChars="200"/>
      </w:pPr>
      <w:r>
        <w:rPr>
          <w:rFonts w:hint="eastAsia"/>
          <w:b/>
        </w:rPr>
        <w:t>街道成品油打非办</w:t>
      </w:r>
      <w:r>
        <w:rPr>
          <w:rFonts w:hint="eastAsia"/>
          <w:b/>
          <w:bCs/>
        </w:rPr>
        <w:t>：</w:t>
      </w:r>
      <w:r>
        <w:rPr>
          <w:rFonts w:hint="eastAsia"/>
          <w:bCs/>
        </w:rPr>
        <w:t>负责打击</w:t>
      </w:r>
      <w:r>
        <w:rPr>
          <w:rFonts w:hint="eastAsia"/>
        </w:rPr>
        <w:t>新桥街道辖区内成品油非法经营行为，负责辖区内专项行动的统筹协调、监督指导和宣传发动，对照市、区专项行动方案，制定本辖区方案，加强成品油非法经营重点区域及周边线索排查，配合相关部门对查缴的油品依法回收处置。</w:t>
      </w:r>
    </w:p>
    <w:p>
      <w:pPr>
        <w:spacing w:line="590" w:lineRule="exact"/>
        <w:ind w:firstLine="642" w:firstLineChars="200"/>
      </w:pPr>
      <w:r>
        <w:rPr>
          <w:rFonts w:hint="eastAsia"/>
          <w:b/>
        </w:rPr>
        <w:t>各岗位、站所、社区</w:t>
      </w:r>
      <w:r>
        <w:rPr>
          <w:b/>
        </w:rPr>
        <w:t>：</w:t>
      </w:r>
      <w:r>
        <w:rPr>
          <w:rFonts w:hint="eastAsia"/>
        </w:rPr>
        <w:t>负责本辖区、本行业涉及</w:t>
      </w:r>
      <w:r>
        <w:t>非法成品油</w:t>
      </w:r>
      <w:r>
        <w:rPr>
          <w:rFonts w:hint="eastAsia"/>
        </w:rPr>
        <w:t>的</w:t>
      </w:r>
      <w:r>
        <w:t>摸排</w:t>
      </w:r>
      <w:r>
        <w:rPr>
          <w:rFonts w:hint="eastAsia"/>
        </w:rPr>
        <w:t>工作</w:t>
      </w:r>
      <w:r>
        <w:t>，积极发挥监管职责，</w:t>
      </w:r>
      <w:r>
        <w:rPr>
          <w:rFonts w:hint="eastAsia"/>
        </w:rPr>
        <w:t>强化</w:t>
      </w:r>
      <w:r>
        <w:t>日常排查</w:t>
      </w:r>
      <w:r>
        <w:rPr>
          <w:rFonts w:hint="eastAsia"/>
        </w:rPr>
        <w:t>，及时提供非法经营成品油相关线索并报街道成品油打非办</w:t>
      </w:r>
      <w:bookmarkStart w:id="0" w:name="_GoBack"/>
      <w:bookmarkEnd w:id="0"/>
      <w:r>
        <w:rPr>
          <w:rFonts w:hint="eastAsia"/>
        </w:rPr>
        <w:t>和新桥派出所并参与联合执法。</w:t>
      </w:r>
    </w:p>
    <w:p>
      <w:pPr>
        <w:spacing w:line="590" w:lineRule="exact"/>
        <w:ind w:firstLine="640" w:firstLineChars="200"/>
        <w:rPr>
          <w:rFonts w:ascii="黑体" w:hAnsi="黑体" w:eastAsia="黑体"/>
        </w:rPr>
      </w:pPr>
      <w:r>
        <w:rPr>
          <w:rFonts w:hint="eastAsia" w:ascii="黑体" w:hAnsi="黑体" w:eastAsia="黑体"/>
        </w:rPr>
        <w:t>五、工作要求</w:t>
      </w:r>
    </w:p>
    <w:p>
      <w:pPr>
        <w:spacing w:line="590" w:lineRule="exact"/>
        <w:ind w:firstLine="640" w:firstLineChars="200"/>
      </w:pPr>
      <w:r>
        <w:rPr>
          <w:rFonts w:hint="eastAsia" w:ascii="楷体" w:hAnsi="楷体" w:eastAsia="楷体" w:cs="楷体"/>
        </w:rPr>
        <w:t>（一）提高政治站位。</w:t>
      </w:r>
      <w:r>
        <w:rPr>
          <w:rFonts w:hint="eastAsia"/>
        </w:rPr>
        <w:t>各岗位、站所、社区要深刻认识当前安全生产面临的严峻复杂形势和开展专项行动的极端重要性、紧迫性，进一步提高政治站位，加强组织领导，主动靠前指挥，迅速反应行动，抓紧动员部署，落实责任，确保专项行动落地见效。</w:t>
      </w:r>
    </w:p>
    <w:p>
      <w:pPr>
        <w:spacing w:line="590" w:lineRule="exact"/>
        <w:ind w:firstLine="640" w:firstLineChars="200"/>
      </w:pPr>
      <w:r>
        <w:rPr>
          <w:rFonts w:hint="eastAsia" w:ascii="楷体" w:hAnsi="楷体" w:eastAsia="楷体" w:cs="楷体"/>
        </w:rPr>
        <w:t>（二）加强协作联动。</w:t>
      </w:r>
      <w:r>
        <w:rPr>
          <w:rFonts w:hint="eastAsia"/>
        </w:rPr>
        <w:t>各岗位、站所、社区要牢固树立“一盘棋”思想，密切协作配合，扎实开展联合执法检查，加强线索共享和案件协査，形成齐抓共管的强大合力。抽调企业服务岗、新桥派出所、应急消防岗、新桥市场监管所1名熟悉业务、责任心强的同志组成工作专班，视情组织集中办公。</w:t>
      </w:r>
    </w:p>
    <w:p>
      <w:pPr>
        <w:spacing w:line="590" w:lineRule="exact"/>
        <w:ind w:firstLine="640" w:firstLineChars="200"/>
      </w:pPr>
      <w:r>
        <w:rPr>
          <w:rFonts w:hint="eastAsia" w:ascii="楷体" w:hAnsi="楷体" w:eastAsia="楷体" w:cs="楷体"/>
        </w:rPr>
        <w:t>（三）加强督导检查。</w:t>
      </w:r>
      <w:r>
        <w:rPr>
          <w:rFonts w:hint="eastAsia"/>
        </w:rPr>
        <w:t>街道专项行动领导小组适时组织联合督查组，采取“四不两直”方式开展督导检查和暗访抽查，重点检查各岗位、站所、社区专项行动摸底排查、举报核查、案件查处、宣传引导等工作开展情况，对发现的问题建立问题台账，采取下发提醒函、督办函等方式，加强对成品油非法经营问题突出岗位、站所、社区的指导督促，推动专项行动取得实效。</w:t>
      </w:r>
    </w:p>
    <w:p>
      <w:pPr>
        <w:spacing w:line="590" w:lineRule="exact"/>
        <w:ind w:firstLine="640" w:firstLineChars="200"/>
      </w:pPr>
      <w:r>
        <w:rPr>
          <w:rFonts w:hint="eastAsia" w:ascii="楷体" w:hAnsi="楷体" w:eastAsia="楷体" w:cs="楷体"/>
        </w:rPr>
        <w:t>（四）深入宣传发动。</w:t>
      </w:r>
      <w:r>
        <w:rPr>
          <w:rFonts w:hint="eastAsia"/>
        </w:rPr>
        <w:t>市、区成品油非法经营打击组设立有奖举报热线，举报电话：110；市、区成品油市场秩序整治组设立有奖举报热线，举报电话：12345、12350。各社区通过居民群、公告、标语、横幅等各类媒介广泛宣传成品油市场违法违规行为的社会危害，发动广大群众举报违法违规线索，举报电话：</w:t>
      </w:r>
      <w:r>
        <w:t>023-65203138</w:t>
      </w:r>
      <w:r>
        <w:rPr>
          <w:rFonts w:hint="eastAsia"/>
        </w:rPr>
        <w:t>（街道街道成品油打非办）、1</w:t>
      </w:r>
      <w:r>
        <w:t>3594097992</w:t>
      </w:r>
      <w:r>
        <w:rPr>
          <w:rFonts w:hint="eastAsia"/>
        </w:rPr>
        <w:t>（新桥派出所）。</w:t>
      </w:r>
    </w:p>
    <w:p>
      <w:pPr>
        <w:spacing w:line="590" w:lineRule="exact"/>
        <w:ind w:firstLine="640" w:firstLineChars="200"/>
      </w:pPr>
      <w:r>
        <w:rPr>
          <w:rFonts w:hint="eastAsia" w:ascii="楷体" w:hAnsi="楷体" w:eastAsia="楷体" w:cs="楷体"/>
        </w:rPr>
        <w:t>（五）严格责任追究。</w:t>
      </w:r>
      <w:r>
        <w:rPr>
          <w:rFonts w:hint="eastAsia"/>
        </w:rPr>
        <w:t>专项行动期间，街道专项行动领导小组将对工作推进不力、履职不到位、成品油非法经营问题突出的岗位、站所、社区及其责任人予以通报。对专项行动打击整治不力、非法经营问题突出导致人员伤亡和重大财产损失、产生重大不良影响的交由纪检监察机关依规依纪依法追责问责。</w:t>
      </w:r>
    </w:p>
    <w:p>
      <w:pPr>
        <w:widowControl/>
        <w:spacing w:line="590" w:lineRule="exact"/>
        <w:jc w:val="left"/>
      </w:pPr>
      <w:r>
        <w:rPr>
          <w:rFonts w:hint="eastAsia" w:ascii="楷体" w:hAnsi="楷体" w:eastAsia="楷体" w:cs="楷体"/>
        </w:rPr>
        <w:t xml:space="preserve">    （六）强化信息报送。</w:t>
      </w:r>
      <w:r>
        <w:rPr>
          <w:rFonts w:hint="eastAsia"/>
        </w:rPr>
        <w:t>各岗位、站所、社区要加强专项行动动态信息报送，及时报送工作开展情况、存在问题以及工作成效。建立工作情况月报告制度，各岗位、站所、社区于2024年</w:t>
      </w:r>
      <w:r>
        <w:t>8</w:t>
      </w:r>
      <w:r>
        <w:rPr>
          <w:rFonts w:hint="eastAsia"/>
        </w:rPr>
        <w:t>月</w:t>
      </w:r>
      <w:r>
        <w:t>9</w:t>
      </w:r>
      <w:r>
        <w:rPr>
          <w:rFonts w:hint="eastAsia"/>
        </w:rPr>
        <w:t>日前将本岗位、本站所、本社区专项行动联络员及联系方式报送至街道成品油打非办（联系电话：</w:t>
      </w:r>
      <w:r>
        <w:t>65203138</w:t>
      </w:r>
      <w:r>
        <w:rPr>
          <w:rFonts w:hint="eastAsia"/>
        </w:rPr>
        <w:t>，邮箱：</w:t>
      </w:r>
      <w:r>
        <w:t>1172821349</w:t>
      </w:r>
      <w:r>
        <w:rPr>
          <w:rFonts w:hint="eastAsia"/>
        </w:rPr>
        <w:t>@qq.com）；次月</w:t>
      </w:r>
      <w:r>
        <w:t>1</w:t>
      </w:r>
      <w:r>
        <w:rPr>
          <w:rFonts w:hint="eastAsia"/>
        </w:rPr>
        <w:t>日前，将本岗位、本站所、本社区上月专项行动工作小结和月报表（详见附件 2）报街道成品油打非办，专项行动工作总结于 2024年12月</w:t>
      </w:r>
      <w:r>
        <w:t>1</w:t>
      </w:r>
      <w:r>
        <w:rPr>
          <w:rFonts w:hint="eastAsia"/>
        </w:rPr>
        <w:t>日前报送街道成品油打非办。</w:t>
      </w:r>
    </w:p>
    <w:p>
      <w:pPr>
        <w:spacing w:line="590" w:lineRule="exact"/>
        <w:ind w:firstLine="640" w:firstLineChars="200"/>
      </w:pPr>
    </w:p>
    <w:p>
      <w:pPr>
        <w:spacing w:line="590" w:lineRule="exact"/>
        <w:ind w:firstLine="640" w:firstLineChars="200"/>
      </w:pPr>
      <w:r>
        <w:rPr>
          <w:rFonts w:hint="eastAsia"/>
        </w:rPr>
        <w:t>附件：1.打击整治成品油非法经营专项行动问题台账</w:t>
      </w:r>
    </w:p>
    <w:p>
      <w:pPr>
        <w:spacing w:line="590" w:lineRule="exact"/>
        <w:ind w:left="1592"/>
        <w:rPr>
          <w:w w:val="95"/>
        </w:rPr>
      </w:pPr>
      <w:r>
        <w:rPr>
          <w:rFonts w:hint="eastAsia"/>
          <w:w w:val="95"/>
        </w:rPr>
        <w:t>2.打击整治成品油非法经营专项行动情况月报表</w:t>
      </w:r>
    </w:p>
    <w:p>
      <w:pPr>
        <w:spacing w:line="590" w:lineRule="exact"/>
        <w:rPr>
          <w:w w:val="95"/>
        </w:rPr>
      </w:pPr>
    </w:p>
    <w:p>
      <w:pPr>
        <w:spacing w:line="590" w:lineRule="exact"/>
        <w:rPr>
          <w:w w:val="95"/>
        </w:rPr>
      </w:pPr>
    </w:p>
    <w:p>
      <w:pPr>
        <w:spacing w:line="590" w:lineRule="exact"/>
        <w:rPr>
          <w:w w:val="95"/>
        </w:rPr>
      </w:pPr>
    </w:p>
    <w:p>
      <w:pPr>
        <w:spacing w:line="590" w:lineRule="exact"/>
        <w:rPr>
          <w:w w:val="95"/>
        </w:rPr>
      </w:pPr>
    </w:p>
    <w:p>
      <w:pPr>
        <w:spacing w:line="590" w:lineRule="exact"/>
        <w:rPr>
          <w:w w:val="95"/>
        </w:rPr>
      </w:pPr>
    </w:p>
    <w:p>
      <w:pPr>
        <w:spacing w:line="590" w:lineRule="exact"/>
        <w:rPr>
          <w:w w:val="95"/>
        </w:rPr>
      </w:pPr>
    </w:p>
    <w:p>
      <w:pPr>
        <w:widowControl/>
        <w:jc w:val="left"/>
        <w:rPr>
          <w:rFonts w:ascii="方正黑体_GBK" w:hAnsi="方正黑体_GBK" w:eastAsia="方正黑体_GBK" w:cs="方正黑体_GBK"/>
          <w:color w:val="000000"/>
          <w:kern w:val="0"/>
          <w:sz w:val="31"/>
          <w:szCs w:val="31"/>
          <w:lang w:bidi="ar"/>
        </w:rPr>
        <w:sectPr>
          <w:footerReference r:id="rId5" w:type="first"/>
          <w:footerReference r:id="rId3" w:type="default"/>
          <w:footerReference r:id="rId4" w:type="even"/>
          <w:pgSz w:w="11906" w:h="16838"/>
          <w:pgMar w:top="1984" w:right="1446" w:bottom="1644" w:left="1446" w:header="851" w:footer="992" w:gutter="0"/>
          <w:pgNumType w:fmt="numberInDash" w:start="1"/>
          <w:cols w:space="0" w:num="1"/>
          <w:docGrid w:type="lines" w:linePitch="435" w:charSpace="0"/>
        </w:sectPr>
      </w:pPr>
    </w:p>
    <w:p>
      <w:pPr>
        <w:spacing w:line="580" w:lineRule="exact"/>
        <w:rPr>
          <w:rFonts w:ascii="方正黑体_GBK" w:eastAsia="方正黑体_GBK"/>
        </w:rPr>
      </w:pPr>
    </w:p>
    <w:p>
      <w:pPr>
        <w:widowControl/>
        <w:jc w:val="left"/>
      </w:pPr>
      <w:r>
        <w:rPr>
          <w:rFonts w:ascii="方正黑体_GBK" w:hAnsi="方正黑体_GBK" w:eastAsia="方正黑体_GBK" w:cs="方正黑体_GBK"/>
          <w:color w:val="000000"/>
          <w:kern w:val="0"/>
          <w:sz w:val="31"/>
          <w:szCs w:val="31"/>
          <w:lang w:bidi="ar"/>
        </w:rPr>
        <w:t xml:space="preserve">附件 </w:t>
      </w:r>
      <w:r>
        <w:rPr>
          <w:rFonts w:eastAsia="宋体" w:cs="Times New Roman"/>
          <w:color w:val="000000"/>
          <w:kern w:val="0"/>
          <w:sz w:val="31"/>
          <w:szCs w:val="31"/>
          <w:lang w:bidi="ar"/>
        </w:rPr>
        <w:t xml:space="preserve">1 </w:t>
      </w:r>
    </w:p>
    <w:p>
      <w:pPr>
        <w:widowControl/>
        <w:jc w:val="center"/>
      </w:pPr>
      <w:r>
        <w:rPr>
          <w:rFonts w:ascii="方正小标宋_GBK" w:hAnsi="方正小标宋_GBK" w:eastAsia="方正小标宋_GBK" w:cs="方正小标宋_GBK"/>
          <w:color w:val="000000"/>
          <w:kern w:val="0"/>
          <w:sz w:val="43"/>
          <w:szCs w:val="43"/>
          <w:lang w:bidi="ar"/>
        </w:rPr>
        <w:t>打击整治成品油非法经营专项行动问题台账</w:t>
      </w:r>
    </w:p>
    <w:p>
      <w:pPr>
        <w:widowControl/>
        <w:jc w:val="left"/>
        <w:rPr>
          <w:rFonts w:ascii="方正仿宋_GBK" w:hAnsi="方正仿宋_GBK"/>
          <w:color w:val="000000"/>
          <w:kern w:val="0"/>
          <w:sz w:val="24"/>
          <w:lang w:bidi="ar"/>
        </w:rPr>
      </w:pPr>
      <w:r>
        <w:rPr>
          <w:rFonts w:ascii="方正仿宋_GBK" w:hAnsi="方正仿宋_GBK"/>
          <w:color w:val="000000"/>
          <w:kern w:val="0"/>
          <w:sz w:val="24"/>
          <w:lang w:bidi="ar"/>
        </w:rPr>
        <w:t xml:space="preserve">填报单位： </w:t>
      </w:r>
      <w:r>
        <w:rPr>
          <w:rFonts w:hint="eastAsia" w:ascii="方正仿宋_GBK" w:hAnsi="方正仿宋_GBK"/>
          <w:color w:val="000000"/>
          <w:kern w:val="0"/>
          <w:sz w:val="24"/>
          <w:lang w:bidi="ar"/>
        </w:rPr>
        <w:t xml:space="preserve">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  时间：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 年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月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日 </w:t>
      </w:r>
    </w:p>
    <w:tbl>
      <w:tblPr>
        <w:tblStyle w:val="10"/>
        <w:tblW w:w="13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261"/>
        <w:gridCol w:w="1004"/>
        <w:gridCol w:w="1223"/>
        <w:gridCol w:w="1189"/>
        <w:gridCol w:w="2030"/>
        <w:gridCol w:w="2158"/>
        <w:gridCol w:w="1604"/>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65" w:type="dxa"/>
            <w:vAlign w:val="center"/>
          </w:tcPr>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w:t>
            </w:r>
          </w:p>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号</w:t>
            </w:r>
          </w:p>
        </w:tc>
        <w:tc>
          <w:tcPr>
            <w:tcW w:w="2261" w:type="dxa"/>
            <w:vAlign w:val="center"/>
          </w:tcPr>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非法经营主体名称</w:t>
            </w:r>
          </w:p>
        </w:tc>
        <w:tc>
          <w:tcPr>
            <w:tcW w:w="1004" w:type="dxa"/>
            <w:vAlign w:val="center"/>
          </w:tcPr>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类型</w:t>
            </w:r>
          </w:p>
        </w:tc>
        <w:tc>
          <w:tcPr>
            <w:tcW w:w="1223" w:type="dxa"/>
            <w:vAlign w:val="center"/>
          </w:tcPr>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非法</w:t>
            </w:r>
          </w:p>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经营品种</w:t>
            </w:r>
          </w:p>
        </w:tc>
        <w:tc>
          <w:tcPr>
            <w:tcW w:w="1189" w:type="dxa"/>
            <w:vAlign w:val="center"/>
          </w:tcPr>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油品</w:t>
            </w:r>
          </w:p>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来源</w:t>
            </w:r>
          </w:p>
        </w:tc>
        <w:tc>
          <w:tcPr>
            <w:tcW w:w="2030" w:type="dxa"/>
            <w:vAlign w:val="center"/>
          </w:tcPr>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主要区域</w:t>
            </w:r>
          </w:p>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/地址</w:t>
            </w:r>
          </w:p>
        </w:tc>
        <w:tc>
          <w:tcPr>
            <w:tcW w:w="2158" w:type="dxa"/>
            <w:vAlign w:val="center"/>
          </w:tcPr>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违法违规</w:t>
            </w:r>
          </w:p>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行为描述</w:t>
            </w:r>
          </w:p>
        </w:tc>
        <w:tc>
          <w:tcPr>
            <w:tcW w:w="1604" w:type="dxa"/>
            <w:vAlign w:val="center"/>
          </w:tcPr>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处置措施</w:t>
            </w:r>
          </w:p>
        </w:tc>
        <w:tc>
          <w:tcPr>
            <w:tcW w:w="1038" w:type="dxa"/>
            <w:vAlign w:val="center"/>
          </w:tcPr>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处置</w:t>
            </w:r>
          </w:p>
          <w:p>
            <w:pPr>
              <w:spacing w:line="40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65" w:type="dxa"/>
            <w:vAlign w:val="center"/>
          </w:tcPr>
          <w:p>
            <w:pPr>
              <w:widowControl/>
              <w:jc w:val="center"/>
              <w:rPr>
                <w:rFonts w:ascii="方正仿宋_GBK" w:hAnsi="方正仿宋_GBK"/>
                <w:color w:val="000000"/>
                <w:kern w:val="0"/>
                <w:sz w:val="24"/>
                <w:szCs w:val="24"/>
                <w:lang w:bidi="ar"/>
              </w:rPr>
            </w:pPr>
            <w:r>
              <w:rPr>
                <w:rFonts w:hint="eastAsia" w:ascii="方正仿宋_GBK" w:hAnsi="方正仿宋_GBK"/>
                <w:color w:val="000000"/>
                <w:kern w:val="0"/>
                <w:sz w:val="24"/>
                <w:szCs w:val="24"/>
                <w:lang w:bidi="ar"/>
              </w:rPr>
              <w:t>01</w:t>
            </w:r>
          </w:p>
        </w:tc>
        <w:tc>
          <w:tcPr>
            <w:tcW w:w="2261" w:type="dxa"/>
          </w:tcPr>
          <w:p>
            <w:pPr>
              <w:widowControl/>
              <w:jc w:val="left"/>
              <w:rPr>
                <w:rFonts w:ascii="方正仿宋_GBK" w:hAnsi="方正仿宋_GBK"/>
                <w:color w:val="000000"/>
                <w:kern w:val="0"/>
                <w:sz w:val="24"/>
                <w:szCs w:val="24"/>
                <w:lang w:bidi="ar"/>
              </w:rPr>
            </w:pPr>
          </w:p>
        </w:tc>
        <w:tc>
          <w:tcPr>
            <w:tcW w:w="1004" w:type="dxa"/>
          </w:tcPr>
          <w:p>
            <w:pPr>
              <w:widowControl/>
              <w:jc w:val="left"/>
              <w:rPr>
                <w:rFonts w:ascii="方正仿宋_GBK" w:hAnsi="方正仿宋_GBK"/>
                <w:color w:val="000000"/>
                <w:kern w:val="0"/>
                <w:sz w:val="24"/>
                <w:szCs w:val="24"/>
                <w:lang w:bidi="ar"/>
              </w:rPr>
            </w:pPr>
          </w:p>
        </w:tc>
        <w:tc>
          <w:tcPr>
            <w:tcW w:w="1223" w:type="dxa"/>
          </w:tcPr>
          <w:p>
            <w:pPr>
              <w:widowControl/>
              <w:jc w:val="left"/>
              <w:rPr>
                <w:rFonts w:ascii="方正仿宋_GBK" w:hAnsi="方正仿宋_GBK"/>
                <w:color w:val="000000"/>
                <w:kern w:val="0"/>
                <w:sz w:val="24"/>
                <w:szCs w:val="24"/>
                <w:lang w:bidi="ar"/>
              </w:rPr>
            </w:pPr>
          </w:p>
        </w:tc>
        <w:tc>
          <w:tcPr>
            <w:tcW w:w="1189" w:type="dxa"/>
          </w:tcPr>
          <w:p>
            <w:pPr>
              <w:widowControl/>
              <w:jc w:val="left"/>
              <w:rPr>
                <w:rFonts w:ascii="方正仿宋_GBK" w:hAnsi="方正仿宋_GBK"/>
                <w:color w:val="000000"/>
                <w:kern w:val="0"/>
                <w:sz w:val="24"/>
                <w:szCs w:val="24"/>
                <w:lang w:bidi="ar"/>
              </w:rPr>
            </w:pPr>
          </w:p>
        </w:tc>
        <w:tc>
          <w:tcPr>
            <w:tcW w:w="2030" w:type="dxa"/>
          </w:tcPr>
          <w:p>
            <w:pPr>
              <w:widowControl/>
              <w:jc w:val="left"/>
              <w:rPr>
                <w:rFonts w:ascii="方正仿宋_GBK" w:hAnsi="方正仿宋_GBK"/>
                <w:color w:val="000000"/>
                <w:kern w:val="0"/>
                <w:sz w:val="24"/>
                <w:szCs w:val="24"/>
                <w:lang w:bidi="ar"/>
              </w:rPr>
            </w:pPr>
          </w:p>
        </w:tc>
        <w:tc>
          <w:tcPr>
            <w:tcW w:w="2158" w:type="dxa"/>
          </w:tcPr>
          <w:p>
            <w:pPr>
              <w:widowControl/>
              <w:jc w:val="left"/>
              <w:rPr>
                <w:rFonts w:ascii="方正仿宋_GBK" w:hAnsi="方正仿宋_GBK"/>
                <w:color w:val="000000"/>
                <w:kern w:val="0"/>
                <w:sz w:val="24"/>
                <w:szCs w:val="24"/>
                <w:lang w:bidi="ar"/>
              </w:rPr>
            </w:pPr>
          </w:p>
        </w:tc>
        <w:tc>
          <w:tcPr>
            <w:tcW w:w="1604" w:type="dxa"/>
          </w:tcPr>
          <w:p>
            <w:pPr>
              <w:widowControl/>
              <w:jc w:val="left"/>
              <w:rPr>
                <w:rFonts w:ascii="方正仿宋_GBK" w:hAnsi="方正仿宋_GBK"/>
                <w:color w:val="000000"/>
                <w:kern w:val="0"/>
                <w:sz w:val="24"/>
                <w:szCs w:val="24"/>
                <w:lang w:bidi="ar"/>
              </w:rPr>
            </w:pPr>
          </w:p>
        </w:tc>
        <w:tc>
          <w:tcPr>
            <w:tcW w:w="1038" w:type="dxa"/>
          </w:tcPr>
          <w:p>
            <w:pPr>
              <w:widowControl/>
              <w:jc w:val="left"/>
              <w:rPr>
                <w:rFonts w:ascii="方正仿宋_GBK" w:hAnsi="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65" w:type="dxa"/>
            <w:vAlign w:val="center"/>
          </w:tcPr>
          <w:p>
            <w:pPr>
              <w:widowControl/>
              <w:jc w:val="center"/>
              <w:rPr>
                <w:rFonts w:ascii="方正仿宋_GBK" w:hAnsi="方正仿宋_GBK"/>
                <w:color w:val="000000"/>
                <w:kern w:val="0"/>
                <w:sz w:val="24"/>
                <w:szCs w:val="24"/>
                <w:lang w:bidi="ar"/>
              </w:rPr>
            </w:pPr>
            <w:r>
              <w:rPr>
                <w:rFonts w:hint="eastAsia" w:ascii="方正仿宋_GBK" w:hAnsi="方正仿宋_GBK"/>
                <w:color w:val="000000"/>
                <w:kern w:val="0"/>
                <w:sz w:val="24"/>
                <w:szCs w:val="24"/>
                <w:lang w:bidi="ar"/>
              </w:rPr>
              <w:t>02</w:t>
            </w:r>
          </w:p>
        </w:tc>
        <w:tc>
          <w:tcPr>
            <w:tcW w:w="2261" w:type="dxa"/>
          </w:tcPr>
          <w:p>
            <w:pPr>
              <w:widowControl/>
              <w:jc w:val="left"/>
              <w:rPr>
                <w:rFonts w:ascii="方正仿宋_GBK" w:hAnsi="方正仿宋_GBK"/>
                <w:color w:val="000000"/>
                <w:kern w:val="0"/>
                <w:sz w:val="24"/>
                <w:szCs w:val="24"/>
                <w:lang w:bidi="ar"/>
              </w:rPr>
            </w:pPr>
          </w:p>
        </w:tc>
        <w:tc>
          <w:tcPr>
            <w:tcW w:w="1004" w:type="dxa"/>
          </w:tcPr>
          <w:p>
            <w:pPr>
              <w:widowControl/>
              <w:jc w:val="left"/>
              <w:rPr>
                <w:rFonts w:ascii="方正仿宋_GBK" w:hAnsi="方正仿宋_GBK"/>
                <w:color w:val="000000"/>
                <w:kern w:val="0"/>
                <w:sz w:val="24"/>
                <w:szCs w:val="24"/>
                <w:lang w:bidi="ar"/>
              </w:rPr>
            </w:pPr>
          </w:p>
        </w:tc>
        <w:tc>
          <w:tcPr>
            <w:tcW w:w="1223" w:type="dxa"/>
          </w:tcPr>
          <w:p>
            <w:pPr>
              <w:widowControl/>
              <w:jc w:val="left"/>
              <w:rPr>
                <w:rFonts w:ascii="方正仿宋_GBK" w:hAnsi="方正仿宋_GBK"/>
                <w:color w:val="000000"/>
                <w:kern w:val="0"/>
                <w:sz w:val="24"/>
                <w:szCs w:val="24"/>
                <w:lang w:bidi="ar"/>
              </w:rPr>
            </w:pPr>
          </w:p>
        </w:tc>
        <w:tc>
          <w:tcPr>
            <w:tcW w:w="1189" w:type="dxa"/>
          </w:tcPr>
          <w:p>
            <w:pPr>
              <w:widowControl/>
              <w:jc w:val="left"/>
              <w:rPr>
                <w:rFonts w:ascii="方正仿宋_GBK" w:hAnsi="方正仿宋_GBK"/>
                <w:color w:val="000000"/>
                <w:kern w:val="0"/>
                <w:sz w:val="24"/>
                <w:szCs w:val="24"/>
                <w:lang w:bidi="ar"/>
              </w:rPr>
            </w:pPr>
          </w:p>
        </w:tc>
        <w:tc>
          <w:tcPr>
            <w:tcW w:w="2030" w:type="dxa"/>
          </w:tcPr>
          <w:p>
            <w:pPr>
              <w:widowControl/>
              <w:jc w:val="left"/>
              <w:rPr>
                <w:rFonts w:ascii="方正仿宋_GBK" w:hAnsi="方正仿宋_GBK"/>
                <w:color w:val="000000"/>
                <w:kern w:val="0"/>
                <w:sz w:val="24"/>
                <w:szCs w:val="24"/>
                <w:lang w:bidi="ar"/>
              </w:rPr>
            </w:pPr>
          </w:p>
        </w:tc>
        <w:tc>
          <w:tcPr>
            <w:tcW w:w="2158" w:type="dxa"/>
          </w:tcPr>
          <w:p>
            <w:pPr>
              <w:widowControl/>
              <w:jc w:val="left"/>
              <w:rPr>
                <w:rFonts w:ascii="方正仿宋_GBK" w:hAnsi="方正仿宋_GBK"/>
                <w:color w:val="000000"/>
                <w:kern w:val="0"/>
                <w:sz w:val="24"/>
                <w:szCs w:val="24"/>
                <w:lang w:bidi="ar"/>
              </w:rPr>
            </w:pPr>
          </w:p>
        </w:tc>
        <w:tc>
          <w:tcPr>
            <w:tcW w:w="1604" w:type="dxa"/>
          </w:tcPr>
          <w:p>
            <w:pPr>
              <w:widowControl/>
              <w:jc w:val="left"/>
              <w:rPr>
                <w:rFonts w:ascii="方正仿宋_GBK" w:hAnsi="方正仿宋_GBK"/>
                <w:color w:val="000000"/>
                <w:kern w:val="0"/>
                <w:sz w:val="24"/>
                <w:szCs w:val="24"/>
                <w:lang w:bidi="ar"/>
              </w:rPr>
            </w:pPr>
          </w:p>
        </w:tc>
        <w:tc>
          <w:tcPr>
            <w:tcW w:w="1038" w:type="dxa"/>
          </w:tcPr>
          <w:p>
            <w:pPr>
              <w:widowControl/>
              <w:jc w:val="left"/>
              <w:rPr>
                <w:rFonts w:ascii="方正仿宋_GBK" w:hAnsi="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665" w:type="dxa"/>
            <w:vAlign w:val="center"/>
          </w:tcPr>
          <w:p>
            <w:pPr>
              <w:widowControl/>
              <w:jc w:val="center"/>
              <w:rPr>
                <w:rFonts w:ascii="方正仿宋_GBK" w:hAnsi="方正仿宋_GBK"/>
                <w:color w:val="000000"/>
                <w:kern w:val="0"/>
                <w:sz w:val="24"/>
                <w:szCs w:val="24"/>
                <w:lang w:bidi="ar"/>
              </w:rPr>
            </w:pPr>
            <w:r>
              <w:rPr>
                <w:rFonts w:eastAsia="宋体" w:cs="Times New Roman"/>
                <w:color w:val="000000"/>
                <w:kern w:val="0"/>
                <w:sz w:val="28"/>
                <w:szCs w:val="28"/>
                <w:lang w:bidi="ar"/>
              </w:rPr>
              <w:t>...</w:t>
            </w:r>
          </w:p>
        </w:tc>
        <w:tc>
          <w:tcPr>
            <w:tcW w:w="2261" w:type="dxa"/>
          </w:tcPr>
          <w:p>
            <w:pPr>
              <w:widowControl/>
              <w:jc w:val="left"/>
              <w:rPr>
                <w:rFonts w:ascii="方正仿宋_GBK" w:hAnsi="方正仿宋_GBK"/>
                <w:color w:val="000000"/>
                <w:kern w:val="0"/>
                <w:sz w:val="24"/>
                <w:szCs w:val="24"/>
                <w:lang w:bidi="ar"/>
              </w:rPr>
            </w:pPr>
          </w:p>
        </w:tc>
        <w:tc>
          <w:tcPr>
            <w:tcW w:w="1004" w:type="dxa"/>
          </w:tcPr>
          <w:p>
            <w:pPr>
              <w:widowControl/>
              <w:jc w:val="left"/>
              <w:rPr>
                <w:rFonts w:ascii="方正仿宋_GBK" w:hAnsi="方正仿宋_GBK"/>
                <w:color w:val="000000"/>
                <w:kern w:val="0"/>
                <w:sz w:val="24"/>
                <w:szCs w:val="24"/>
                <w:lang w:bidi="ar"/>
              </w:rPr>
            </w:pPr>
          </w:p>
        </w:tc>
        <w:tc>
          <w:tcPr>
            <w:tcW w:w="1223" w:type="dxa"/>
          </w:tcPr>
          <w:p>
            <w:pPr>
              <w:widowControl/>
              <w:jc w:val="left"/>
              <w:rPr>
                <w:rFonts w:ascii="方正仿宋_GBK" w:hAnsi="方正仿宋_GBK"/>
                <w:color w:val="000000"/>
                <w:kern w:val="0"/>
                <w:sz w:val="24"/>
                <w:szCs w:val="24"/>
                <w:lang w:bidi="ar"/>
              </w:rPr>
            </w:pPr>
          </w:p>
        </w:tc>
        <w:tc>
          <w:tcPr>
            <w:tcW w:w="1189" w:type="dxa"/>
          </w:tcPr>
          <w:p>
            <w:pPr>
              <w:widowControl/>
              <w:jc w:val="left"/>
              <w:rPr>
                <w:rFonts w:ascii="方正仿宋_GBK" w:hAnsi="方正仿宋_GBK"/>
                <w:color w:val="000000"/>
                <w:kern w:val="0"/>
                <w:sz w:val="24"/>
                <w:szCs w:val="24"/>
                <w:lang w:bidi="ar"/>
              </w:rPr>
            </w:pPr>
          </w:p>
        </w:tc>
        <w:tc>
          <w:tcPr>
            <w:tcW w:w="2030" w:type="dxa"/>
          </w:tcPr>
          <w:p>
            <w:pPr>
              <w:widowControl/>
              <w:jc w:val="left"/>
              <w:rPr>
                <w:rFonts w:ascii="方正仿宋_GBK" w:hAnsi="方正仿宋_GBK"/>
                <w:color w:val="000000"/>
                <w:kern w:val="0"/>
                <w:sz w:val="24"/>
                <w:szCs w:val="24"/>
                <w:lang w:bidi="ar"/>
              </w:rPr>
            </w:pPr>
          </w:p>
        </w:tc>
        <w:tc>
          <w:tcPr>
            <w:tcW w:w="2158" w:type="dxa"/>
          </w:tcPr>
          <w:p>
            <w:pPr>
              <w:widowControl/>
              <w:jc w:val="left"/>
              <w:rPr>
                <w:rFonts w:ascii="方正仿宋_GBK" w:hAnsi="方正仿宋_GBK"/>
                <w:color w:val="000000"/>
                <w:kern w:val="0"/>
                <w:sz w:val="24"/>
                <w:szCs w:val="24"/>
                <w:lang w:bidi="ar"/>
              </w:rPr>
            </w:pPr>
          </w:p>
        </w:tc>
        <w:tc>
          <w:tcPr>
            <w:tcW w:w="1604" w:type="dxa"/>
          </w:tcPr>
          <w:p>
            <w:pPr>
              <w:widowControl/>
              <w:jc w:val="left"/>
              <w:rPr>
                <w:rFonts w:ascii="方正仿宋_GBK" w:hAnsi="方正仿宋_GBK"/>
                <w:color w:val="000000"/>
                <w:kern w:val="0"/>
                <w:sz w:val="24"/>
                <w:szCs w:val="24"/>
                <w:lang w:bidi="ar"/>
              </w:rPr>
            </w:pPr>
          </w:p>
        </w:tc>
        <w:tc>
          <w:tcPr>
            <w:tcW w:w="1038" w:type="dxa"/>
          </w:tcPr>
          <w:p>
            <w:pPr>
              <w:widowControl/>
              <w:jc w:val="left"/>
              <w:rPr>
                <w:rFonts w:ascii="方正仿宋_GBK" w:hAnsi="方正仿宋_GBK"/>
                <w:color w:val="000000"/>
                <w:kern w:val="0"/>
                <w:sz w:val="24"/>
                <w:szCs w:val="24"/>
                <w:lang w:bidi="ar"/>
              </w:rPr>
            </w:pPr>
          </w:p>
        </w:tc>
      </w:tr>
    </w:tbl>
    <w:p>
      <w:pPr>
        <w:pStyle w:val="2"/>
        <w:rPr>
          <w:lang w:bidi="ar"/>
        </w:rPr>
      </w:pPr>
    </w:p>
    <w:p>
      <w:pPr>
        <w:widowControl/>
        <w:jc w:val="left"/>
      </w:pPr>
      <w:r>
        <w:rPr>
          <w:rFonts w:hint="eastAsia" w:ascii="方正黑体_GBK" w:hAnsi="方正黑体_GBK" w:eastAsia="方正黑体_GBK" w:cs="方正黑体_GBK"/>
          <w:color w:val="000000"/>
          <w:kern w:val="0"/>
          <w:sz w:val="24"/>
          <w:lang w:bidi="ar"/>
        </w:rPr>
        <w:t xml:space="preserve"> </w:t>
      </w:r>
      <w:r>
        <w:rPr>
          <w:rFonts w:hint="eastAsia" w:ascii="方正仿宋_GBK" w:hAnsi="方正仿宋_GBK"/>
          <w:color w:val="000000"/>
          <w:kern w:val="0"/>
          <w:sz w:val="24"/>
          <w:lang w:bidi="ar"/>
        </w:rPr>
        <w:t xml:space="preserve">填报人：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联系方式： </w:t>
      </w:r>
    </w:p>
    <w:p>
      <w:pPr>
        <w:widowControl/>
        <w:jc w:val="left"/>
      </w:pPr>
      <w:r>
        <w:rPr>
          <w:rFonts w:hint="eastAsia" w:ascii="方正仿宋_GBK" w:hAnsi="方正仿宋_GBK"/>
          <w:color w:val="000000"/>
          <w:kern w:val="0"/>
          <w:sz w:val="24"/>
          <w:lang w:bidi="ar"/>
        </w:rPr>
        <w:t>备注：</w:t>
      </w:r>
      <w:r>
        <w:rPr>
          <w:rFonts w:eastAsia="宋体" w:cs="Times New Roman"/>
          <w:color w:val="000000"/>
          <w:kern w:val="0"/>
          <w:sz w:val="24"/>
          <w:lang w:bidi="ar"/>
        </w:rPr>
        <w:t>1.</w:t>
      </w:r>
      <w:r>
        <w:rPr>
          <w:rFonts w:hint="eastAsia" w:ascii="方正仿宋_GBK" w:hAnsi="方正仿宋_GBK"/>
          <w:color w:val="000000"/>
          <w:kern w:val="0"/>
          <w:sz w:val="24"/>
          <w:lang w:bidi="ar"/>
        </w:rPr>
        <w:t>类型</w:t>
      </w:r>
      <w:r>
        <w:rPr>
          <w:rFonts w:eastAsia="宋体" w:cs="Times New Roman"/>
          <w:color w:val="000000"/>
          <w:kern w:val="0"/>
          <w:sz w:val="24"/>
          <w:lang w:bidi="ar"/>
        </w:rPr>
        <w:t>:</w:t>
      </w:r>
      <w:r>
        <w:rPr>
          <w:rFonts w:hint="eastAsia" w:ascii="方正仿宋_GBK" w:hAnsi="方正仿宋_GBK"/>
          <w:color w:val="000000"/>
          <w:kern w:val="0"/>
          <w:sz w:val="24"/>
          <w:lang w:bidi="ar"/>
        </w:rPr>
        <w:t xml:space="preserve">非法加油点、非法流动加油车、非法制油窝点等 </w:t>
      </w:r>
      <w:r>
        <w:rPr>
          <w:rFonts w:eastAsia="宋体" w:cs="Times New Roman"/>
          <w:color w:val="000000"/>
          <w:kern w:val="0"/>
          <w:sz w:val="24"/>
          <w:lang w:bidi="ar"/>
        </w:rPr>
        <w:t>2.</w:t>
      </w:r>
      <w:r>
        <w:rPr>
          <w:rFonts w:hint="eastAsia" w:ascii="方正仿宋_GBK" w:hAnsi="方正仿宋_GBK"/>
          <w:color w:val="000000"/>
          <w:kern w:val="0"/>
          <w:sz w:val="24"/>
          <w:lang w:bidi="ar"/>
        </w:rPr>
        <w:t>非法经营品种</w:t>
      </w:r>
      <w:r>
        <w:rPr>
          <w:rFonts w:eastAsia="宋体" w:cs="Times New Roman"/>
          <w:color w:val="000000"/>
          <w:kern w:val="0"/>
          <w:sz w:val="24"/>
          <w:lang w:bidi="ar"/>
        </w:rPr>
        <w:t>:</w:t>
      </w:r>
      <w:r>
        <w:rPr>
          <w:rFonts w:hint="eastAsia" w:ascii="方正仿宋_GBK" w:hAnsi="方正仿宋_GBK"/>
          <w:color w:val="000000"/>
          <w:kern w:val="0"/>
          <w:sz w:val="24"/>
          <w:lang w:bidi="ar"/>
        </w:rPr>
        <w:t>汽油、柴油等。</w:t>
      </w:r>
    </w:p>
    <w:p>
      <w:pPr>
        <w:widowControl/>
        <w:jc w:val="left"/>
      </w:pPr>
      <w:r>
        <w:rPr>
          <w:rFonts w:ascii="方正黑体_GBK" w:hAnsi="方正黑体_GBK" w:eastAsia="方正黑体_GBK" w:cs="方正黑体_GBK"/>
          <w:color w:val="000000"/>
          <w:kern w:val="0"/>
          <w:sz w:val="31"/>
          <w:szCs w:val="31"/>
          <w:lang w:bidi="ar"/>
        </w:rPr>
        <w:t xml:space="preserve">附件 </w:t>
      </w:r>
      <w:r>
        <w:rPr>
          <w:rFonts w:eastAsia="宋体" w:cs="Times New Roman"/>
          <w:color w:val="000000"/>
          <w:kern w:val="0"/>
          <w:sz w:val="31"/>
          <w:szCs w:val="31"/>
          <w:lang w:bidi="ar"/>
        </w:rPr>
        <w:t xml:space="preserve">2 </w:t>
      </w:r>
    </w:p>
    <w:p>
      <w:pPr>
        <w:widowControl/>
        <w:jc w:val="center"/>
        <w:rPr>
          <w:rFonts w:ascii="方正小标宋_GBK" w:hAnsi="方正小标宋_GBK" w:eastAsia="方正小标宋_GBK" w:cs="方正小标宋_GBK"/>
          <w:color w:val="000000"/>
          <w:kern w:val="0"/>
          <w:sz w:val="43"/>
          <w:szCs w:val="43"/>
          <w:lang w:bidi="ar"/>
        </w:rPr>
      </w:pPr>
      <w:r>
        <w:rPr>
          <w:rFonts w:ascii="方正小标宋_GBK" w:hAnsi="方正小标宋_GBK" w:eastAsia="方正小标宋_GBK" w:cs="方正小标宋_GBK"/>
          <w:color w:val="000000"/>
          <w:kern w:val="0"/>
          <w:sz w:val="43"/>
          <w:szCs w:val="43"/>
          <w:lang w:bidi="ar"/>
        </w:rPr>
        <w:t>打击整治成品油非法经营专项行动情况月报表</w:t>
      </w:r>
    </w:p>
    <w:p>
      <w:pPr>
        <w:widowControl/>
        <w:jc w:val="left"/>
        <w:rPr>
          <w:rFonts w:ascii="方正仿宋_GBK" w:hAnsi="方正仿宋_GBK"/>
          <w:color w:val="000000"/>
          <w:kern w:val="0"/>
          <w:sz w:val="24"/>
          <w:lang w:bidi="ar"/>
        </w:rPr>
      </w:pPr>
      <w:r>
        <w:rPr>
          <w:rFonts w:ascii="方正仿宋_GBK" w:hAnsi="方正仿宋_GBK"/>
          <w:color w:val="000000"/>
          <w:kern w:val="0"/>
          <w:sz w:val="24"/>
          <w:lang w:bidi="ar"/>
        </w:rPr>
        <w:t xml:space="preserve">填报单位：   </w:t>
      </w:r>
      <w:r>
        <w:rPr>
          <w:rFonts w:hint="eastAsia" w:ascii="方正仿宋_GBK" w:hAnsi="方正仿宋_GBK"/>
          <w:color w:val="000000"/>
          <w:kern w:val="0"/>
          <w:sz w:val="24"/>
          <w:lang w:bidi="ar"/>
        </w:rPr>
        <w:t xml:space="preserve">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时间：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  年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 xml:space="preserve">月   </w:t>
      </w:r>
      <w:r>
        <w:rPr>
          <w:rFonts w:ascii="方正仿宋_GBK" w:hAnsi="方正仿宋_GBK"/>
          <w:color w:val="000000"/>
          <w:kern w:val="0"/>
          <w:sz w:val="24"/>
          <w:lang w:bidi="ar"/>
        </w:rPr>
        <w:t xml:space="preserve">      </w:t>
      </w:r>
      <w:r>
        <w:rPr>
          <w:rFonts w:hint="eastAsia" w:ascii="方正仿宋_GBK" w:hAnsi="方正仿宋_GBK"/>
          <w:color w:val="000000"/>
          <w:kern w:val="0"/>
          <w:sz w:val="24"/>
          <w:lang w:bidi="ar"/>
        </w:rPr>
        <w:t>日</w:t>
      </w:r>
    </w:p>
    <w:tbl>
      <w:tblPr>
        <w:tblStyle w:val="10"/>
        <w:tblpPr w:leftFromText="180" w:rightFromText="180" w:vertAnchor="text" w:horzAnchor="page" w:tblpXSpec="center" w:tblpY="41"/>
        <w:tblOverlap w:val="never"/>
        <w:tblW w:w="13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81"/>
        <w:gridCol w:w="1430"/>
        <w:gridCol w:w="1179"/>
        <w:gridCol w:w="1179"/>
        <w:gridCol w:w="1116"/>
        <w:gridCol w:w="1165"/>
        <w:gridCol w:w="1108"/>
        <w:gridCol w:w="1535"/>
        <w:gridCol w:w="1511"/>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vAlign w:val="center"/>
          </w:tcPr>
          <w:p>
            <w:pPr>
              <w:widowControl/>
              <w:spacing w:line="340" w:lineRule="exact"/>
              <w:jc w:val="center"/>
              <w:rPr>
                <w:rFonts w:ascii="方正仿宋_GBK" w:hAnsi="方正仿宋_GBK"/>
                <w:color w:val="000000"/>
                <w:kern w:val="0"/>
                <w:sz w:val="24"/>
                <w:szCs w:val="24"/>
                <w:lang w:bidi="ar"/>
              </w:rPr>
            </w:pPr>
            <w:r>
              <w:rPr>
                <w:rFonts w:ascii="方正黑体_GBK" w:hAnsi="方正黑体_GBK" w:eastAsia="方正黑体_GBK" w:cs="方正黑体_GBK"/>
                <w:color w:val="000000"/>
                <w:kern w:val="0"/>
                <w:sz w:val="24"/>
                <w:szCs w:val="24"/>
                <w:lang w:bidi="ar"/>
              </w:rPr>
              <w:t>时间</w:t>
            </w:r>
          </w:p>
        </w:tc>
        <w:tc>
          <w:tcPr>
            <w:tcW w:w="1281" w:type="dxa"/>
            <w:vAlign w:val="center"/>
          </w:tcPr>
          <w:p>
            <w:pPr>
              <w:widowControl/>
              <w:spacing w:line="340" w:lineRule="exact"/>
              <w:jc w:val="center"/>
              <w:rPr>
                <w:rFonts w:ascii="方正黑体_GBK" w:hAnsi="方正黑体_GBK" w:eastAsia="方正黑体_GBK" w:cs="方正黑体_GBK"/>
                <w:color w:val="000000"/>
                <w:kern w:val="0"/>
                <w:sz w:val="24"/>
                <w:szCs w:val="24"/>
                <w:lang w:bidi="ar"/>
              </w:rPr>
            </w:pPr>
            <w:r>
              <w:rPr>
                <w:rFonts w:ascii="方正黑体_GBK" w:hAnsi="方正黑体_GBK" w:eastAsia="方正黑体_GBK" w:cs="方正黑体_GBK"/>
                <w:color w:val="000000"/>
                <w:kern w:val="0"/>
                <w:sz w:val="24"/>
                <w:szCs w:val="24"/>
                <w:lang w:bidi="ar"/>
              </w:rPr>
              <w:t>出动</w:t>
            </w:r>
          </w:p>
          <w:p>
            <w:pPr>
              <w:widowControl/>
              <w:spacing w:line="340" w:lineRule="exact"/>
              <w:jc w:val="center"/>
              <w:rPr>
                <w:rFonts w:ascii="方正仿宋_GBK" w:hAnsi="方正仿宋_GBK"/>
                <w:color w:val="000000"/>
                <w:kern w:val="0"/>
                <w:sz w:val="24"/>
                <w:szCs w:val="24"/>
                <w:lang w:bidi="ar"/>
              </w:rPr>
            </w:pPr>
            <w:r>
              <w:rPr>
                <w:rFonts w:ascii="方正黑体_GBK" w:hAnsi="方正黑体_GBK" w:eastAsia="方正黑体_GBK" w:cs="方正黑体_GBK"/>
                <w:color w:val="000000"/>
                <w:kern w:val="0"/>
                <w:sz w:val="24"/>
                <w:szCs w:val="24"/>
                <w:lang w:bidi="ar"/>
              </w:rPr>
              <w:t>检查</w:t>
            </w:r>
            <w:r>
              <w:rPr>
                <w:rFonts w:hint="eastAsia" w:ascii="方正黑体_GBK" w:hAnsi="方正黑体_GBK" w:eastAsia="方正黑体_GBK" w:cs="方正黑体_GBK"/>
                <w:color w:val="000000"/>
                <w:kern w:val="0"/>
                <w:sz w:val="24"/>
                <w:szCs w:val="24"/>
                <w:lang w:bidi="ar"/>
              </w:rPr>
              <w:t>人员（人）</w:t>
            </w:r>
          </w:p>
        </w:tc>
        <w:tc>
          <w:tcPr>
            <w:tcW w:w="1430" w:type="dxa"/>
            <w:vAlign w:val="center"/>
          </w:tcPr>
          <w:p>
            <w:pPr>
              <w:widowControl/>
              <w:spacing w:line="340" w:lineRule="exact"/>
              <w:jc w:val="center"/>
              <w:rPr>
                <w:rFonts w:ascii="方正黑体_GBK" w:hAnsi="方正黑体_GBK" w:eastAsia="方正黑体_GBK" w:cs="方正黑体_GBK"/>
                <w:color w:val="000000"/>
                <w:kern w:val="0"/>
                <w:sz w:val="24"/>
                <w:szCs w:val="24"/>
                <w:lang w:bidi="ar"/>
              </w:rPr>
            </w:pPr>
            <w:r>
              <w:rPr>
                <w:rFonts w:ascii="方正黑体_GBK" w:hAnsi="方正黑体_GBK" w:eastAsia="方正黑体_GBK" w:cs="方正黑体_GBK"/>
                <w:color w:val="000000"/>
                <w:kern w:val="0"/>
                <w:sz w:val="24"/>
                <w:szCs w:val="24"/>
                <w:lang w:bidi="ar"/>
              </w:rPr>
              <w:t>查处非法</w:t>
            </w:r>
            <w:r>
              <w:rPr>
                <w:rFonts w:hint="eastAsia" w:ascii="方正黑体_GBK" w:hAnsi="方正黑体_GBK" w:eastAsia="方正黑体_GBK" w:cs="方正黑体_GBK"/>
                <w:color w:val="000000"/>
                <w:kern w:val="0"/>
                <w:sz w:val="24"/>
                <w:szCs w:val="24"/>
                <w:lang w:bidi="ar"/>
              </w:rPr>
              <w:t>加油（点）</w:t>
            </w:r>
          </w:p>
          <w:p>
            <w:pPr>
              <w:widowControl/>
              <w:spacing w:line="340" w:lineRule="exact"/>
              <w:jc w:val="center"/>
              <w:rPr>
                <w:rFonts w:ascii="方正仿宋_GBK" w:hAnsi="方正仿宋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（个）</w:t>
            </w:r>
          </w:p>
        </w:tc>
        <w:tc>
          <w:tcPr>
            <w:tcW w:w="1179" w:type="dxa"/>
            <w:vAlign w:val="center"/>
          </w:tcPr>
          <w:p>
            <w:pPr>
              <w:widowControl/>
              <w:spacing w:line="340" w:lineRule="exact"/>
              <w:jc w:val="center"/>
              <w:rPr>
                <w:rFonts w:ascii="方正黑体_GBK" w:hAnsi="方正黑体_GBK" w:eastAsia="方正黑体_GBK" w:cs="方正黑体_GBK"/>
                <w:color w:val="000000"/>
                <w:kern w:val="0"/>
                <w:sz w:val="24"/>
                <w:szCs w:val="24"/>
                <w:lang w:bidi="ar"/>
              </w:rPr>
            </w:pPr>
            <w:r>
              <w:rPr>
                <w:rFonts w:ascii="方正黑体_GBK" w:hAnsi="方正黑体_GBK" w:eastAsia="方正黑体_GBK" w:cs="方正黑体_GBK"/>
                <w:color w:val="000000"/>
                <w:kern w:val="0"/>
                <w:sz w:val="24"/>
                <w:szCs w:val="24"/>
                <w:lang w:bidi="ar"/>
              </w:rPr>
              <w:t>查扣</w:t>
            </w:r>
          </w:p>
          <w:p>
            <w:pPr>
              <w:widowControl/>
              <w:spacing w:line="340" w:lineRule="exact"/>
              <w:jc w:val="center"/>
              <w:rPr>
                <w:rFonts w:ascii="方正仿宋_GBK" w:hAnsi="方正仿宋_GBK"/>
                <w:color w:val="000000"/>
                <w:kern w:val="0"/>
                <w:sz w:val="24"/>
                <w:szCs w:val="24"/>
                <w:lang w:bidi="ar"/>
              </w:rPr>
            </w:pPr>
            <w:r>
              <w:rPr>
                <w:rFonts w:ascii="方正黑体_GBK" w:hAnsi="方正黑体_GBK" w:eastAsia="方正黑体_GBK" w:cs="方正黑体_GBK"/>
                <w:color w:val="000000"/>
                <w:kern w:val="0"/>
                <w:sz w:val="24"/>
                <w:szCs w:val="24"/>
                <w:lang w:bidi="ar"/>
              </w:rPr>
              <w:t>流</w:t>
            </w:r>
            <w:r>
              <w:rPr>
                <w:rFonts w:hint="eastAsia" w:ascii="方正黑体_GBK" w:hAnsi="方正黑体_GBK" w:eastAsia="方正黑体_GBK" w:cs="方正黑体_GBK"/>
                <w:color w:val="000000"/>
                <w:kern w:val="0"/>
                <w:sz w:val="24"/>
                <w:szCs w:val="24"/>
                <w:lang w:bidi="ar"/>
              </w:rPr>
              <w:t>动油车（辆）</w:t>
            </w:r>
          </w:p>
        </w:tc>
        <w:tc>
          <w:tcPr>
            <w:tcW w:w="1179" w:type="dxa"/>
            <w:vAlign w:val="center"/>
          </w:tcPr>
          <w:p>
            <w:pPr>
              <w:widowControl/>
              <w:spacing w:line="340" w:lineRule="exact"/>
              <w:jc w:val="center"/>
              <w:rPr>
                <w:rFonts w:asciiTheme="minorHAnsi" w:hAnsiTheme="minorHAnsi" w:eastAsiaTheme="minorEastAsia" w:cstheme="minorBidi"/>
                <w:sz w:val="21"/>
                <w:szCs w:val="24"/>
              </w:rPr>
            </w:pPr>
            <w:r>
              <w:rPr>
                <w:rFonts w:ascii="方正黑体_GBK" w:hAnsi="方正黑体_GBK" w:eastAsia="方正黑体_GBK" w:cs="方正黑体_GBK"/>
                <w:color w:val="000000"/>
                <w:kern w:val="0"/>
                <w:sz w:val="24"/>
                <w:szCs w:val="24"/>
                <w:lang w:bidi="ar"/>
              </w:rPr>
              <w:t>收缴非法</w:t>
            </w:r>
          </w:p>
          <w:p>
            <w:pPr>
              <w:widowControl/>
              <w:spacing w:line="340" w:lineRule="exact"/>
              <w:jc w:val="center"/>
              <w:rPr>
                <w:rFonts w:ascii="方正仿宋_GBK" w:hAnsi="方正仿宋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经营油品（吨）</w:t>
            </w:r>
          </w:p>
        </w:tc>
        <w:tc>
          <w:tcPr>
            <w:tcW w:w="1116" w:type="dxa"/>
            <w:vAlign w:val="center"/>
          </w:tcPr>
          <w:p>
            <w:pPr>
              <w:widowControl/>
              <w:spacing w:line="340" w:lineRule="exact"/>
              <w:jc w:val="center"/>
              <w:rPr>
                <w:rFonts w:ascii="方正黑体_GBK" w:hAnsi="方正黑体_GBK" w:eastAsia="方正黑体_GBK" w:cs="方正黑体_GBK"/>
                <w:color w:val="000000"/>
                <w:kern w:val="0"/>
                <w:sz w:val="24"/>
                <w:szCs w:val="24"/>
                <w:lang w:bidi="ar"/>
              </w:rPr>
            </w:pPr>
            <w:r>
              <w:rPr>
                <w:rFonts w:ascii="方正黑体_GBK" w:hAnsi="方正黑体_GBK" w:eastAsia="方正黑体_GBK" w:cs="方正黑体_GBK"/>
                <w:color w:val="000000"/>
                <w:kern w:val="0"/>
                <w:sz w:val="24"/>
                <w:szCs w:val="24"/>
                <w:lang w:bidi="ar"/>
              </w:rPr>
              <w:t>查处</w:t>
            </w:r>
          </w:p>
          <w:p>
            <w:pPr>
              <w:widowControl/>
              <w:spacing w:line="340" w:lineRule="exact"/>
              <w:jc w:val="center"/>
              <w:rPr>
                <w:rFonts w:ascii="方正仿宋_GBK" w:hAnsi="方正仿宋_GBK"/>
                <w:color w:val="000000"/>
                <w:kern w:val="0"/>
                <w:sz w:val="24"/>
                <w:szCs w:val="24"/>
                <w:lang w:bidi="ar"/>
              </w:rPr>
            </w:pPr>
            <w:r>
              <w:rPr>
                <w:rFonts w:ascii="方正黑体_GBK" w:hAnsi="方正黑体_GBK" w:eastAsia="方正黑体_GBK" w:cs="方正黑体_GBK"/>
                <w:color w:val="000000"/>
                <w:kern w:val="0"/>
                <w:sz w:val="24"/>
                <w:szCs w:val="24"/>
                <w:lang w:bidi="ar"/>
              </w:rPr>
              <w:t>加油</w:t>
            </w:r>
            <w:r>
              <w:rPr>
                <w:rFonts w:hint="eastAsia" w:ascii="方正黑体_GBK" w:hAnsi="方正黑体_GBK" w:eastAsia="方正黑体_GBK" w:cs="方正黑体_GBK"/>
                <w:color w:val="000000"/>
                <w:kern w:val="0"/>
                <w:sz w:val="24"/>
                <w:szCs w:val="24"/>
                <w:lang w:bidi="ar"/>
              </w:rPr>
              <w:t>机作弊 （起）</w:t>
            </w:r>
          </w:p>
        </w:tc>
        <w:tc>
          <w:tcPr>
            <w:tcW w:w="1165" w:type="dxa"/>
            <w:vAlign w:val="center"/>
          </w:tcPr>
          <w:p>
            <w:pPr>
              <w:widowControl/>
              <w:spacing w:line="340" w:lineRule="exact"/>
              <w:jc w:val="center"/>
              <w:rPr>
                <w:rFonts w:asciiTheme="minorHAnsi" w:hAnsiTheme="minorHAnsi" w:eastAsiaTheme="minorEastAsia" w:cstheme="minorBidi"/>
                <w:sz w:val="21"/>
                <w:szCs w:val="24"/>
              </w:rPr>
            </w:pPr>
            <w:r>
              <w:rPr>
                <w:rFonts w:ascii="方正黑体_GBK" w:hAnsi="方正黑体_GBK" w:eastAsia="方正黑体_GBK" w:cs="方正黑体_GBK"/>
                <w:color w:val="000000"/>
                <w:kern w:val="0"/>
                <w:sz w:val="24"/>
                <w:szCs w:val="24"/>
                <w:lang w:bidi="ar"/>
              </w:rPr>
              <w:t>罚 款</w:t>
            </w:r>
          </w:p>
          <w:p>
            <w:pPr>
              <w:widowControl/>
              <w:spacing w:line="340" w:lineRule="exact"/>
              <w:jc w:val="center"/>
              <w:rPr>
                <w:rFonts w:ascii="方正仿宋_GBK" w:hAnsi="方正仿宋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（万元）</w:t>
            </w:r>
          </w:p>
        </w:tc>
        <w:tc>
          <w:tcPr>
            <w:tcW w:w="1108" w:type="dxa"/>
            <w:vAlign w:val="center"/>
          </w:tcPr>
          <w:p>
            <w:pPr>
              <w:widowControl/>
              <w:spacing w:line="340" w:lineRule="exact"/>
              <w:jc w:val="center"/>
              <w:rPr>
                <w:rFonts w:ascii="方正黑体_GBK" w:hAnsi="方正黑体_GBK" w:eastAsia="方正黑体_GBK" w:cs="方正黑体_GBK"/>
                <w:color w:val="000000"/>
                <w:kern w:val="0"/>
                <w:sz w:val="24"/>
                <w:szCs w:val="24"/>
                <w:lang w:bidi="ar"/>
              </w:rPr>
            </w:pPr>
            <w:r>
              <w:rPr>
                <w:rFonts w:ascii="方正黑体_GBK" w:hAnsi="方正黑体_GBK" w:eastAsia="方正黑体_GBK" w:cs="方正黑体_GBK"/>
                <w:color w:val="000000"/>
                <w:kern w:val="0"/>
                <w:sz w:val="24"/>
                <w:szCs w:val="24"/>
                <w:lang w:bidi="ar"/>
              </w:rPr>
              <w:t>补缴</w:t>
            </w:r>
          </w:p>
          <w:p>
            <w:pPr>
              <w:widowControl/>
              <w:spacing w:line="340" w:lineRule="exact"/>
              <w:jc w:val="center"/>
              <w:rPr>
                <w:rFonts w:asciiTheme="minorHAnsi" w:hAnsiTheme="minorHAnsi" w:eastAsiaTheme="minorEastAsia" w:cstheme="minorBidi"/>
                <w:sz w:val="21"/>
                <w:szCs w:val="24"/>
              </w:rPr>
            </w:pPr>
            <w:r>
              <w:rPr>
                <w:rFonts w:ascii="方正黑体_GBK" w:hAnsi="方正黑体_GBK" w:eastAsia="方正黑体_GBK" w:cs="方正黑体_GBK"/>
                <w:color w:val="000000"/>
                <w:kern w:val="0"/>
                <w:sz w:val="24"/>
                <w:szCs w:val="24"/>
                <w:lang w:bidi="ar"/>
              </w:rPr>
              <w:t>税款</w:t>
            </w:r>
          </w:p>
          <w:p>
            <w:pPr>
              <w:widowControl/>
              <w:spacing w:line="340" w:lineRule="exact"/>
              <w:jc w:val="center"/>
              <w:rPr>
                <w:rFonts w:ascii="方正仿宋_GBK" w:hAnsi="方正仿宋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（万元）</w:t>
            </w:r>
          </w:p>
        </w:tc>
        <w:tc>
          <w:tcPr>
            <w:tcW w:w="1535" w:type="dxa"/>
            <w:vAlign w:val="center"/>
          </w:tcPr>
          <w:p>
            <w:pPr>
              <w:widowControl/>
              <w:spacing w:line="340" w:lineRule="exact"/>
              <w:jc w:val="center"/>
              <w:rPr>
                <w:rFonts w:asciiTheme="minorHAnsi" w:hAnsiTheme="minorHAnsi" w:eastAsiaTheme="minorEastAsia" w:cstheme="minorBidi"/>
                <w:sz w:val="21"/>
                <w:szCs w:val="24"/>
              </w:rPr>
            </w:pPr>
            <w:r>
              <w:rPr>
                <w:rFonts w:ascii="方正黑体_GBK" w:hAnsi="方正黑体_GBK" w:eastAsia="方正黑体_GBK" w:cs="方正黑体_GBK"/>
                <w:color w:val="000000"/>
                <w:kern w:val="0"/>
                <w:sz w:val="24"/>
                <w:szCs w:val="24"/>
                <w:lang w:bidi="ar"/>
              </w:rPr>
              <w:t>抓捕</w:t>
            </w:r>
          </w:p>
          <w:p>
            <w:pPr>
              <w:widowControl/>
              <w:spacing w:line="340" w:lineRule="exact"/>
              <w:jc w:val="center"/>
              <w:rPr>
                <w:rFonts w:ascii="方正仿宋_GBK" w:hAnsi="方正仿宋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犯罪嫌疑人（人）</w:t>
            </w:r>
          </w:p>
        </w:tc>
        <w:tc>
          <w:tcPr>
            <w:tcW w:w="1511" w:type="dxa"/>
            <w:vAlign w:val="center"/>
          </w:tcPr>
          <w:p>
            <w:pPr>
              <w:widowControl/>
              <w:spacing w:line="340" w:lineRule="exact"/>
              <w:jc w:val="center"/>
              <w:rPr>
                <w:rFonts w:ascii="方正黑体_GBK" w:hAnsi="方正黑体_GBK" w:eastAsia="方正黑体_GBK" w:cs="方正黑体_GBK"/>
                <w:color w:val="000000"/>
                <w:kern w:val="0"/>
                <w:sz w:val="24"/>
                <w:szCs w:val="24"/>
                <w:lang w:bidi="ar"/>
              </w:rPr>
            </w:pPr>
            <w:r>
              <w:rPr>
                <w:rFonts w:ascii="方正黑体_GBK" w:hAnsi="方正黑体_GBK" w:eastAsia="方正黑体_GBK" w:cs="方正黑体_GBK"/>
                <w:color w:val="000000"/>
                <w:kern w:val="0"/>
                <w:sz w:val="24"/>
                <w:szCs w:val="24"/>
                <w:lang w:bidi="ar"/>
              </w:rPr>
              <w:t>案件移交</w:t>
            </w:r>
          </w:p>
          <w:p>
            <w:pPr>
              <w:widowControl/>
              <w:spacing w:line="340" w:lineRule="exact"/>
              <w:jc w:val="center"/>
              <w:rPr>
                <w:rFonts w:ascii="方正黑体_GBK" w:hAnsi="方正黑体_GBK" w:eastAsia="方正黑体_GBK" w:cs="方正黑体_GBK"/>
                <w:color w:val="000000"/>
                <w:kern w:val="0"/>
                <w:sz w:val="24"/>
                <w:szCs w:val="24"/>
                <w:lang w:bidi="ar"/>
              </w:rPr>
            </w:pPr>
            <w:r>
              <w:rPr>
                <w:rFonts w:ascii="方正黑体_GBK" w:hAnsi="方正黑体_GBK" w:eastAsia="方正黑体_GBK" w:cs="方正黑体_GBK"/>
                <w:color w:val="000000"/>
                <w:kern w:val="0"/>
                <w:sz w:val="24"/>
                <w:szCs w:val="24"/>
                <w:lang w:bidi="ar"/>
              </w:rPr>
              <w:t>司</w:t>
            </w:r>
            <w:r>
              <w:rPr>
                <w:rFonts w:hint="eastAsia" w:ascii="方正黑体_GBK" w:hAnsi="方正黑体_GBK" w:eastAsia="方正黑体_GBK" w:cs="方正黑体_GBK"/>
                <w:color w:val="000000"/>
                <w:kern w:val="0"/>
                <w:sz w:val="24"/>
                <w:szCs w:val="24"/>
                <w:lang w:bidi="ar"/>
              </w:rPr>
              <w:t>法、纪检监察机关</w:t>
            </w:r>
          </w:p>
          <w:p>
            <w:pPr>
              <w:widowControl/>
              <w:spacing w:line="340" w:lineRule="exact"/>
              <w:jc w:val="center"/>
              <w:rPr>
                <w:rFonts w:ascii="方正仿宋_GBK" w:hAnsi="方正仿宋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（件）</w:t>
            </w:r>
          </w:p>
        </w:tc>
        <w:tc>
          <w:tcPr>
            <w:tcW w:w="889" w:type="dxa"/>
            <w:vAlign w:val="center"/>
          </w:tcPr>
          <w:p>
            <w:pPr>
              <w:widowControl/>
              <w:spacing w:line="340" w:lineRule="exact"/>
              <w:jc w:val="center"/>
              <w:rPr>
                <w:rFonts w:ascii="方正仿宋_GBK" w:hAnsi="方正仿宋_GBK"/>
                <w:color w:val="000000"/>
                <w:kern w:val="0"/>
                <w:sz w:val="24"/>
                <w:szCs w:val="24"/>
                <w:lang w:bidi="ar"/>
              </w:rPr>
            </w:pPr>
            <w:r>
              <w:rPr>
                <w:rFonts w:ascii="方正黑体_GBK" w:hAnsi="方正黑体_GBK" w:eastAsia="方正黑体_GBK" w:cs="方正黑体_GBK"/>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vAlign w:val="center"/>
          </w:tcPr>
          <w:p>
            <w:pPr>
              <w:widowControl/>
              <w:jc w:val="center"/>
              <w:rPr>
                <w:rFonts w:ascii="方正仿宋_GBK" w:hAnsi="方正仿宋_GBK"/>
                <w:color w:val="000000"/>
                <w:kern w:val="0"/>
                <w:sz w:val="24"/>
                <w:szCs w:val="24"/>
                <w:lang w:bidi="ar"/>
              </w:rPr>
            </w:pPr>
            <w:r>
              <w:rPr>
                <w:rFonts w:ascii="方正仿宋_GBK" w:hAnsi="方正仿宋_GBK"/>
                <w:color w:val="000000"/>
                <w:kern w:val="0"/>
                <w:sz w:val="24"/>
                <w:szCs w:val="24"/>
                <w:lang w:bidi="ar"/>
              </w:rPr>
              <w:t>8</w:t>
            </w:r>
            <w:r>
              <w:rPr>
                <w:rFonts w:hint="eastAsia" w:ascii="方正仿宋_GBK" w:hAnsi="方正仿宋_GBK"/>
                <w:color w:val="000000"/>
                <w:kern w:val="0"/>
                <w:sz w:val="24"/>
                <w:szCs w:val="24"/>
                <w:lang w:bidi="ar"/>
              </w:rPr>
              <w:t>月</w:t>
            </w:r>
          </w:p>
        </w:tc>
        <w:tc>
          <w:tcPr>
            <w:tcW w:w="1281" w:type="dxa"/>
          </w:tcPr>
          <w:p>
            <w:pPr>
              <w:widowControl/>
              <w:rPr>
                <w:rFonts w:ascii="方正仿宋_GBK" w:hAnsi="方正仿宋_GBK"/>
                <w:color w:val="000000"/>
                <w:kern w:val="0"/>
                <w:sz w:val="24"/>
                <w:szCs w:val="24"/>
                <w:lang w:bidi="ar"/>
              </w:rPr>
            </w:pPr>
          </w:p>
        </w:tc>
        <w:tc>
          <w:tcPr>
            <w:tcW w:w="1430"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16" w:type="dxa"/>
          </w:tcPr>
          <w:p>
            <w:pPr>
              <w:widowControl/>
              <w:rPr>
                <w:rFonts w:ascii="方正仿宋_GBK" w:hAnsi="方正仿宋_GBK"/>
                <w:color w:val="000000"/>
                <w:kern w:val="0"/>
                <w:sz w:val="24"/>
                <w:szCs w:val="24"/>
                <w:lang w:bidi="ar"/>
              </w:rPr>
            </w:pPr>
          </w:p>
        </w:tc>
        <w:tc>
          <w:tcPr>
            <w:tcW w:w="1165" w:type="dxa"/>
          </w:tcPr>
          <w:p>
            <w:pPr>
              <w:widowControl/>
              <w:rPr>
                <w:rFonts w:ascii="方正仿宋_GBK" w:hAnsi="方正仿宋_GBK"/>
                <w:color w:val="000000"/>
                <w:kern w:val="0"/>
                <w:sz w:val="24"/>
                <w:szCs w:val="24"/>
                <w:lang w:bidi="ar"/>
              </w:rPr>
            </w:pPr>
          </w:p>
        </w:tc>
        <w:tc>
          <w:tcPr>
            <w:tcW w:w="1108" w:type="dxa"/>
          </w:tcPr>
          <w:p>
            <w:pPr>
              <w:widowControl/>
              <w:rPr>
                <w:rFonts w:ascii="方正仿宋_GBK" w:hAnsi="方正仿宋_GBK"/>
                <w:color w:val="000000"/>
                <w:kern w:val="0"/>
                <w:sz w:val="24"/>
                <w:szCs w:val="24"/>
                <w:lang w:bidi="ar"/>
              </w:rPr>
            </w:pPr>
          </w:p>
        </w:tc>
        <w:tc>
          <w:tcPr>
            <w:tcW w:w="1535" w:type="dxa"/>
          </w:tcPr>
          <w:p>
            <w:pPr>
              <w:widowControl/>
              <w:rPr>
                <w:rFonts w:ascii="方正仿宋_GBK" w:hAnsi="方正仿宋_GBK"/>
                <w:color w:val="000000"/>
                <w:kern w:val="0"/>
                <w:sz w:val="24"/>
                <w:szCs w:val="24"/>
                <w:lang w:bidi="ar"/>
              </w:rPr>
            </w:pPr>
          </w:p>
        </w:tc>
        <w:tc>
          <w:tcPr>
            <w:tcW w:w="1511" w:type="dxa"/>
          </w:tcPr>
          <w:p>
            <w:pPr>
              <w:widowControl/>
              <w:rPr>
                <w:rFonts w:ascii="方正仿宋_GBK" w:hAnsi="方正仿宋_GBK"/>
                <w:color w:val="000000"/>
                <w:kern w:val="0"/>
                <w:sz w:val="24"/>
                <w:szCs w:val="24"/>
                <w:lang w:bidi="ar"/>
              </w:rPr>
            </w:pPr>
          </w:p>
        </w:tc>
        <w:tc>
          <w:tcPr>
            <w:tcW w:w="889" w:type="dxa"/>
          </w:tcPr>
          <w:p>
            <w:pPr>
              <w:widowControl/>
              <w:rPr>
                <w:rFonts w:ascii="方正仿宋_GBK" w:hAnsi="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vAlign w:val="center"/>
          </w:tcPr>
          <w:p>
            <w:pPr>
              <w:widowControl/>
              <w:jc w:val="center"/>
              <w:rPr>
                <w:rFonts w:ascii="方正仿宋_GBK" w:hAnsi="方正仿宋_GBK"/>
                <w:color w:val="000000"/>
                <w:kern w:val="0"/>
                <w:sz w:val="24"/>
                <w:szCs w:val="24"/>
                <w:lang w:bidi="ar"/>
              </w:rPr>
            </w:pPr>
            <w:r>
              <w:rPr>
                <w:rFonts w:ascii="方正仿宋_GBK" w:hAnsi="方正仿宋_GBK"/>
                <w:color w:val="000000"/>
                <w:kern w:val="0"/>
                <w:sz w:val="24"/>
                <w:szCs w:val="24"/>
                <w:lang w:bidi="ar"/>
              </w:rPr>
              <w:t>9</w:t>
            </w:r>
            <w:r>
              <w:rPr>
                <w:rFonts w:hint="eastAsia" w:ascii="方正仿宋_GBK" w:hAnsi="方正仿宋_GBK"/>
                <w:color w:val="000000"/>
                <w:kern w:val="0"/>
                <w:sz w:val="24"/>
                <w:szCs w:val="24"/>
                <w:lang w:bidi="ar"/>
              </w:rPr>
              <w:t>月</w:t>
            </w:r>
          </w:p>
        </w:tc>
        <w:tc>
          <w:tcPr>
            <w:tcW w:w="1281" w:type="dxa"/>
          </w:tcPr>
          <w:p>
            <w:pPr>
              <w:widowControl/>
              <w:rPr>
                <w:rFonts w:ascii="方正仿宋_GBK" w:hAnsi="方正仿宋_GBK"/>
                <w:color w:val="000000"/>
                <w:kern w:val="0"/>
                <w:sz w:val="24"/>
                <w:szCs w:val="24"/>
                <w:lang w:bidi="ar"/>
              </w:rPr>
            </w:pPr>
          </w:p>
        </w:tc>
        <w:tc>
          <w:tcPr>
            <w:tcW w:w="1430"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16" w:type="dxa"/>
          </w:tcPr>
          <w:p>
            <w:pPr>
              <w:widowControl/>
              <w:rPr>
                <w:rFonts w:ascii="方正仿宋_GBK" w:hAnsi="方正仿宋_GBK"/>
                <w:color w:val="000000"/>
                <w:kern w:val="0"/>
                <w:sz w:val="24"/>
                <w:szCs w:val="24"/>
                <w:lang w:bidi="ar"/>
              </w:rPr>
            </w:pPr>
          </w:p>
        </w:tc>
        <w:tc>
          <w:tcPr>
            <w:tcW w:w="1165" w:type="dxa"/>
          </w:tcPr>
          <w:p>
            <w:pPr>
              <w:widowControl/>
              <w:rPr>
                <w:rFonts w:ascii="方正仿宋_GBK" w:hAnsi="方正仿宋_GBK"/>
                <w:color w:val="000000"/>
                <w:kern w:val="0"/>
                <w:sz w:val="24"/>
                <w:szCs w:val="24"/>
                <w:lang w:bidi="ar"/>
              </w:rPr>
            </w:pPr>
          </w:p>
        </w:tc>
        <w:tc>
          <w:tcPr>
            <w:tcW w:w="1108" w:type="dxa"/>
          </w:tcPr>
          <w:p>
            <w:pPr>
              <w:widowControl/>
              <w:rPr>
                <w:rFonts w:ascii="方正仿宋_GBK" w:hAnsi="方正仿宋_GBK"/>
                <w:color w:val="000000"/>
                <w:kern w:val="0"/>
                <w:sz w:val="24"/>
                <w:szCs w:val="24"/>
                <w:lang w:bidi="ar"/>
              </w:rPr>
            </w:pPr>
          </w:p>
        </w:tc>
        <w:tc>
          <w:tcPr>
            <w:tcW w:w="1535" w:type="dxa"/>
          </w:tcPr>
          <w:p>
            <w:pPr>
              <w:widowControl/>
              <w:rPr>
                <w:rFonts w:ascii="方正仿宋_GBK" w:hAnsi="方正仿宋_GBK"/>
                <w:color w:val="000000"/>
                <w:kern w:val="0"/>
                <w:sz w:val="24"/>
                <w:szCs w:val="24"/>
                <w:lang w:bidi="ar"/>
              </w:rPr>
            </w:pPr>
          </w:p>
        </w:tc>
        <w:tc>
          <w:tcPr>
            <w:tcW w:w="1511" w:type="dxa"/>
          </w:tcPr>
          <w:p>
            <w:pPr>
              <w:widowControl/>
              <w:rPr>
                <w:rFonts w:ascii="方正仿宋_GBK" w:hAnsi="方正仿宋_GBK"/>
                <w:color w:val="000000"/>
                <w:kern w:val="0"/>
                <w:sz w:val="24"/>
                <w:szCs w:val="24"/>
                <w:lang w:bidi="ar"/>
              </w:rPr>
            </w:pPr>
          </w:p>
        </w:tc>
        <w:tc>
          <w:tcPr>
            <w:tcW w:w="889" w:type="dxa"/>
          </w:tcPr>
          <w:p>
            <w:pPr>
              <w:widowControl/>
              <w:rPr>
                <w:rFonts w:ascii="方正仿宋_GBK" w:hAnsi="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vAlign w:val="center"/>
          </w:tcPr>
          <w:p>
            <w:pPr>
              <w:widowControl/>
              <w:jc w:val="center"/>
              <w:rPr>
                <w:rFonts w:ascii="方正仿宋_GBK" w:hAnsi="方正仿宋_GBK"/>
                <w:color w:val="000000"/>
                <w:kern w:val="0"/>
                <w:sz w:val="24"/>
                <w:szCs w:val="24"/>
                <w:lang w:bidi="ar"/>
              </w:rPr>
            </w:pPr>
            <w:r>
              <w:rPr>
                <w:rFonts w:ascii="方正仿宋_GBK" w:hAnsi="方正仿宋_GBK"/>
                <w:color w:val="000000"/>
                <w:kern w:val="0"/>
                <w:sz w:val="24"/>
                <w:szCs w:val="24"/>
                <w:lang w:bidi="ar"/>
              </w:rPr>
              <w:t>10</w:t>
            </w:r>
            <w:r>
              <w:rPr>
                <w:rFonts w:hint="eastAsia" w:ascii="方正仿宋_GBK" w:hAnsi="方正仿宋_GBK"/>
                <w:color w:val="000000"/>
                <w:kern w:val="0"/>
                <w:sz w:val="24"/>
                <w:szCs w:val="24"/>
                <w:lang w:bidi="ar"/>
              </w:rPr>
              <w:t>月</w:t>
            </w:r>
          </w:p>
        </w:tc>
        <w:tc>
          <w:tcPr>
            <w:tcW w:w="1281" w:type="dxa"/>
          </w:tcPr>
          <w:p>
            <w:pPr>
              <w:widowControl/>
              <w:rPr>
                <w:rFonts w:ascii="方正仿宋_GBK" w:hAnsi="方正仿宋_GBK"/>
                <w:color w:val="000000"/>
                <w:kern w:val="0"/>
                <w:sz w:val="24"/>
                <w:szCs w:val="24"/>
                <w:lang w:bidi="ar"/>
              </w:rPr>
            </w:pPr>
          </w:p>
        </w:tc>
        <w:tc>
          <w:tcPr>
            <w:tcW w:w="1430"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16" w:type="dxa"/>
          </w:tcPr>
          <w:p>
            <w:pPr>
              <w:widowControl/>
              <w:rPr>
                <w:rFonts w:ascii="方正仿宋_GBK" w:hAnsi="方正仿宋_GBK"/>
                <w:color w:val="000000"/>
                <w:kern w:val="0"/>
                <w:sz w:val="24"/>
                <w:szCs w:val="24"/>
                <w:lang w:bidi="ar"/>
              </w:rPr>
            </w:pPr>
          </w:p>
        </w:tc>
        <w:tc>
          <w:tcPr>
            <w:tcW w:w="1165" w:type="dxa"/>
          </w:tcPr>
          <w:p>
            <w:pPr>
              <w:widowControl/>
              <w:rPr>
                <w:rFonts w:ascii="方正仿宋_GBK" w:hAnsi="方正仿宋_GBK"/>
                <w:color w:val="000000"/>
                <w:kern w:val="0"/>
                <w:sz w:val="24"/>
                <w:szCs w:val="24"/>
                <w:lang w:bidi="ar"/>
              </w:rPr>
            </w:pPr>
          </w:p>
        </w:tc>
        <w:tc>
          <w:tcPr>
            <w:tcW w:w="1108" w:type="dxa"/>
          </w:tcPr>
          <w:p>
            <w:pPr>
              <w:widowControl/>
              <w:rPr>
                <w:rFonts w:ascii="方正仿宋_GBK" w:hAnsi="方正仿宋_GBK"/>
                <w:color w:val="000000"/>
                <w:kern w:val="0"/>
                <w:sz w:val="24"/>
                <w:szCs w:val="24"/>
                <w:lang w:bidi="ar"/>
              </w:rPr>
            </w:pPr>
          </w:p>
        </w:tc>
        <w:tc>
          <w:tcPr>
            <w:tcW w:w="1535" w:type="dxa"/>
          </w:tcPr>
          <w:p>
            <w:pPr>
              <w:widowControl/>
              <w:rPr>
                <w:rFonts w:ascii="方正仿宋_GBK" w:hAnsi="方正仿宋_GBK"/>
                <w:color w:val="000000"/>
                <w:kern w:val="0"/>
                <w:sz w:val="24"/>
                <w:szCs w:val="24"/>
                <w:lang w:bidi="ar"/>
              </w:rPr>
            </w:pPr>
          </w:p>
        </w:tc>
        <w:tc>
          <w:tcPr>
            <w:tcW w:w="1511" w:type="dxa"/>
          </w:tcPr>
          <w:p>
            <w:pPr>
              <w:widowControl/>
              <w:rPr>
                <w:rFonts w:ascii="方正仿宋_GBK" w:hAnsi="方正仿宋_GBK"/>
                <w:color w:val="000000"/>
                <w:kern w:val="0"/>
                <w:sz w:val="24"/>
                <w:szCs w:val="24"/>
                <w:lang w:bidi="ar"/>
              </w:rPr>
            </w:pPr>
          </w:p>
        </w:tc>
        <w:tc>
          <w:tcPr>
            <w:tcW w:w="889" w:type="dxa"/>
          </w:tcPr>
          <w:p>
            <w:pPr>
              <w:widowControl/>
              <w:rPr>
                <w:rFonts w:ascii="方正仿宋_GBK" w:hAnsi="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vAlign w:val="center"/>
          </w:tcPr>
          <w:p>
            <w:pPr>
              <w:widowControl/>
              <w:jc w:val="center"/>
              <w:rPr>
                <w:rFonts w:ascii="方正仿宋_GBK" w:hAnsi="方正仿宋_GBK"/>
                <w:color w:val="000000"/>
                <w:kern w:val="0"/>
                <w:sz w:val="24"/>
                <w:szCs w:val="24"/>
                <w:lang w:bidi="ar"/>
              </w:rPr>
            </w:pPr>
            <w:r>
              <w:rPr>
                <w:rFonts w:eastAsia="宋体" w:cs="Times New Roman"/>
                <w:color w:val="000000"/>
                <w:kern w:val="0"/>
                <w:sz w:val="28"/>
                <w:szCs w:val="28"/>
                <w:lang w:bidi="ar"/>
              </w:rPr>
              <w:t>...</w:t>
            </w:r>
          </w:p>
        </w:tc>
        <w:tc>
          <w:tcPr>
            <w:tcW w:w="1281" w:type="dxa"/>
          </w:tcPr>
          <w:p>
            <w:pPr>
              <w:widowControl/>
              <w:rPr>
                <w:rFonts w:ascii="方正仿宋_GBK" w:hAnsi="方正仿宋_GBK"/>
                <w:color w:val="000000"/>
                <w:kern w:val="0"/>
                <w:sz w:val="24"/>
                <w:szCs w:val="24"/>
                <w:lang w:bidi="ar"/>
              </w:rPr>
            </w:pPr>
          </w:p>
        </w:tc>
        <w:tc>
          <w:tcPr>
            <w:tcW w:w="1430"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16" w:type="dxa"/>
          </w:tcPr>
          <w:p>
            <w:pPr>
              <w:widowControl/>
              <w:rPr>
                <w:rFonts w:ascii="方正仿宋_GBK" w:hAnsi="方正仿宋_GBK"/>
                <w:color w:val="000000"/>
                <w:kern w:val="0"/>
                <w:sz w:val="24"/>
                <w:szCs w:val="24"/>
                <w:lang w:bidi="ar"/>
              </w:rPr>
            </w:pPr>
          </w:p>
        </w:tc>
        <w:tc>
          <w:tcPr>
            <w:tcW w:w="1165" w:type="dxa"/>
          </w:tcPr>
          <w:p>
            <w:pPr>
              <w:widowControl/>
              <w:rPr>
                <w:rFonts w:ascii="方正仿宋_GBK" w:hAnsi="方正仿宋_GBK"/>
                <w:color w:val="000000"/>
                <w:kern w:val="0"/>
                <w:sz w:val="24"/>
                <w:szCs w:val="24"/>
                <w:lang w:bidi="ar"/>
              </w:rPr>
            </w:pPr>
          </w:p>
        </w:tc>
        <w:tc>
          <w:tcPr>
            <w:tcW w:w="1108" w:type="dxa"/>
          </w:tcPr>
          <w:p>
            <w:pPr>
              <w:widowControl/>
              <w:rPr>
                <w:rFonts w:ascii="方正仿宋_GBK" w:hAnsi="方正仿宋_GBK"/>
                <w:color w:val="000000"/>
                <w:kern w:val="0"/>
                <w:sz w:val="24"/>
                <w:szCs w:val="24"/>
                <w:lang w:bidi="ar"/>
              </w:rPr>
            </w:pPr>
          </w:p>
        </w:tc>
        <w:tc>
          <w:tcPr>
            <w:tcW w:w="1535" w:type="dxa"/>
          </w:tcPr>
          <w:p>
            <w:pPr>
              <w:widowControl/>
              <w:rPr>
                <w:rFonts w:ascii="方正仿宋_GBK" w:hAnsi="方正仿宋_GBK"/>
                <w:color w:val="000000"/>
                <w:kern w:val="0"/>
                <w:sz w:val="24"/>
                <w:szCs w:val="24"/>
                <w:lang w:bidi="ar"/>
              </w:rPr>
            </w:pPr>
          </w:p>
        </w:tc>
        <w:tc>
          <w:tcPr>
            <w:tcW w:w="1511" w:type="dxa"/>
          </w:tcPr>
          <w:p>
            <w:pPr>
              <w:widowControl/>
              <w:rPr>
                <w:rFonts w:ascii="方正仿宋_GBK" w:hAnsi="方正仿宋_GBK"/>
                <w:color w:val="000000"/>
                <w:kern w:val="0"/>
                <w:sz w:val="24"/>
                <w:szCs w:val="24"/>
                <w:lang w:bidi="ar"/>
              </w:rPr>
            </w:pPr>
          </w:p>
        </w:tc>
        <w:tc>
          <w:tcPr>
            <w:tcW w:w="889" w:type="dxa"/>
          </w:tcPr>
          <w:p>
            <w:pPr>
              <w:widowControl/>
              <w:rPr>
                <w:rFonts w:ascii="方正仿宋_GBK" w:hAnsi="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vAlign w:val="center"/>
          </w:tcPr>
          <w:p>
            <w:pPr>
              <w:widowControl/>
              <w:jc w:val="center"/>
              <w:rPr>
                <w:rFonts w:eastAsia="宋体" w:cs="Times New Roman"/>
                <w:color w:val="000000"/>
                <w:kern w:val="0"/>
                <w:sz w:val="28"/>
                <w:szCs w:val="28"/>
                <w:lang w:bidi="ar"/>
              </w:rPr>
            </w:pPr>
            <w:r>
              <w:rPr>
                <w:rFonts w:hint="eastAsia" w:ascii="方正仿宋_GBK" w:hAnsi="方正仿宋_GBK"/>
                <w:color w:val="000000"/>
                <w:kern w:val="0"/>
                <w:sz w:val="24"/>
                <w:szCs w:val="24"/>
                <w:lang w:bidi="ar"/>
              </w:rPr>
              <w:t>合计</w:t>
            </w:r>
          </w:p>
        </w:tc>
        <w:tc>
          <w:tcPr>
            <w:tcW w:w="1281" w:type="dxa"/>
          </w:tcPr>
          <w:p>
            <w:pPr>
              <w:widowControl/>
              <w:rPr>
                <w:rFonts w:ascii="方正仿宋_GBK" w:hAnsi="方正仿宋_GBK"/>
                <w:color w:val="000000"/>
                <w:kern w:val="0"/>
                <w:sz w:val="24"/>
                <w:szCs w:val="24"/>
                <w:lang w:bidi="ar"/>
              </w:rPr>
            </w:pPr>
          </w:p>
        </w:tc>
        <w:tc>
          <w:tcPr>
            <w:tcW w:w="1430"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79" w:type="dxa"/>
          </w:tcPr>
          <w:p>
            <w:pPr>
              <w:widowControl/>
              <w:rPr>
                <w:rFonts w:ascii="方正仿宋_GBK" w:hAnsi="方正仿宋_GBK"/>
                <w:color w:val="000000"/>
                <w:kern w:val="0"/>
                <w:sz w:val="24"/>
                <w:szCs w:val="24"/>
                <w:lang w:bidi="ar"/>
              </w:rPr>
            </w:pPr>
          </w:p>
        </w:tc>
        <w:tc>
          <w:tcPr>
            <w:tcW w:w="1116" w:type="dxa"/>
          </w:tcPr>
          <w:p>
            <w:pPr>
              <w:widowControl/>
              <w:rPr>
                <w:rFonts w:ascii="方正仿宋_GBK" w:hAnsi="方正仿宋_GBK"/>
                <w:color w:val="000000"/>
                <w:kern w:val="0"/>
                <w:sz w:val="24"/>
                <w:szCs w:val="24"/>
                <w:lang w:bidi="ar"/>
              </w:rPr>
            </w:pPr>
          </w:p>
        </w:tc>
        <w:tc>
          <w:tcPr>
            <w:tcW w:w="1165" w:type="dxa"/>
          </w:tcPr>
          <w:p>
            <w:pPr>
              <w:widowControl/>
              <w:rPr>
                <w:rFonts w:ascii="方正仿宋_GBK" w:hAnsi="方正仿宋_GBK"/>
                <w:color w:val="000000"/>
                <w:kern w:val="0"/>
                <w:sz w:val="24"/>
                <w:szCs w:val="24"/>
                <w:lang w:bidi="ar"/>
              </w:rPr>
            </w:pPr>
          </w:p>
        </w:tc>
        <w:tc>
          <w:tcPr>
            <w:tcW w:w="1108" w:type="dxa"/>
          </w:tcPr>
          <w:p>
            <w:pPr>
              <w:widowControl/>
              <w:rPr>
                <w:rFonts w:ascii="方正仿宋_GBK" w:hAnsi="方正仿宋_GBK"/>
                <w:color w:val="000000"/>
                <w:kern w:val="0"/>
                <w:sz w:val="24"/>
                <w:szCs w:val="24"/>
                <w:lang w:bidi="ar"/>
              </w:rPr>
            </w:pPr>
          </w:p>
        </w:tc>
        <w:tc>
          <w:tcPr>
            <w:tcW w:w="1535" w:type="dxa"/>
          </w:tcPr>
          <w:p>
            <w:pPr>
              <w:widowControl/>
              <w:rPr>
                <w:rFonts w:ascii="方正仿宋_GBK" w:hAnsi="方正仿宋_GBK"/>
                <w:color w:val="000000"/>
                <w:kern w:val="0"/>
                <w:sz w:val="24"/>
                <w:szCs w:val="24"/>
                <w:lang w:bidi="ar"/>
              </w:rPr>
            </w:pPr>
          </w:p>
        </w:tc>
        <w:tc>
          <w:tcPr>
            <w:tcW w:w="1511" w:type="dxa"/>
          </w:tcPr>
          <w:p>
            <w:pPr>
              <w:widowControl/>
              <w:rPr>
                <w:rFonts w:ascii="方正仿宋_GBK" w:hAnsi="方正仿宋_GBK"/>
                <w:color w:val="000000"/>
                <w:kern w:val="0"/>
                <w:sz w:val="24"/>
                <w:szCs w:val="24"/>
                <w:lang w:bidi="ar"/>
              </w:rPr>
            </w:pPr>
          </w:p>
        </w:tc>
        <w:tc>
          <w:tcPr>
            <w:tcW w:w="889" w:type="dxa"/>
          </w:tcPr>
          <w:p>
            <w:pPr>
              <w:widowControl/>
              <w:rPr>
                <w:rFonts w:ascii="方正仿宋_GBK" w:hAnsi="方正仿宋_GBK"/>
                <w:color w:val="000000"/>
                <w:kern w:val="0"/>
                <w:sz w:val="24"/>
                <w:szCs w:val="24"/>
                <w:lang w:bidi="ar"/>
              </w:rPr>
            </w:pPr>
          </w:p>
        </w:tc>
      </w:tr>
    </w:tbl>
    <w:p>
      <w:pPr>
        <w:pStyle w:val="2"/>
        <w:rPr>
          <w:lang w:bidi="ar"/>
        </w:rPr>
      </w:pPr>
    </w:p>
    <w:p>
      <w:pPr>
        <w:widowControl/>
        <w:rPr>
          <w:rFonts w:ascii="方正仿宋_GBK" w:hAnsi="方正仿宋_GBK"/>
          <w:color w:val="000000"/>
          <w:kern w:val="0"/>
          <w:sz w:val="24"/>
          <w:lang w:bidi="ar"/>
        </w:rPr>
      </w:pPr>
      <w:r>
        <w:rPr>
          <w:rFonts w:ascii="方正仿宋_GBK" w:hAnsi="方正仿宋_GBK"/>
          <w:color w:val="000000"/>
          <w:kern w:val="0"/>
          <w:sz w:val="24"/>
          <w:lang w:bidi="ar"/>
        </w:rPr>
        <w:t>备注：</w:t>
      </w:r>
      <w:r>
        <w:rPr>
          <w:rFonts w:hint="eastAsia" w:ascii="方正仿宋_GBK" w:hAnsi="方正仿宋_GBK"/>
          <w:color w:val="000000"/>
          <w:kern w:val="0"/>
          <w:sz w:val="24"/>
          <w:lang w:bidi="ar"/>
        </w:rPr>
        <w:t>各社区、</w:t>
      </w:r>
      <w:r>
        <w:rPr>
          <w:rFonts w:ascii="方正仿宋_GBK" w:hAnsi="方正仿宋_GBK"/>
          <w:color w:val="000000"/>
          <w:kern w:val="0"/>
          <w:sz w:val="24"/>
          <w:lang w:bidi="ar"/>
        </w:rPr>
        <w:t>相关</w:t>
      </w:r>
      <w:r>
        <w:rPr>
          <w:rFonts w:hint="eastAsia" w:ascii="方正仿宋_GBK" w:hAnsi="方正仿宋_GBK"/>
          <w:color w:val="000000"/>
          <w:kern w:val="0"/>
          <w:sz w:val="24"/>
          <w:lang w:bidi="ar"/>
        </w:rPr>
        <w:t>岗位</w:t>
      </w:r>
      <w:r>
        <w:rPr>
          <w:rFonts w:ascii="方正仿宋_GBK" w:hAnsi="方正仿宋_GBK"/>
          <w:color w:val="000000"/>
          <w:kern w:val="0"/>
          <w:sz w:val="24"/>
          <w:lang w:bidi="ar"/>
        </w:rPr>
        <w:t>分别排查统计报送</w:t>
      </w:r>
      <w:r>
        <w:rPr>
          <w:rFonts w:hint="eastAsia" w:ascii="方正仿宋_GBK" w:hAnsi="方正仿宋_GBK"/>
          <w:color w:val="000000"/>
          <w:kern w:val="0"/>
          <w:sz w:val="24"/>
          <w:lang w:bidi="ar"/>
        </w:rPr>
        <w:t>街道成品油</w:t>
      </w:r>
      <w:r>
        <w:rPr>
          <w:rFonts w:ascii="方正仿宋_GBK" w:hAnsi="方正仿宋_GBK"/>
          <w:color w:val="000000"/>
          <w:kern w:val="0"/>
          <w:sz w:val="24"/>
          <w:lang w:bidi="ar"/>
        </w:rPr>
        <w:t>打非办。</w:t>
      </w:r>
    </w:p>
    <w:p>
      <w:pPr>
        <w:tabs>
          <w:tab w:val="left" w:pos="9369"/>
        </w:tabs>
        <w:rPr>
          <w:rFonts w:ascii="方正仿宋_GBK" w:hAnsi="方正仿宋_GBK"/>
          <w:sz w:val="24"/>
          <w:lang w:bidi="ar"/>
        </w:rPr>
      </w:pPr>
      <w:r>
        <w:rPr>
          <w:rFonts w:ascii="方正仿宋_GBK" w:hAnsi="方正仿宋_GBK"/>
          <w:sz w:val="24"/>
          <w:lang w:bidi="ar"/>
        </w:rPr>
        <w:tab/>
      </w:r>
    </w:p>
    <w:p>
      <w:pPr>
        <w:tabs>
          <w:tab w:val="left" w:pos="9369"/>
        </w:tabs>
        <w:rPr>
          <w:rFonts w:ascii="方正仿宋_GBK" w:hAnsi="方正仿宋_GBK"/>
          <w:sz w:val="24"/>
          <w:lang w:bidi="ar"/>
        </w:rPr>
        <w:sectPr>
          <w:footerReference r:id="rId6" w:type="default"/>
          <w:pgSz w:w="16838" w:h="11906" w:orient="landscape"/>
          <w:pgMar w:top="1446" w:right="1984" w:bottom="1446" w:left="1644" w:header="851" w:footer="1474" w:gutter="0"/>
          <w:pgNumType w:fmt="numberInDash" w:start="8"/>
          <w:cols w:space="0" w:num="1"/>
          <w:docGrid w:type="linesAndChars" w:linePitch="600" w:charSpace="5466"/>
        </w:sectPr>
      </w:pPr>
      <w:r>
        <w:rPr>
          <w:rFonts w:ascii="方正仿宋_GBK" w:hAnsi="方正仿宋_GBK"/>
          <w:sz w:val="24"/>
          <w:lang w:bidi="ar"/>
        </w:rPr>
        <w:tab/>
      </w:r>
    </w:p>
    <w:p>
      <w:pPr>
        <w:widowControl/>
        <w:rPr>
          <w:rFonts w:ascii="方正仿宋_GBK" w:hAnsi="方正仿宋_GBK"/>
          <w:color w:val="000000"/>
          <w:kern w:val="0"/>
          <w:sz w:val="24"/>
          <w:lang w:bidi="ar"/>
        </w:rPr>
      </w:pPr>
    </w:p>
    <w:p>
      <w:pPr>
        <w:pStyle w:val="17"/>
        <w:spacing w:line="580" w:lineRule="exact"/>
        <w:rPr>
          <w:rFonts w:ascii="方正小标宋_GBK" w:hAnsi="方正小标宋_GBK" w:eastAsia="方正小标宋_GBK" w:cs="方正小标宋_GBK"/>
          <w:sz w:val="44"/>
          <w:szCs w:val="44"/>
          <w:lang w:bidi="ar"/>
        </w:rPr>
      </w:pPr>
    </w:p>
    <w:p>
      <w:pPr>
        <w:pStyle w:val="17"/>
        <w:spacing w:line="580" w:lineRule="exact"/>
        <w:rPr>
          <w:rFonts w:ascii="方正小标宋_GBK" w:hAnsi="方正小标宋_GBK" w:eastAsia="方正小标宋_GBK" w:cs="方正小标宋_GBK"/>
          <w:sz w:val="44"/>
          <w:szCs w:val="44"/>
          <w:lang w:bidi="ar"/>
        </w:rPr>
      </w:pPr>
    </w:p>
    <w:p>
      <w:pPr>
        <w:spacing w:line="580" w:lineRule="exact"/>
        <w:rPr>
          <w:rFonts w:ascii="方正小标宋_GBK" w:hAnsi="方正小标宋_GBK" w:eastAsia="方正小标宋_GBK" w:cs="方正小标宋_GBK"/>
          <w:color w:val="000000"/>
          <w:kern w:val="0"/>
          <w:sz w:val="44"/>
          <w:szCs w:val="44"/>
          <w:lang w:bidi="ar"/>
        </w:rPr>
      </w:pPr>
    </w:p>
    <w:p>
      <w:pPr>
        <w:pStyle w:val="17"/>
        <w:spacing w:line="580" w:lineRule="exact"/>
        <w:rPr>
          <w:rFonts w:ascii="方正小标宋_GBK" w:hAnsi="方正小标宋_GBK" w:eastAsia="方正小标宋_GBK" w:cs="方正小标宋_GBK"/>
          <w:sz w:val="44"/>
          <w:szCs w:val="44"/>
          <w:lang w:bidi="ar"/>
        </w:rPr>
      </w:pPr>
    </w:p>
    <w:p>
      <w:pPr>
        <w:spacing w:line="580" w:lineRule="exact"/>
        <w:rPr>
          <w:rFonts w:ascii="方正小标宋_GBK" w:hAnsi="方正小标宋_GBK" w:eastAsia="方正小标宋_GBK" w:cs="方正小标宋_GBK"/>
          <w:color w:val="000000"/>
          <w:kern w:val="0"/>
          <w:sz w:val="44"/>
          <w:szCs w:val="44"/>
          <w:lang w:bidi="ar"/>
        </w:rPr>
      </w:pPr>
    </w:p>
    <w:p>
      <w:pPr>
        <w:pStyle w:val="17"/>
        <w:spacing w:line="580" w:lineRule="exact"/>
        <w:rPr>
          <w:rFonts w:ascii="方正小标宋_GBK" w:hAnsi="方正小标宋_GBK" w:eastAsia="方正小标宋_GBK" w:cs="方正小标宋_GBK"/>
          <w:sz w:val="44"/>
          <w:szCs w:val="44"/>
          <w:lang w:bidi="ar"/>
        </w:rPr>
      </w:pPr>
    </w:p>
    <w:p>
      <w:pPr>
        <w:spacing w:line="580" w:lineRule="exact"/>
      </w:pPr>
    </w:p>
    <w:p>
      <w:pPr>
        <w:pStyle w:val="17"/>
        <w:spacing w:line="580" w:lineRule="exact"/>
      </w:pPr>
    </w:p>
    <w:p>
      <w:pPr>
        <w:spacing w:line="580" w:lineRule="exact"/>
      </w:pPr>
    </w:p>
    <w:p>
      <w:pPr>
        <w:pStyle w:val="17"/>
        <w:spacing w:line="580" w:lineRule="exact"/>
      </w:pPr>
    </w:p>
    <w:p>
      <w:pPr>
        <w:pStyle w:val="2"/>
      </w:pPr>
    </w:p>
    <w:p>
      <w:pPr>
        <w:pStyle w:val="4"/>
        <w:spacing w:line="580" w:lineRule="exact"/>
        <w:ind w:left="0" w:leftChars="0" w:firstLine="4844" w:firstLineChars="1400"/>
        <w:rPr>
          <w:rFonts w:ascii="Times New Roman" w:eastAsia="方正仿宋_GBK"/>
        </w:rPr>
      </w:pPr>
    </w:p>
    <w:p>
      <w:pPr>
        <w:spacing w:line="580" w:lineRule="exact"/>
      </w:pPr>
    </w:p>
    <w:p>
      <w:pPr>
        <w:pStyle w:val="3"/>
        <w:rPr>
          <w:rFonts w:ascii="Times New Roman" w:hAnsi="Times New Roman" w:eastAsia="仿宋" w:cs="Times New Roman"/>
          <w:color w:val="000000"/>
          <w:sz w:val="28"/>
          <w:szCs w:val="28"/>
        </w:rPr>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2"/>
        <w:spacing w:line="240" w:lineRule="auto"/>
      </w:pPr>
    </w:p>
    <w:p>
      <w:pPr>
        <w:pStyle w:val="3"/>
        <w:pBdr>
          <w:top w:val="single" w:color="auto" w:sz="4" w:space="0"/>
          <w:bottom w:val="single" w:color="auto" w:sz="4" w:space="0"/>
        </w:pBdr>
        <w:overflowPunct w:val="0"/>
        <w:spacing w:line="580" w:lineRule="exact"/>
        <w:ind w:firstLine="306" w:firstLineChars="100"/>
      </w:pPr>
      <w:r>
        <w:rPr>
          <w:rFonts w:hint="eastAsia" w:ascii="Times New Roman" w:hAnsi="Times New Roman" w:cs="Times New Roman"/>
          <w:color w:val="000000"/>
          <w:sz w:val="28"/>
          <w:szCs w:val="28"/>
        </w:rPr>
        <w:t>沙坪坝区新桥街道基层治理综合指挥室</w:t>
      </w:r>
      <w:r>
        <w:rPr>
          <w:rStyle w:val="14"/>
          <w:rFonts w:hint="eastAsia" w:cs="Times New Roman"/>
          <w:spacing w:val="3"/>
          <w:sz w:val="28"/>
          <w:szCs w:val="28"/>
        </w:rPr>
        <w:t xml:space="preserve">   </w:t>
      </w:r>
      <w:r>
        <w:rPr>
          <w:rStyle w:val="14"/>
          <w:rFonts w:ascii="Times New Roman" w:hAnsi="Times New Roman" w:cs="Times New Roman"/>
          <w:sz w:val="28"/>
          <w:szCs w:val="28"/>
        </w:rPr>
        <w:t>2024年</w:t>
      </w:r>
      <w:r>
        <w:rPr>
          <w:rFonts w:ascii="Times New Roman" w:hAnsi="Times New Roman" w:eastAsia="仿宋" w:cs="Times New Roman"/>
          <w:color w:val="000000"/>
          <w:sz w:val="28"/>
          <w:szCs w:val="28"/>
        </w:rPr>
        <w:t>8</w:t>
      </w:r>
      <w:r>
        <w:rPr>
          <w:rStyle w:val="14"/>
          <w:rFonts w:ascii="Times New Roman" w:hAnsi="Times New Roman" w:cs="Times New Roman"/>
          <w:sz w:val="28"/>
          <w:szCs w:val="28"/>
        </w:rPr>
        <w:t>月</w:t>
      </w:r>
      <w:r>
        <w:rPr>
          <w:rFonts w:ascii="Times New Roman" w:hAnsi="Times New Roman" w:eastAsia="仿宋" w:cs="Times New Roman"/>
          <w:color w:val="000000"/>
          <w:sz w:val="28"/>
          <w:szCs w:val="28"/>
        </w:rPr>
        <w:t>1</w:t>
      </w:r>
      <w:r>
        <w:rPr>
          <w:rStyle w:val="14"/>
          <w:rFonts w:ascii="Times New Roman" w:hAnsi="Times New Roman" w:cs="Times New Roman"/>
          <w:sz w:val="28"/>
          <w:szCs w:val="28"/>
        </w:rPr>
        <w:t>日印发</w:t>
      </w:r>
    </w:p>
    <w:sectPr>
      <w:pgSz w:w="11906" w:h="16838"/>
      <w:pgMar w:top="1984" w:right="1446" w:bottom="1644" w:left="1446" w:header="851" w:footer="1474" w:gutter="0"/>
      <w:pgNumType w:fmt="numberInDash" w:start="11"/>
      <w:cols w:space="0" w:num="1"/>
      <w:docGrid w:type="linesAndChars" w:linePitch="600" w:charSpace="5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177662"/>
      <w:docPartObj>
        <w:docPartGallery w:val="AutoText"/>
      </w:docPartObj>
    </w:sdtPr>
    <w:sdtEndPr>
      <w:rPr>
        <w:rFonts w:ascii="宋体" w:hAnsi="宋体" w:eastAsia="宋体" w:cs="宋体"/>
        <w:sz w:val="28"/>
        <w:szCs w:val="28"/>
      </w:rPr>
    </w:sdtEndPr>
    <w:sdtContent>
      <w:p>
        <w:pPr>
          <w:pStyle w:val="6"/>
          <w:jc w:val="right"/>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rPr>
          <w:t>- 7 -</w:t>
        </w:r>
        <w:r>
          <w:rPr>
            <w:rFonts w:ascii="宋体" w:hAnsi="宋体" w:eastAsia="宋体" w:cs="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640" w:leftChars="200" w:right="640" w:rightChars="2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673500"/>
      <w:docPartObj>
        <w:docPartGallery w:val="AutoText"/>
      </w:docPartObj>
    </w:sdtPr>
    <w:sdtContent>
      <w:p>
        <w:pPr>
          <w:pStyle w:val="6"/>
        </w:pPr>
        <w:r>
          <w:fldChar w:fldCharType="begin"/>
        </w:r>
        <w:r>
          <w:instrText xml:space="preserve">PAGE   \* MERGEFORMAT</w:instrText>
        </w:r>
        <w:r>
          <w:fldChar w:fldCharType="separate"/>
        </w:r>
        <w:r>
          <w:rPr>
            <w:lang w:val="zh-CN"/>
          </w:rPr>
          <w:t>-</w:t>
        </w:r>
        <w:r>
          <w:t xml:space="preserve"> 1 -</w:t>
        </w:r>
        <w: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853014"/>
      <w:docPartObj>
        <w:docPartGallery w:val="AutoText"/>
      </w:docPartObj>
    </w:sdtPr>
    <w:sdtEndPr>
      <w:rPr>
        <w:rFonts w:asciiTheme="minorEastAsia" w:hAnsiTheme="minorEastAsia" w:eastAsiaTheme="minorEastAsia"/>
        <w:sz w:val="28"/>
        <w:szCs w:val="28"/>
      </w:rPr>
    </w:sdtEndPr>
    <w:sdtContent>
      <w:p>
        <w:pPr>
          <w:pStyle w:val="6"/>
          <w:jc w:val="right"/>
        </w:pPr>
      </w:p>
      <w:p>
        <w:pPr>
          <w:pStyle w:val="6"/>
          <w:jc w:val="right"/>
        </w:pPr>
      </w:p>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- 11 -</w:t>
        </w:r>
        <w:r>
          <w:rPr>
            <w:rFonts w:asciiTheme="minorEastAsia" w:hAnsiTheme="minorEastAsia" w:eastAsia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YmY1YmFiNTA2NGNmNzBiYzJkYmMyODQ3MGMzYjYifQ=="/>
  </w:docVars>
  <w:rsids>
    <w:rsidRoot w:val="138239DE"/>
    <w:rsid w:val="00015EC0"/>
    <w:rsid w:val="00213D47"/>
    <w:rsid w:val="00270E81"/>
    <w:rsid w:val="00323751"/>
    <w:rsid w:val="003D0A21"/>
    <w:rsid w:val="00452357"/>
    <w:rsid w:val="004C508C"/>
    <w:rsid w:val="00501D8B"/>
    <w:rsid w:val="00580F4A"/>
    <w:rsid w:val="009D5548"/>
    <w:rsid w:val="009F2360"/>
    <w:rsid w:val="00AB2DAF"/>
    <w:rsid w:val="00B22CCF"/>
    <w:rsid w:val="00B51099"/>
    <w:rsid w:val="00BC5D43"/>
    <w:rsid w:val="00D7431B"/>
    <w:rsid w:val="00D83F9F"/>
    <w:rsid w:val="00DE2EE0"/>
    <w:rsid w:val="00E01F10"/>
    <w:rsid w:val="00E44A2A"/>
    <w:rsid w:val="00FD7966"/>
    <w:rsid w:val="01CE3A0A"/>
    <w:rsid w:val="041B0A5C"/>
    <w:rsid w:val="06976396"/>
    <w:rsid w:val="080F2686"/>
    <w:rsid w:val="0C5B0590"/>
    <w:rsid w:val="10121CB9"/>
    <w:rsid w:val="11745646"/>
    <w:rsid w:val="129649D1"/>
    <w:rsid w:val="138239DE"/>
    <w:rsid w:val="147F0B94"/>
    <w:rsid w:val="151A2478"/>
    <w:rsid w:val="1BC61FB5"/>
    <w:rsid w:val="229E2434"/>
    <w:rsid w:val="26B768CA"/>
    <w:rsid w:val="2B2B6F28"/>
    <w:rsid w:val="2BB60EE7"/>
    <w:rsid w:val="2F9F71DA"/>
    <w:rsid w:val="31106CB9"/>
    <w:rsid w:val="32262DBE"/>
    <w:rsid w:val="36561E50"/>
    <w:rsid w:val="4070615F"/>
    <w:rsid w:val="4744067B"/>
    <w:rsid w:val="4A137B88"/>
    <w:rsid w:val="552A712F"/>
    <w:rsid w:val="5A3E3CD2"/>
    <w:rsid w:val="5CBA7FFF"/>
    <w:rsid w:val="5F6661A5"/>
    <w:rsid w:val="6A315BC4"/>
    <w:rsid w:val="6DD479D5"/>
    <w:rsid w:val="6E02282A"/>
    <w:rsid w:val="7B9B0B2D"/>
    <w:rsid w:val="7CFC55FB"/>
    <w:rsid w:val="7D9D6DDE"/>
    <w:rsid w:val="7E3C5348"/>
    <w:rsid w:val="B33B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楷体_GB2312" w:hAnsi="宋体" w:eastAsia="楷体_GB2312"/>
      <w:b/>
      <w:bCs/>
      <w:color w:val="000000"/>
    </w:rPr>
  </w:style>
  <w:style w:type="paragraph" w:styleId="3">
    <w:name w:val="Plain Text"/>
    <w:basedOn w:val="1"/>
    <w:qFormat/>
    <w:uiPriority w:val="0"/>
    <w:rPr>
      <w:rFonts w:ascii="宋体" w:hAnsi="Courier New" w:cs="Courier New"/>
      <w:szCs w:val="21"/>
    </w:rPr>
  </w:style>
  <w:style w:type="paragraph" w:styleId="4">
    <w:name w:val="Date"/>
    <w:basedOn w:val="1"/>
    <w:next w:val="1"/>
    <w:unhideWhenUsed/>
    <w:qFormat/>
    <w:uiPriority w:val="99"/>
    <w:pPr>
      <w:ind w:left="100" w:leftChars="2500"/>
    </w:pPr>
    <w:rPr>
      <w:rFonts w:ascii="仿宋_GB2312" w:eastAsia="仿宋_GB2312"/>
    </w:rPr>
  </w:style>
  <w:style w:type="paragraph" w:styleId="5">
    <w:name w:val="Balloon Text"/>
    <w:basedOn w:val="1"/>
    <w:link w:val="18"/>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004"/>
      </w:tabs>
      <w:jc w:val="center"/>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kern w:val="2"/>
      <w:sz w:val="18"/>
      <w:szCs w:val="18"/>
    </w:rPr>
  </w:style>
  <w:style w:type="character" w:customStyle="1" w:styleId="13">
    <w:name w:val="页脚 字符"/>
    <w:basedOn w:val="11"/>
    <w:link w:val="6"/>
    <w:qFormat/>
    <w:uiPriority w:val="99"/>
    <w:rPr>
      <w:kern w:val="2"/>
      <w:sz w:val="18"/>
      <w:szCs w:val="18"/>
    </w:rPr>
  </w:style>
  <w:style w:type="character" w:customStyle="1" w:styleId="14">
    <w:name w:val="NormalCharacter"/>
    <w:qFormat/>
    <w:uiPriority w:val="0"/>
  </w:style>
  <w:style w:type="paragraph" w:customStyle="1" w:styleId="15">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16">
    <w:name w:val="BodyText"/>
    <w:basedOn w:val="1"/>
    <w:next w:val="1"/>
    <w:qFormat/>
    <w:uiPriority w:val="0"/>
    <w:pPr>
      <w:ind w:left="100" w:firstLine="559"/>
      <w:jc w:val="left"/>
      <w:textAlignment w:val="baseline"/>
    </w:pPr>
    <w:rPr>
      <w:rFonts w:ascii="宋体" w:hAnsi="宋体"/>
      <w:kern w:val="0"/>
      <w:sz w:val="28"/>
      <w:szCs w:val="28"/>
      <w:lang w:eastAsia="en-US"/>
    </w:rPr>
  </w:style>
  <w:style w:type="paragraph" w:customStyle="1" w:styleId="17">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批注框文本 字符"/>
    <w:basedOn w:val="11"/>
    <w:link w:val="5"/>
    <w:qFormat/>
    <w:uiPriority w:val="0"/>
    <w:rPr>
      <w:rFonts w:eastAsia="方正仿宋_GBK" w:cs="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572</Words>
  <Characters>3267</Characters>
  <Lines>27</Lines>
  <Paragraphs>7</Paragraphs>
  <TotalTime>35</TotalTime>
  <ScaleCrop>false</ScaleCrop>
  <LinksUpToDate>false</LinksUpToDate>
  <CharactersWithSpaces>3832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2024-08-05T10:48:00Z</dcterms:created>
  <dc:creator>莱特兄弟</dc:creator>
  <cp:lastModifiedBy>user</cp:lastModifiedBy>
  <cp:lastPrinted>2024-08-05T10:46:00Z</cp:lastPrinted>
  <dcterms:modified xsi:type="dcterms:W3CDTF">2024-10-11T15:46:06Z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203B1627A7A14D60A0325B69BF3144E1</vt:lpwstr>
  </property>
</Properties>
</file>