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_GBK" w:eastAsia="方正小标宋_GBK"/>
          <w:sz w:val="44"/>
          <w:szCs w:val="44"/>
        </w:rPr>
      </w:pPr>
      <w:r>
        <w:rPr>
          <w:rFonts w:hint="eastAsia" w:ascii="方正小标宋_GBK" w:eastAsia="方正小标宋_GBK"/>
          <w:sz w:val="44"/>
          <w:szCs w:val="44"/>
        </w:rPr>
        <w:t>重庆市沙坪坝区人民政府新桥街道办事处</w:t>
      </w:r>
    </w:p>
    <w:p>
      <w:pPr>
        <w:spacing w:line="480" w:lineRule="exact"/>
        <w:jc w:val="center"/>
      </w:pPr>
      <w:r>
        <w:rPr>
          <w:rFonts w:hint="eastAsia" w:eastAsia="方正小标宋_GBK"/>
          <w:sz w:val="44"/>
          <w:szCs w:val="44"/>
        </w:rPr>
        <w:t>关于印发202</w:t>
      </w:r>
      <w:r>
        <w:rPr>
          <w:rFonts w:hint="eastAsia" w:eastAsia="方正小标宋_GBK"/>
          <w:sz w:val="44"/>
          <w:szCs w:val="44"/>
          <w:lang w:val="en-US" w:eastAsia="zh-CN"/>
        </w:rPr>
        <w:t>5</w:t>
      </w:r>
      <w:r>
        <w:rPr>
          <w:rFonts w:hint="eastAsia" w:eastAsia="方正小标宋_GBK"/>
          <w:sz w:val="44"/>
          <w:szCs w:val="44"/>
        </w:rPr>
        <w:t>年春节期间燃放烟花爆竹安全管理工作方案的通知</w:t>
      </w:r>
    </w:p>
    <w:p>
      <w:pPr>
        <w:spacing w:line="480" w:lineRule="exact"/>
      </w:pPr>
    </w:p>
    <w:p>
      <w:pPr>
        <w:spacing w:line="480" w:lineRule="exact"/>
        <w:rPr>
          <w:rFonts w:hint="default" w:ascii="Times New Roman" w:hAnsi="Times New Roman" w:eastAsia="方正楷体_GBK" w:cs="Times New Roman"/>
        </w:rPr>
      </w:pPr>
      <w:r>
        <w:rPr>
          <w:rFonts w:hint="default" w:ascii="Times New Roman" w:hAnsi="Times New Roman" w:eastAsia="方正楷体_GBK" w:cs="Times New Roman"/>
        </w:rPr>
        <w:t>各岗位</w:t>
      </w:r>
      <w:r>
        <w:rPr>
          <w:rFonts w:hint="default" w:ascii="Times New Roman" w:hAnsi="Times New Roman" w:eastAsia="方正楷体_GBK" w:cs="Times New Roman"/>
          <w:lang w:eastAsia="zh-CN"/>
        </w:rPr>
        <w:t>，</w:t>
      </w:r>
      <w:r>
        <w:rPr>
          <w:rFonts w:hint="default" w:ascii="Times New Roman" w:hAnsi="Times New Roman" w:eastAsia="方正楷体_GBK" w:cs="Times New Roman"/>
        </w:rPr>
        <w:t>各社区</w:t>
      </w:r>
      <w:r>
        <w:rPr>
          <w:rFonts w:hint="default" w:ascii="Times New Roman" w:hAnsi="Times New Roman" w:eastAsia="方正楷体_GBK" w:cs="Times New Roman"/>
          <w:lang w:eastAsia="zh-CN"/>
        </w:rPr>
        <w:t>，</w:t>
      </w:r>
      <w:r>
        <w:rPr>
          <w:rFonts w:hint="default" w:ascii="Times New Roman" w:hAnsi="Times New Roman" w:eastAsia="方正楷体_GBK" w:cs="Times New Roman"/>
        </w:rPr>
        <w:t>相关单位：</w:t>
      </w:r>
    </w:p>
    <w:p>
      <w:pPr>
        <w:spacing w:line="480" w:lineRule="exact"/>
        <w:ind w:firstLine="624"/>
        <w:rPr>
          <w:rFonts w:hint="default" w:ascii="Times New Roman" w:hAnsi="Times New Roman" w:eastAsia="方正楷体_GBK" w:cs="Times New Roman"/>
          <w:szCs w:val="20"/>
        </w:rPr>
      </w:pPr>
      <w:r>
        <w:rPr>
          <w:rFonts w:hint="default" w:ascii="Times New Roman" w:hAnsi="Times New Roman" w:eastAsia="方正楷体_GBK" w:cs="Times New Roman"/>
          <w:szCs w:val="20"/>
        </w:rPr>
        <w:t>为切实做好2025年春节期间燃放烟花爆竹安全管理工作，</w:t>
      </w:r>
      <w:r>
        <w:rPr>
          <w:rFonts w:hint="eastAsia" w:eastAsia="方正楷体_GBK" w:cs="Times New Roman"/>
          <w:szCs w:val="20"/>
          <w:lang w:eastAsia="zh-CN"/>
        </w:rPr>
        <w:t>街道办事处</w:t>
      </w:r>
      <w:r>
        <w:rPr>
          <w:rFonts w:hint="default" w:ascii="Times New Roman" w:hAnsi="Times New Roman" w:eastAsia="方正楷体_GBK" w:cs="Times New Roman"/>
          <w:szCs w:val="20"/>
        </w:rPr>
        <w:t>制定了《新桥街道202</w:t>
      </w:r>
      <w:r>
        <w:rPr>
          <w:rFonts w:hint="default" w:ascii="Times New Roman" w:hAnsi="Times New Roman" w:eastAsia="方正楷体_GBK" w:cs="Times New Roman"/>
          <w:szCs w:val="20"/>
          <w:lang w:val="en-US" w:eastAsia="zh-CN"/>
        </w:rPr>
        <w:t>5</w:t>
      </w:r>
      <w:r>
        <w:rPr>
          <w:rFonts w:hint="default" w:ascii="Times New Roman" w:hAnsi="Times New Roman" w:eastAsia="方正楷体_GBK" w:cs="Times New Roman"/>
          <w:szCs w:val="20"/>
        </w:rPr>
        <w:t>年春节期间燃放烟花爆竹安全管理工作方案》，现</w:t>
      </w:r>
      <w:r>
        <w:rPr>
          <w:rFonts w:hint="eastAsia" w:eastAsia="方正楷体_GBK" w:cs="Times New Roman"/>
          <w:szCs w:val="20"/>
          <w:lang w:eastAsia="zh-CN"/>
        </w:rPr>
        <w:t>印</w:t>
      </w:r>
      <w:r>
        <w:rPr>
          <w:rFonts w:hint="default" w:ascii="Times New Roman" w:hAnsi="Times New Roman" w:eastAsia="方正楷体_GBK" w:cs="Times New Roman"/>
          <w:szCs w:val="20"/>
        </w:rPr>
        <w:t>发你们，请结合实际，抓好贯彻落实。</w:t>
      </w:r>
    </w:p>
    <w:p>
      <w:pPr>
        <w:spacing w:line="480" w:lineRule="exact"/>
        <w:rPr>
          <w:rFonts w:hint="default" w:ascii="Times New Roman" w:hAnsi="Times New Roman" w:eastAsia="方正楷体_GBK" w:cs="Times New Roman"/>
          <w:szCs w:val="20"/>
        </w:rPr>
      </w:pPr>
    </w:p>
    <w:p>
      <w:pPr>
        <w:spacing w:line="480" w:lineRule="exact"/>
        <w:ind w:firstLine="624"/>
        <w:jc w:val="right"/>
        <w:rPr>
          <w:rFonts w:hint="default" w:ascii="Times New Roman" w:hAnsi="Times New Roman" w:eastAsia="方正楷体_GBK" w:cs="Times New Roman"/>
          <w:szCs w:val="20"/>
        </w:rPr>
      </w:pPr>
      <w:r>
        <w:rPr>
          <w:rFonts w:hint="default" w:ascii="Times New Roman" w:hAnsi="Times New Roman" w:eastAsia="方正楷体_GBK" w:cs="Times New Roman"/>
          <w:szCs w:val="20"/>
        </w:rPr>
        <w:t>重庆市沙坪坝区人民政府新桥街道办事处</w:t>
      </w:r>
    </w:p>
    <w:p>
      <w:pPr>
        <w:spacing w:line="480" w:lineRule="exact"/>
        <w:ind w:right="1388" w:firstLine="624"/>
        <w:jc w:val="right"/>
        <w:rPr>
          <w:rFonts w:hint="default" w:ascii="Times New Roman" w:hAnsi="Times New Roman" w:eastAsia="方正楷体_GBK" w:cs="Times New Roman"/>
          <w:szCs w:val="20"/>
        </w:rPr>
      </w:pPr>
      <w:r>
        <w:rPr>
          <w:rFonts w:hint="default" w:ascii="Times New Roman" w:hAnsi="Times New Roman" w:eastAsia="方正楷体_GBK" w:cs="Times New Roman"/>
          <w:szCs w:val="20"/>
        </w:rPr>
        <w:t>202</w:t>
      </w:r>
      <w:r>
        <w:rPr>
          <w:rFonts w:hint="default" w:ascii="Times New Roman" w:hAnsi="Times New Roman" w:eastAsia="方正楷体_GBK" w:cs="Times New Roman"/>
          <w:szCs w:val="20"/>
          <w:lang w:val="en-US" w:eastAsia="zh-CN"/>
        </w:rPr>
        <w:t>4</w:t>
      </w:r>
      <w:r>
        <w:rPr>
          <w:rFonts w:hint="default" w:ascii="Times New Roman" w:hAnsi="Times New Roman" w:eastAsia="方正楷体_GBK" w:cs="Times New Roman"/>
          <w:szCs w:val="20"/>
        </w:rPr>
        <w:t>年12月</w:t>
      </w:r>
      <w:r>
        <w:rPr>
          <w:rFonts w:hint="default" w:ascii="Times New Roman" w:hAnsi="Times New Roman" w:eastAsia="方正楷体_GBK" w:cs="Times New Roman"/>
          <w:szCs w:val="20"/>
          <w:lang w:val="en-US" w:eastAsia="zh-CN"/>
        </w:rPr>
        <w:t>2</w:t>
      </w:r>
      <w:r>
        <w:rPr>
          <w:rFonts w:hint="eastAsia" w:eastAsia="方正楷体_GBK" w:cs="Times New Roman"/>
          <w:szCs w:val="20"/>
          <w:lang w:val="en-US" w:eastAsia="zh-CN"/>
        </w:rPr>
        <w:t>6</w:t>
      </w:r>
      <w:bookmarkStart w:id="2" w:name="_GoBack"/>
      <w:bookmarkEnd w:id="2"/>
      <w:r>
        <w:rPr>
          <w:rFonts w:hint="default" w:ascii="Times New Roman" w:hAnsi="Times New Roman" w:eastAsia="方正楷体_GBK" w:cs="Times New Roman"/>
          <w:szCs w:val="20"/>
        </w:rPr>
        <w:t xml:space="preserve">日         </w:t>
      </w:r>
    </w:p>
    <w:p>
      <w:pPr>
        <w:spacing w:line="580" w:lineRule="exact"/>
        <w:jc w:val="center"/>
        <w:rPr>
          <w:rFonts w:hint="default" w:ascii="Times New Roman" w:hAnsi="Times New Roman" w:eastAsia="方正楷体_GBK" w:cs="Times New Roman"/>
          <w:color w:val="000000"/>
          <w:sz w:val="44"/>
          <w:szCs w:val="44"/>
        </w:rPr>
        <w:sectPr>
          <w:pgSz w:w="11906" w:h="16838"/>
          <w:pgMar w:top="1984" w:right="1446" w:bottom="1644" w:left="1446" w:header="851" w:footer="1474" w:gutter="0"/>
          <w:cols w:space="0" w:num="1"/>
          <w:docGrid w:type="linesAndChars" w:linePitch="600" w:charSpace="5466"/>
        </w:sect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both"/>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新桥街道</w:t>
      </w:r>
      <w:r>
        <w:rPr>
          <w:rFonts w:hint="eastAsia" w:ascii="Times New Roman" w:hAnsi="Times New Roman" w:eastAsia="方正小标宋_GBK" w:cs="方正小标宋_GBK"/>
          <w:b w:val="0"/>
          <w:bCs w:val="0"/>
          <w:sz w:val="44"/>
          <w:szCs w:val="44"/>
        </w:rPr>
        <w:t>2025</w:t>
      </w:r>
      <w:r>
        <w:rPr>
          <w:rFonts w:hint="eastAsia" w:ascii="方正小标宋_GBK" w:hAnsi="方正小标宋_GBK" w:eastAsia="方正小标宋_GBK" w:cs="方正小标宋_GBK"/>
          <w:b w:val="0"/>
          <w:bCs w:val="0"/>
          <w:sz w:val="44"/>
          <w:szCs w:val="44"/>
        </w:rPr>
        <w:t>年春节期间燃放</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楷体" w:hAnsi="楷体" w:eastAsia="楷体" w:cs="楷体"/>
          <w:b/>
          <w:bCs/>
          <w:sz w:val="44"/>
          <w:szCs w:val="44"/>
        </w:rPr>
      </w:pPr>
      <w:r>
        <w:rPr>
          <w:rFonts w:hint="eastAsia" w:ascii="方正小标宋_GBK" w:hAnsi="方正小标宋_GBK" w:eastAsia="方正小标宋_GBK" w:cs="方正小标宋_GBK"/>
          <w:b w:val="0"/>
          <w:bCs w:val="0"/>
          <w:sz w:val="44"/>
          <w:szCs w:val="44"/>
        </w:rPr>
        <w:t>烟花爆竹安全管理工作方案</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为深入贯彻党的二十届二中、三中全会精神，全面落实市委六届历次全会精神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区委十三届历次全会精神</w:t>
      </w:r>
      <w:r>
        <w:rPr>
          <w:rFonts w:hint="eastAsia" w:ascii="方正仿宋_GBK" w:hAnsi="方正仿宋_GBK" w:eastAsia="方正仿宋_GBK" w:cs="方正仿宋_GBK"/>
          <w:sz w:val="32"/>
          <w:szCs w:val="32"/>
        </w:rPr>
        <w:t>，认真落实宣传发动、排查隐患、打击非法、管控看护等措施，</w:t>
      </w:r>
      <w:r>
        <w:rPr>
          <w:rFonts w:hint="eastAsia" w:ascii="Times New Roman" w:hAnsi="Times New Roman" w:eastAsia="方正仿宋_GBK" w:cs="仿宋"/>
          <w:sz w:val="32"/>
          <w:szCs w:val="20"/>
        </w:rPr>
        <w:t>切实减少大气污染、改善城区环境、维护公共安全，</w:t>
      </w:r>
      <w:r>
        <w:rPr>
          <w:rFonts w:hint="eastAsia" w:ascii="方正仿宋_GBK" w:hAnsi="方正仿宋_GBK" w:eastAsia="方正仿宋_GBK" w:cs="方正仿宋_GBK"/>
          <w:sz w:val="32"/>
          <w:szCs w:val="32"/>
        </w:rPr>
        <w:t>确保《重庆区燃放烟花爆竹管理条例》（以下简称《条例》）执行到位。</w:t>
      </w:r>
      <w:r>
        <w:rPr>
          <w:rFonts w:hint="eastAsia" w:ascii="Times New Roman" w:hAnsi="Times New Roman" w:eastAsia="方正仿宋_GBK" w:cs="仿宋"/>
          <w:sz w:val="32"/>
          <w:szCs w:val="20"/>
        </w:rPr>
        <w:t>按照《</w:t>
      </w:r>
      <w:r>
        <w:rPr>
          <w:rFonts w:hint="eastAsia" w:ascii="方正仿宋_GBK" w:hAnsi="方正仿宋_GBK" w:eastAsia="方正仿宋_GBK" w:cs="方正仿宋_GBK"/>
          <w:sz w:val="32"/>
          <w:szCs w:val="32"/>
        </w:rPr>
        <w:t>中共重庆市委平安重庆建设暨防范化解重大风险领导小组办公室</w:t>
      </w:r>
      <w:r>
        <w:rPr>
          <w:rFonts w:hint="eastAsia" w:ascii="Times New Roman" w:hAnsi="Times New Roman" w:eastAsia="方正仿宋_GBK" w:cs="仿宋"/>
          <w:sz w:val="32"/>
          <w:szCs w:val="20"/>
        </w:rPr>
        <w:t>关于</w:t>
      </w:r>
      <w:r>
        <w:rPr>
          <w:rFonts w:hint="eastAsia" w:ascii="Times New Roman" w:hAnsi="Times New Roman" w:eastAsia="方正仿宋_GBK" w:cs="仿宋"/>
          <w:sz w:val="32"/>
          <w:szCs w:val="20"/>
          <w:lang w:val="en-US" w:eastAsia="zh-CN"/>
        </w:rPr>
        <w:t>转发社会治安组〈</w:t>
      </w:r>
      <w:r>
        <w:rPr>
          <w:rFonts w:hint="eastAsia" w:ascii="Times New Roman" w:hAnsi="Times New Roman" w:eastAsia="方正仿宋_GBK" w:cs="仿宋"/>
          <w:sz w:val="32"/>
          <w:szCs w:val="20"/>
        </w:rPr>
        <w:t>2025年春节期间燃放烟花爆竹安全管理工作重点任务</w:t>
      </w:r>
      <w:r>
        <w:rPr>
          <w:rFonts w:hint="eastAsia" w:ascii="Times New Roman" w:hAnsi="Times New Roman" w:eastAsia="方正仿宋_GBK" w:cs="仿宋"/>
          <w:sz w:val="32"/>
          <w:szCs w:val="20"/>
          <w:lang w:val="en-US" w:eastAsia="zh-CN"/>
        </w:rPr>
        <w:t>〉</w:t>
      </w:r>
      <w:r>
        <w:rPr>
          <w:rFonts w:hint="eastAsia" w:ascii="Times New Roman" w:hAnsi="Times New Roman" w:eastAsia="方正仿宋_GBK" w:cs="仿宋"/>
          <w:sz w:val="32"/>
          <w:szCs w:val="20"/>
        </w:rPr>
        <w:t>的通知》</w:t>
      </w:r>
      <w:r>
        <w:rPr>
          <w:rFonts w:hint="eastAsia" w:ascii="Times New Roman" w:hAnsi="Times New Roman" w:eastAsia="方正仿宋_GBK" w:cs="仿宋"/>
          <w:sz w:val="32"/>
          <w:szCs w:val="20"/>
          <w:lang w:eastAsia="zh-CN"/>
        </w:rPr>
        <w:t>（</w:t>
      </w:r>
      <w:r>
        <w:rPr>
          <w:rFonts w:hint="eastAsia" w:ascii="Times New Roman" w:hAnsi="Times New Roman" w:eastAsia="方正仿宋_GBK" w:cs="仿宋"/>
          <w:sz w:val="32"/>
          <w:szCs w:val="20"/>
          <w:lang w:val="en-US" w:eastAsia="zh-CN"/>
        </w:rPr>
        <w:t>渝平安办〔2024〕15号</w:t>
      </w:r>
      <w:r>
        <w:rPr>
          <w:rFonts w:hint="eastAsia" w:ascii="Times New Roman" w:hAnsi="Times New Roman" w:eastAsia="方正仿宋_GBK" w:cs="仿宋"/>
          <w:sz w:val="32"/>
          <w:szCs w:val="20"/>
          <w:lang w:eastAsia="zh-CN"/>
        </w:rPr>
        <w:t>）</w:t>
      </w:r>
      <w:r>
        <w:rPr>
          <w:rFonts w:hint="eastAsia" w:ascii="Times New Roman" w:hAnsi="Times New Roman" w:eastAsia="方正仿宋_GBK" w:cs="仿宋"/>
          <w:sz w:val="32"/>
          <w:szCs w:val="20"/>
        </w:rPr>
        <w:t>要求，结合</w:t>
      </w:r>
      <w:r>
        <w:rPr>
          <w:rFonts w:hint="eastAsia" w:cs="仿宋"/>
          <w:sz w:val="32"/>
          <w:szCs w:val="20"/>
          <w:lang w:eastAsia="zh-CN"/>
        </w:rPr>
        <w:t>我街道</w:t>
      </w:r>
      <w:r>
        <w:rPr>
          <w:rFonts w:hint="eastAsia" w:ascii="Times New Roman" w:hAnsi="Times New Roman" w:eastAsia="方正仿宋_GBK" w:cs="仿宋"/>
          <w:sz w:val="32"/>
          <w:szCs w:val="20"/>
        </w:rPr>
        <w:t>实际，特制订本方案。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加强组织统筹。</w:t>
      </w:r>
      <w:r>
        <w:rPr>
          <w:rFonts w:ascii="方正仿宋_GBK" w:hAnsi="方正仿宋_GBK" w:eastAsia="方正仿宋_GBK"/>
          <w:color w:val="000000"/>
          <w:kern w:val="0"/>
          <w:sz w:val="32"/>
          <w:szCs w:val="32"/>
        </w:rPr>
        <w:t>各</w:t>
      </w:r>
      <w:r>
        <w:rPr>
          <w:rFonts w:hint="eastAsia" w:ascii="方正仿宋_GBK" w:hAnsi="方正仿宋_GBK"/>
          <w:color w:val="000000"/>
          <w:kern w:val="0"/>
          <w:sz w:val="32"/>
          <w:szCs w:val="32"/>
          <w:lang w:eastAsia="zh-CN"/>
        </w:rPr>
        <w:t>社区、</w:t>
      </w:r>
      <w:r>
        <w:rPr>
          <w:rFonts w:hint="eastAsia" w:ascii="方正仿宋_GBK" w:hAnsi="方正仿宋_GBK" w:eastAsia="方正仿宋_GBK"/>
          <w:color w:val="000000"/>
          <w:kern w:val="0"/>
          <w:sz w:val="32"/>
          <w:szCs w:val="32"/>
        </w:rPr>
        <w:t>各成员</w:t>
      </w:r>
      <w:r>
        <w:rPr>
          <w:rFonts w:ascii="方正仿宋_GBK" w:hAnsi="方正仿宋_GBK" w:eastAsia="方正仿宋_GBK"/>
          <w:color w:val="000000"/>
          <w:kern w:val="0"/>
          <w:sz w:val="32"/>
          <w:szCs w:val="32"/>
        </w:rPr>
        <w:t>单位</w:t>
      </w:r>
      <w:r>
        <w:rPr>
          <w:rFonts w:hint="eastAsia" w:ascii="方正仿宋_GBK" w:hAnsi="方正仿宋_GBK" w:eastAsia="方正仿宋_GBK"/>
          <w:color w:val="000000"/>
          <w:kern w:val="0"/>
          <w:sz w:val="32"/>
          <w:szCs w:val="32"/>
        </w:rPr>
        <w:t>和</w:t>
      </w:r>
      <w:r>
        <w:rPr>
          <w:rFonts w:hint="eastAsia" w:ascii="方正仿宋_GBK" w:hAnsi="方正仿宋_GBK" w:cs="方正仿宋_GBK"/>
          <w:sz w:val="32"/>
          <w:szCs w:val="32"/>
          <w:lang w:eastAsia="zh-CN"/>
        </w:rPr>
        <w:t>街道相</w:t>
      </w:r>
      <w:r>
        <w:rPr>
          <w:rFonts w:hint="eastAsia" w:ascii="方正仿宋_GBK" w:hAnsi="方正仿宋_GBK" w:eastAsia="方正仿宋_GBK" w:cs="方正仿宋_GBK"/>
          <w:sz w:val="32"/>
          <w:szCs w:val="32"/>
        </w:rPr>
        <w:t>关</w:t>
      </w:r>
      <w:r>
        <w:rPr>
          <w:rFonts w:hint="eastAsia" w:ascii="方正仿宋_GBK" w:hAnsi="方正仿宋_GBK" w:cs="方正仿宋_GBK"/>
          <w:sz w:val="32"/>
          <w:szCs w:val="32"/>
          <w:lang w:eastAsia="zh-CN"/>
        </w:rPr>
        <w:t>岗位</w:t>
      </w:r>
      <w:r>
        <w:rPr>
          <w:rFonts w:hint="eastAsia" w:ascii="方正仿宋_GBK" w:hAnsi="方正仿宋_GBK" w:eastAsia="方正仿宋_GBK" w:cs="方正仿宋_GBK"/>
          <w:sz w:val="32"/>
          <w:szCs w:val="32"/>
        </w:rPr>
        <w:t>要充分认识做好燃放烟花爆竹安全管理工作的重要意义，以“时时放心不下”的责任感，坚守安全红线，树牢底线思维，加强组织统筹。</w:t>
      </w: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强化统筹组织、基层属地管理、行业部门监督指导、社会单位自管自治，进一步固化完善情况通报、会商研判、线索转递、执法检查等工作机制，切实形成工作合力和齐抓共管的工作局面。</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各</w:t>
      </w:r>
      <w:r>
        <w:rPr>
          <w:rFonts w:hint="eastAsia" w:ascii="方正仿宋_GBK" w:hAnsi="方正仿宋_GBK" w:cs="方正仿宋_GBK"/>
          <w:sz w:val="32"/>
          <w:szCs w:val="32"/>
          <w:lang w:eastAsia="zh-CN"/>
        </w:rPr>
        <w:t>社区</w:t>
      </w:r>
      <w:r>
        <w:rPr>
          <w:rFonts w:hint="eastAsia" w:ascii="方正仿宋_GBK" w:hAnsi="方正仿宋_GBK" w:eastAsia="方正仿宋_GBK" w:cs="方正仿宋_GBK"/>
          <w:sz w:val="32"/>
          <w:szCs w:val="32"/>
        </w:rPr>
        <w:t>和</w:t>
      </w:r>
      <w:r>
        <w:rPr>
          <w:rFonts w:hint="eastAsia" w:ascii="方正仿宋_GBK" w:hAnsi="方正仿宋_GBK" w:cs="方正仿宋_GBK"/>
          <w:sz w:val="32"/>
          <w:szCs w:val="32"/>
          <w:lang w:eastAsia="zh-CN"/>
        </w:rPr>
        <w:t>相</w:t>
      </w:r>
      <w:r>
        <w:rPr>
          <w:rFonts w:hint="eastAsia" w:ascii="方正仿宋_GBK" w:hAnsi="方正仿宋_GBK" w:eastAsia="方正仿宋_GBK" w:cs="方正仿宋_GBK"/>
          <w:sz w:val="32"/>
          <w:szCs w:val="32"/>
        </w:rPr>
        <w:t>关</w:t>
      </w:r>
      <w:r>
        <w:rPr>
          <w:rFonts w:hint="eastAsia" w:ascii="方正仿宋_GBK" w:hAnsi="方正仿宋_GBK" w:cs="方正仿宋_GBK"/>
          <w:sz w:val="32"/>
          <w:szCs w:val="32"/>
          <w:lang w:eastAsia="zh-CN"/>
        </w:rPr>
        <w:t>岗位</w:t>
      </w:r>
      <w:r>
        <w:rPr>
          <w:rFonts w:hint="eastAsia" w:ascii="方正仿宋_GBK" w:hAnsi="方正仿宋_GBK" w:eastAsia="方正仿宋_GBK" w:cs="方正仿宋_GBK"/>
          <w:sz w:val="32"/>
          <w:szCs w:val="32"/>
        </w:rPr>
        <w:t>从即日起，要立即启动本地区、本</w:t>
      </w:r>
      <w:r>
        <w:rPr>
          <w:rFonts w:hint="eastAsia" w:ascii="方正仿宋_GBK" w:hAnsi="方正仿宋_GBK" w:cs="方正仿宋_GBK"/>
          <w:sz w:val="32"/>
          <w:szCs w:val="32"/>
          <w:lang w:eastAsia="zh-CN"/>
        </w:rPr>
        <w:t>岗位</w:t>
      </w:r>
      <w:r>
        <w:rPr>
          <w:rFonts w:hint="eastAsia" w:ascii="Times New Roman" w:hAnsi="Times New Roman" w:eastAsia="方正仿宋_GBK" w:cs="方正仿宋_GBK"/>
          <w:sz w:val="32"/>
          <w:szCs w:val="32"/>
        </w:rPr>
        <w:t>2025</w:t>
      </w:r>
      <w:r>
        <w:rPr>
          <w:rFonts w:hint="eastAsia" w:ascii="方正仿宋_GBK" w:hAnsi="方正仿宋_GBK" w:eastAsia="方正仿宋_GBK" w:cs="方正仿宋_GBK"/>
          <w:sz w:val="32"/>
          <w:szCs w:val="32"/>
        </w:rPr>
        <w:t>年春节燃管工作，按照组织部署有方案、阶段推进有计划、部署落实有记录、贯彻执行有督导的“四有”标准，结合实际制定方案，层层抓好贯彻落实。</w:t>
      </w:r>
      <w:r>
        <w:rPr>
          <w:rFonts w:hint="eastAsia" w:ascii="方正仿宋_GBK" w:hAnsi="方正仿宋_GBK" w:eastAsia="方正仿宋_GBK" w:cs="方正仿宋_GBK"/>
          <w:b/>
          <w:bCs/>
          <w:sz w:val="32"/>
          <w:szCs w:val="32"/>
        </w:rPr>
        <w:t>三是</w:t>
      </w:r>
      <w:r>
        <w:rPr>
          <w:rFonts w:hint="eastAsia" w:ascii="方正仿宋_GBK" w:hAnsi="方正仿宋_GBK" w:cs="方正仿宋_GBK"/>
          <w:sz w:val="32"/>
          <w:szCs w:val="32"/>
          <w:lang w:eastAsia="zh-CN"/>
        </w:rPr>
        <w:t>各社区</w:t>
      </w:r>
      <w:r>
        <w:rPr>
          <w:rFonts w:hint="eastAsia" w:ascii="方正仿宋_GBK" w:hAnsi="方正仿宋_GBK" w:eastAsia="方正仿宋_GBK" w:cs="方正仿宋_GBK"/>
          <w:sz w:val="32"/>
          <w:szCs w:val="32"/>
        </w:rPr>
        <w:t>要参照</w:t>
      </w:r>
      <w:r>
        <w:rPr>
          <w:rFonts w:hint="eastAsia" w:ascii="方正仿宋_GBK" w:hAnsi="方正仿宋_GBK" w:cs="方正仿宋_GBK"/>
          <w:sz w:val="32"/>
          <w:szCs w:val="32"/>
          <w:lang w:eastAsia="zh-CN"/>
        </w:rPr>
        <w:t>街道</w:t>
      </w:r>
      <w:r>
        <w:rPr>
          <w:rFonts w:hint="eastAsia" w:ascii="方正仿宋_GBK" w:hAnsi="方正仿宋_GBK" w:eastAsia="方正仿宋_GBK" w:cs="方正仿宋_GBK"/>
          <w:sz w:val="32"/>
          <w:szCs w:val="32"/>
        </w:rPr>
        <w:t>模式组建工作专班，</w:t>
      </w:r>
      <w:r>
        <w:rPr>
          <w:rFonts w:hint="eastAsia" w:ascii="方正仿宋_GBK" w:hAnsi="方正仿宋_GBK" w:cs="方正仿宋_GBK"/>
          <w:sz w:val="32"/>
          <w:szCs w:val="32"/>
          <w:lang w:eastAsia="zh-CN"/>
        </w:rPr>
        <w:t>街道</w:t>
      </w:r>
      <w:r>
        <w:rPr>
          <w:rFonts w:hint="eastAsia" w:ascii="方正仿宋_GBK" w:hAnsi="方正仿宋_GBK" w:eastAsia="方正仿宋_GBK" w:cs="方正仿宋_GBK"/>
          <w:sz w:val="32"/>
          <w:szCs w:val="32"/>
        </w:rPr>
        <w:t xml:space="preserve">燃管办各成员单位要确定分管负责人和联络员负责烟花爆竹安全管理工作，确保各项工作有力有序有效推进。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lang w:eastAsia="zh-CN"/>
        </w:rPr>
        <w:t>二、加强宣传发动。</w:t>
      </w:r>
      <w:r>
        <w:rPr>
          <w:rFonts w:hint="eastAsia" w:ascii="方正仿宋_GBK" w:hAnsi="方正仿宋_GBK" w:eastAsia="方正仿宋_GBK" w:cs="方正仿宋_GBK"/>
          <w:sz w:val="32"/>
          <w:szCs w:val="32"/>
        </w:rPr>
        <w:t>各</w:t>
      </w:r>
      <w:r>
        <w:rPr>
          <w:rFonts w:hint="eastAsia" w:ascii="方正仿宋_GBK" w:hAnsi="方正仿宋_GBK" w:cs="方正仿宋_GBK"/>
          <w:sz w:val="32"/>
          <w:szCs w:val="32"/>
          <w:lang w:eastAsia="zh-CN"/>
        </w:rPr>
        <w:t>社区</w:t>
      </w:r>
      <w:r>
        <w:rPr>
          <w:rFonts w:hint="eastAsia" w:ascii="方正仿宋_GBK" w:hAnsi="方正仿宋_GBK" w:eastAsia="方正仿宋_GBK" w:cs="方正仿宋_GBK"/>
          <w:sz w:val="32"/>
          <w:szCs w:val="32"/>
        </w:rPr>
        <w:t>和</w:t>
      </w:r>
      <w:r>
        <w:rPr>
          <w:rFonts w:hint="eastAsia" w:ascii="方正仿宋_GBK" w:hAnsi="方正仿宋_GBK" w:cs="方正仿宋_GBK"/>
          <w:sz w:val="32"/>
          <w:szCs w:val="32"/>
          <w:lang w:eastAsia="zh-CN"/>
        </w:rPr>
        <w:t>相</w:t>
      </w:r>
      <w:r>
        <w:rPr>
          <w:rFonts w:hint="eastAsia" w:ascii="方正仿宋_GBK" w:hAnsi="方正仿宋_GBK" w:eastAsia="方正仿宋_GBK" w:cs="方正仿宋_GBK"/>
          <w:sz w:val="32"/>
          <w:szCs w:val="32"/>
        </w:rPr>
        <w:t>关</w:t>
      </w:r>
      <w:r>
        <w:rPr>
          <w:rFonts w:hint="eastAsia" w:ascii="方正仿宋_GBK" w:hAnsi="方正仿宋_GBK" w:cs="方正仿宋_GBK"/>
          <w:sz w:val="32"/>
          <w:szCs w:val="32"/>
          <w:lang w:eastAsia="zh-CN"/>
        </w:rPr>
        <w:t>岗位、</w:t>
      </w:r>
      <w:r>
        <w:rPr>
          <w:rFonts w:hint="eastAsia" w:ascii="方正仿宋_GBK" w:hAnsi="方正仿宋_GBK" w:eastAsia="方正仿宋_GBK" w:cs="方正仿宋_GBK"/>
          <w:sz w:val="32"/>
          <w:szCs w:val="32"/>
        </w:rPr>
        <w:t>相关单位要充分利用“新闻媒体、网络平台、手机软件、楼宇电视”等资源，广泛采取“横幅标语、发放资料、会议部署、公益广告和短信微信”等方式，按照《条例》规定的禁放区内禁售、禁存、禁放要求，立即启动相关宣传工作。</w:t>
      </w: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宣传发动要坚持“十进”（进机关大院、进驻渝机构、进影剧院站、进公交地铁、进宾馆酒店、进工地、进部队、进学校、进社区、进农村）、“十有”（电视有影、广播有声、报纸有字、网上有点击、道路有横幅、小区有展板、手机有提示、单位有活动、面上有标识、群众有共识）的要求，将“沙坪坝区全域禁售禁放”理念贯穿始终，加大社会面宣传力度，营造良好的舆论氛围。</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针对未成年人燃放烟花爆竹炸伤烧伤易发多发情况，突出未成年人和监护人的安全教育。</w:t>
      </w:r>
      <w:r>
        <w:rPr>
          <w:rFonts w:hint="eastAsia" w:ascii="方正仿宋_GBK" w:hAnsi="方正仿宋_GBK" w:eastAsia="方正仿宋_GBK" w:cs="方正仿宋_GBK"/>
          <w:b/>
          <w:bCs/>
          <w:sz w:val="32"/>
          <w:szCs w:val="32"/>
        </w:rPr>
        <w:t>三是</w:t>
      </w:r>
      <w:r>
        <w:rPr>
          <w:rFonts w:hint="eastAsia" w:ascii="Times New Roman" w:hAnsi="Times New Roman" w:eastAsia="方正仿宋_GBK" w:cs="方正仿宋_GBK"/>
          <w:sz w:val="32"/>
          <w:szCs w:val="32"/>
        </w:rPr>
        <w:t>2025</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18</w:t>
      </w:r>
      <w:r>
        <w:rPr>
          <w:rFonts w:hint="eastAsia" w:ascii="方正仿宋_GBK" w:hAnsi="方正仿宋_GBK" w:eastAsia="方正仿宋_GBK" w:cs="方正仿宋_GBK"/>
          <w:sz w:val="32"/>
          <w:szCs w:val="32"/>
        </w:rPr>
        <w:t>日（星期六）为“全市燃放烟花爆竹安全管理集中宣传日”，</w:t>
      </w:r>
      <w:r>
        <w:rPr>
          <w:rFonts w:hint="eastAsia" w:ascii="方正仿宋_GBK" w:hAnsi="方正仿宋_GBK" w:cs="方正仿宋_GBK"/>
          <w:sz w:val="32"/>
          <w:szCs w:val="32"/>
          <w:lang w:eastAsia="zh-CN"/>
        </w:rPr>
        <w:t>街道</w:t>
      </w:r>
      <w:r>
        <w:rPr>
          <w:rFonts w:hint="eastAsia" w:ascii="方正仿宋_GBK" w:hAnsi="方正仿宋_GBK" w:eastAsia="方正仿宋_GBK" w:cs="方正仿宋_GBK"/>
          <w:sz w:val="32"/>
          <w:szCs w:val="32"/>
        </w:rPr>
        <w:t>燃管办、</w:t>
      </w:r>
      <w:r>
        <w:rPr>
          <w:rFonts w:hint="eastAsia"/>
          <w:sz w:val="32"/>
          <w:szCs w:val="20"/>
          <w:lang w:eastAsia="zh-CN"/>
        </w:rPr>
        <w:t>街道相关岗位</w:t>
      </w:r>
      <w:r>
        <w:rPr>
          <w:rFonts w:hint="eastAsia" w:ascii="Times New Roman" w:hAnsi="Times New Roman" w:eastAsia="方正仿宋_GBK"/>
          <w:sz w:val="32"/>
          <w:szCs w:val="20"/>
        </w:rPr>
        <w:t>、</w:t>
      </w:r>
      <w:r>
        <w:rPr>
          <w:rFonts w:hint="eastAsia" w:ascii="方正仿宋_GBK" w:hAnsi="方正仿宋_GBK" w:cs="方正仿宋_GBK"/>
          <w:sz w:val="32"/>
          <w:szCs w:val="32"/>
          <w:lang w:eastAsia="zh-CN"/>
        </w:rPr>
        <w:t>各社区</w:t>
      </w:r>
      <w:r>
        <w:rPr>
          <w:rFonts w:hint="eastAsia" w:ascii="方正仿宋_GBK" w:hAnsi="方正仿宋_GBK" w:eastAsia="方正仿宋_GBK" w:cs="方正仿宋_GBK"/>
          <w:sz w:val="32"/>
          <w:szCs w:val="32"/>
        </w:rPr>
        <w:t xml:space="preserve">要分层分级组织开展集中宣传活动。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lang w:eastAsia="zh-CN"/>
        </w:rPr>
        <w:t>三、加强排查整治。</w:t>
      </w:r>
      <w:r>
        <w:rPr>
          <w:rFonts w:hint="eastAsia" w:ascii="方正仿宋_GBK" w:hAnsi="方正仿宋_GBK" w:eastAsia="方正仿宋_GBK" w:cs="方正仿宋_GBK"/>
          <w:sz w:val="32"/>
          <w:szCs w:val="32"/>
        </w:rPr>
        <w:t>各</w:t>
      </w:r>
      <w:r>
        <w:rPr>
          <w:rFonts w:hint="eastAsia" w:ascii="方正仿宋_GBK" w:hAnsi="方正仿宋_GBK" w:cs="方正仿宋_GBK"/>
          <w:sz w:val="32"/>
          <w:szCs w:val="32"/>
          <w:lang w:eastAsia="zh-CN"/>
        </w:rPr>
        <w:t>社区</w:t>
      </w:r>
      <w:r>
        <w:rPr>
          <w:rFonts w:hint="eastAsia" w:ascii="方正仿宋_GBK" w:hAnsi="方正仿宋_GBK" w:eastAsia="方正仿宋_GBK" w:cs="方正仿宋_GBK"/>
          <w:sz w:val="32"/>
          <w:szCs w:val="32"/>
        </w:rPr>
        <w:t>和</w:t>
      </w:r>
      <w:r>
        <w:rPr>
          <w:rFonts w:hint="eastAsia" w:ascii="方正仿宋_GBK" w:hAnsi="方正仿宋_GBK" w:cs="方正仿宋_GBK"/>
          <w:sz w:val="32"/>
          <w:szCs w:val="32"/>
          <w:lang w:eastAsia="zh-CN"/>
        </w:rPr>
        <w:t>相</w:t>
      </w:r>
      <w:r>
        <w:rPr>
          <w:rFonts w:hint="eastAsia" w:ascii="方正仿宋_GBK" w:hAnsi="方正仿宋_GBK" w:eastAsia="方正仿宋_GBK" w:cs="方正仿宋_GBK"/>
          <w:sz w:val="32"/>
          <w:szCs w:val="32"/>
        </w:rPr>
        <w:t>关</w:t>
      </w:r>
      <w:r>
        <w:rPr>
          <w:rFonts w:hint="eastAsia" w:ascii="方正仿宋_GBK" w:hAnsi="方正仿宋_GBK" w:cs="方正仿宋_GBK"/>
          <w:sz w:val="32"/>
          <w:szCs w:val="32"/>
          <w:lang w:eastAsia="zh-CN"/>
        </w:rPr>
        <w:t>岗位</w:t>
      </w:r>
      <w:r>
        <w:rPr>
          <w:rFonts w:hint="eastAsia" w:ascii="方正仿宋_GBK" w:hAnsi="方正仿宋_GBK" w:eastAsia="方正仿宋_GBK" w:cs="方正仿宋_GBK"/>
          <w:sz w:val="32"/>
          <w:szCs w:val="32"/>
        </w:rPr>
        <w:t>、相关单位要</w:t>
      </w:r>
      <w:r>
        <w:rPr>
          <w:rFonts w:hint="eastAsia" w:ascii="Times New Roman" w:hAnsi="Times New Roman" w:eastAsia="方正仿宋_GBK"/>
          <w:sz w:val="32"/>
          <w:szCs w:val="20"/>
        </w:rPr>
        <w:t>深入开展安全检查、隐患排查整治，制定工作措施，及时消除各类安全隐患。要突出重点</w:t>
      </w:r>
      <w:r>
        <w:rPr>
          <w:rFonts w:ascii="Times New Roman" w:hAnsi="Times New Roman" w:eastAsia="方正仿宋_GBK"/>
          <w:sz w:val="32"/>
          <w:szCs w:val="20"/>
        </w:rPr>
        <w:t>，对</w:t>
      </w:r>
      <w:r>
        <w:rPr>
          <w:rFonts w:hint="eastAsia" w:ascii="Times New Roman" w:hAnsi="Times New Roman" w:eastAsia="方正仿宋_GBK"/>
          <w:sz w:val="32"/>
          <w:szCs w:val="20"/>
        </w:rPr>
        <w:t>重点部位开展“拉网式”排查，确保除险清患</w:t>
      </w:r>
      <w:r>
        <w:rPr>
          <w:rFonts w:hint="eastAsia" w:ascii="方正仿宋_GBK" w:hAnsi="方正仿宋_GBK" w:eastAsia="方正仿宋_GBK" w:cs="方正仿宋_GBK"/>
          <w:sz w:val="32"/>
          <w:szCs w:val="32"/>
        </w:rPr>
        <w:t>，严防各类案件事故发生。</w:t>
      </w:r>
      <w:r>
        <w:rPr>
          <w:rFonts w:hint="eastAsia" w:ascii="方正仿宋_GBK" w:hAnsi="方正仿宋_GBK" w:eastAsia="方正仿宋_GBK" w:cs="方正仿宋_GBK"/>
          <w:b/>
          <w:bCs/>
          <w:sz w:val="32"/>
          <w:szCs w:val="32"/>
        </w:rPr>
        <w:t>一是</w:t>
      </w:r>
      <w:r>
        <w:rPr>
          <w:rFonts w:hint="eastAsia"/>
          <w:sz w:val="32"/>
          <w:szCs w:val="20"/>
          <w:lang w:eastAsia="zh-CN"/>
        </w:rPr>
        <w:t>应急消防武装岗</w:t>
      </w:r>
      <w:r>
        <w:rPr>
          <w:rFonts w:hint="eastAsia" w:ascii="Times New Roman" w:hAnsi="Times New Roman" w:eastAsia="方正仿宋_GBK"/>
          <w:sz w:val="32"/>
          <w:szCs w:val="20"/>
        </w:rPr>
        <w:t>要牵头开展烟花爆竹“打非治违”工作，依法查处非法生产、销售、储存烟花爆竹的行为，依法查处涉及烟花爆竹生产、经营的安全事故；督促指导危险化学品生产、经营单位开展安全风险隐患排查整治和烟花爆竹禁放宣传，落实重点目标安全守护措施。</w:t>
      </w:r>
      <w:r>
        <w:rPr>
          <w:rFonts w:hint="eastAsia" w:ascii="方正仿宋_GBK" w:hAnsi="方正仿宋_GBK" w:eastAsia="方正仿宋_GBK" w:cs="方正仿宋_GBK"/>
          <w:b/>
          <w:bCs/>
          <w:sz w:val="32"/>
          <w:szCs w:val="32"/>
        </w:rPr>
        <w:t>二是</w:t>
      </w:r>
      <w:r>
        <w:rPr>
          <w:rFonts w:hint="eastAsia" w:ascii="方正仿宋_GBK" w:hAnsi="方正仿宋_GBK" w:cs="方正仿宋_GBK"/>
          <w:sz w:val="32"/>
          <w:szCs w:val="32"/>
          <w:lang w:eastAsia="zh-CN"/>
        </w:rPr>
        <w:t>新桥派出所</w:t>
      </w:r>
      <w:r>
        <w:rPr>
          <w:rFonts w:hint="eastAsia" w:ascii="方正仿宋_GBK" w:hAnsi="方正仿宋_GBK" w:eastAsia="方正仿宋_GBK" w:cs="方正仿宋_GBK"/>
          <w:sz w:val="32"/>
          <w:szCs w:val="32"/>
        </w:rPr>
        <w:t>要严把道路运输许可关，严格审核相关企业、人员、车辆资质和产品质量合格证明，依法核发运输许可；加大对烟花爆竹道路运输活动的监督执法力度，严密管控措施，严防运输安全事故；会同</w:t>
      </w:r>
      <w:r>
        <w:rPr>
          <w:rFonts w:hint="eastAsia" w:ascii="方正仿宋_GBK" w:hAnsi="方正仿宋_GBK" w:cs="方正仿宋_GBK"/>
          <w:sz w:val="32"/>
          <w:szCs w:val="32"/>
          <w:lang w:eastAsia="zh-CN"/>
        </w:rPr>
        <w:t>城市建设岗</w:t>
      </w:r>
      <w:r>
        <w:rPr>
          <w:rFonts w:hint="eastAsia" w:ascii="方正仿宋_GBK" w:hAnsi="方正仿宋_GBK" w:eastAsia="方正仿宋_GBK" w:cs="方正仿宋_GBK"/>
          <w:sz w:val="32"/>
          <w:szCs w:val="32"/>
        </w:rPr>
        <w:t>从源头加强危险物品道路运输从业单位和人员管理；会同属地</w:t>
      </w:r>
      <w:r>
        <w:rPr>
          <w:rFonts w:hint="eastAsia" w:ascii="方正仿宋_GBK" w:hAnsi="方正仿宋_GBK" w:cs="方正仿宋_GBK"/>
          <w:sz w:val="32"/>
          <w:szCs w:val="32"/>
          <w:lang w:eastAsia="zh-CN"/>
        </w:rPr>
        <w:t>社区</w:t>
      </w:r>
      <w:r>
        <w:rPr>
          <w:rFonts w:hint="eastAsia" w:ascii="方正仿宋_GBK" w:hAnsi="方正仿宋_GBK" w:eastAsia="方正仿宋_GBK" w:cs="方正仿宋_GBK"/>
          <w:sz w:val="32"/>
          <w:szCs w:val="32"/>
        </w:rPr>
        <w:t>加强</w:t>
      </w:r>
      <w:r>
        <w:rPr>
          <w:rFonts w:hint="eastAsia" w:ascii="方正仿宋_GBK" w:hAnsi="仿宋" w:eastAsia="方正仿宋_GBK" w:cs="仿宋"/>
          <w:kern w:val="0"/>
          <w:sz w:val="32"/>
          <w:szCs w:val="32"/>
        </w:rPr>
        <w:t>中心广场、繁华街区、网红</w:t>
      </w:r>
      <w:r>
        <w:rPr>
          <w:rFonts w:ascii="方正仿宋_GBK" w:hAnsi="仿宋" w:eastAsia="方正仿宋_GBK" w:cs="仿宋"/>
          <w:kern w:val="0"/>
          <w:sz w:val="32"/>
          <w:szCs w:val="32"/>
        </w:rPr>
        <w:t>景点、</w:t>
      </w:r>
      <w:r>
        <w:rPr>
          <w:rFonts w:hint="eastAsia" w:ascii="方正仿宋_GBK" w:hAnsi="仿宋" w:eastAsia="方正仿宋_GBK" w:cs="仿宋"/>
          <w:kern w:val="0"/>
          <w:sz w:val="32"/>
          <w:szCs w:val="32"/>
        </w:rPr>
        <w:t>集贸市场、居民区等人员密集场所以及江边滩涂的值守管控</w:t>
      </w:r>
      <w:r>
        <w:rPr>
          <w:rFonts w:hint="eastAsia" w:ascii="方正仿宋_GBK" w:hAnsi="方正仿宋_GBK" w:eastAsia="方正仿宋_GBK" w:cs="方正仿宋_GBK"/>
          <w:sz w:val="32"/>
          <w:szCs w:val="32"/>
        </w:rPr>
        <w:t>，发现违规违法燃放行为及时劝导制止，严防</w:t>
      </w:r>
      <w:r>
        <w:rPr>
          <w:rFonts w:ascii="方正仿宋_GBK" w:hAnsi="仿宋" w:eastAsia="方正仿宋_GBK" w:cs="仿宋"/>
          <w:kern w:val="0"/>
          <w:sz w:val="32"/>
          <w:szCs w:val="32"/>
        </w:rPr>
        <w:t>群众自发形成</w:t>
      </w:r>
      <w:r>
        <w:rPr>
          <w:rFonts w:hint="eastAsia" w:ascii="方正仿宋_GBK" w:hAnsi="仿宋" w:eastAsia="方正仿宋_GBK" w:cs="仿宋"/>
          <w:kern w:val="0"/>
          <w:sz w:val="32"/>
          <w:szCs w:val="32"/>
        </w:rPr>
        <w:t>聚集“</w:t>
      </w:r>
      <w:r>
        <w:rPr>
          <w:rFonts w:ascii="方正仿宋_GBK" w:hAnsi="仿宋" w:eastAsia="方正仿宋_GBK" w:cs="仿宋"/>
          <w:kern w:val="0"/>
          <w:sz w:val="32"/>
          <w:szCs w:val="32"/>
        </w:rPr>
        <w:t>燃放</w:t>
      </w:r>
      <w:r>
        <w:rPr>
          <w:rFonts w:hint="eastAsia" w:ascii="方正仿宋_GBK" w:hAnsi="仿宋" w:eastAsia="方正仿宋_GBK" w:cs="仿宋"/>
          <w:kern w:val="0"/>
          <w:sz w:val="32"/>
          <w:szCs w:val="32"/>
        </w:rPr>
        <w:t>点”</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bCs/>
          <w:sz w:val="32"/>
          <w:szCs w:val="32"/>
        </w:rPr>
        <w:t>三是</w:t>
      </w:r>
      <w:r>
        <w:rPr>
          <w:rFonts w:hint="eastAsia" w:ascii="方正仿宋_GBK" w:hAnsi="方正仿宋_GBK" w:eastAsia="方正仿宋_GBK" w:cs="方正仿宋_GBK"/>
          <w:sz w:val="32"/>
          <w:szCs w:val="32"/>
        </w:rPr>
        <w:t>各</w:t>
      </w:r>
      <w:r>
        <w:rPr>
          <w:rFonts w:hint="eastAsia" w:ascii="方正仿宋_GBK" w:hAnsi="方正仿宋_GBK" w:cs="方正仿宋_GBK"/>
          <w:sz w:val="32"/>
          <w:szCs w:val="32"/>
          <w:lang w:eastAsia="zh-CN"/>
        </w:rPr>
        <w:t>社区</w:t>
      </w:r>
      <w:r>
        <w:rPr>
          <w:rFonts w:hint="eastAsia" w:ascii="方正仿宋_GBK" w:hAnsi="方正仿宋_GBK" w:eastAsia="方正仿宋_GBK"/>
          <w:color w:val="000000"/>
          <w:kern w:val="0"/>
          <w:sz w:val="32"/>
          <w:szCs w:val="32"/>
        </w:rPr>
        <w:t>和各成员</w:t>
      </w:r>
      <w:r>
        <w:rPr>
          <w:rFonts w:ascii="方正仿宋_GBK" w:hAnsi="方正仿宋_GBK" w:eastAsia="方正仿宋_GBK"/>
          <w:color w:val="000000"/>
          <w:kern w:val="0"/>
          <w:sz w:val="32"/>
          <w:szCs w:val="32"/>
        </w:rPr>
        <w:t>单位</w:t>
      </w:r>
      <w:r>
        <w:rPr>
          <w:rFonts w:hint="eastAsia" w:ascii="Times New Roman" w:hAnsi="Times New Roman" w:eastAsia="方正仿宋_GBK"/>
          <w:spacing w:val="4"/>
          <w:sz w:val="32"/>
          <w:szCs w:val="20"/>
        </w:rPr>
        <w:t>要对本辖区、本行业、本系统开展隐患排查整治，制定工作措施，做到安全隐患“发现即整改、整改即落实、落实有复查”，及时消除各类安全风险。对“楼宇平台、地面建筑、地下空间”等重点区域场所开展“地毯式”滚动排查，确保发现隐患彻底、整改措施坚决、复查结果严格。</w:t>
      </w:r>
      <w:r>
        <w:rPr>
          <w:rFonts w:hint="eastAsia" w:ascii="方正仿宋_GBK" w:hAnsi="方正仿宋_GBK" w:eastAsia="方正仿宋_GBK" w:cs="方正仿宋_GBK"/>
          <w:b/>
          <w:bCs/>
          <w:sz w:val="32"/>
          <w:szCs w:val="32"/>
        </w:rPr>
        <w:t>四是</w:t>
      </w:r>
      <w:r>
        <w:rPr>
          <w:rFonts w:hint="eastAsia" w:ascii="方正仿宋_GBK" w:hAnsi="方正仿宋_GBK" w:cs="方正仿宋_GBK"/>
          <w:sz w:val="32"/>
          <w:szCs w:val="32"/>
          <w:highlight w:val="none"/>
          <w:lang w:eastAsia="zh-CN"/>
        </w:rPr>
        <w:t>城市管理岗</w:t>
      </w:r>
      <w:r>
        <w:rPr>
          <w:rFonts w:hint="eastAsia" w:ascii="方正仿宋_GBK" w:hAnsi="方正仿宋_GBK" w:eastAsia="方正仿宋_GBK" w:cs="方正仿宋_GBK"/>
          <w:sz w:val="32"/>
          <w:szCs w:val="32"/>
          <w:highlight w:val="none"/>
        </w:rPr>
        <w:t>和楼宇小区物业公司要在临近春节时组织清掏化粪池、</w:t>
      </w:r>
      <w:r>
        <w:rPr>
          <w:rFonts w:hint="eastAsia" w:ascii="方正仿宋_GBK" w:hAnsi="方正仿宋_GBK" w:eastAsia="方正仿宋_GBK" w:cs="方正仿宋_GBK"/>
          <w:sz w:val="32"/>
          <w:szCs w:val="32"/>
        </w:rPr>
        <w:t>生化处理池等地下管网设施，开展易燃易爆气体监测，设置醒目的安全警示标识，落实巡查守护措施，消除安全隐患。</w:t>
      </w:r>
      <w:r>
        <w:rPr>
          <w:rFonts w:hint="eastAsia" w:ascii="方正仿宋_GBK" w:hAnsi="方正仿宋_GBK" w:eastAsia="方正仿宋_GBK" w:cs="方正仿宋_GBK"/>
          <w:b/>
          <w:bCs/>
          <w:sz w:val="32"/>
          <w:szCs w:val="32"/>
        </w:rPr>
        <w:t>五是</w:t>
      </w:r>
      <w:r>
        <w:rPr>
          <w:rFonts w:hint="eastAsia"/>
          <w:sz w:val="32"/>
          <w:szCs w:val="20"/>
          <w:lang w:eastAsia="zh-CN"/>
        </w:rPr>
        <w:t>应急消防武装岗</w:t>
      </w:r>
      <w:r>
        <w:rPr>
          <w:rFonts w:hint="eastAsia" w:ascii="方正仿宋_GBK" w:hAnsi="方正仿宋_GBK" w:eastAsia="方正仿宋_GBK" w:cs="方正仿宋_GBK"/>
          <w:sz w:val="32"/>
          <w:szCs w:val="32"/>
        </w:rPr>
        <w:t xml:space="preserve">要适时组织开展可燃物清理和浇湿阻燃专项行动，降低节日期间火情灾害风险。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lang w:eastAsia="zh-CN"/>
        </w:rPr>
        <w:t>四、加强联动执法。</w:t>
      </w:r>
      <w:r>
        <w:rPr>
          <w:rFonts w:hint="eastAsia" w:ascii="方正仿宋_GBK" w:hAnsi="方正仿宋_GBK"/>
          <w:color w:val="000000"/>
          <w:kern w:val="0"/>
          <w:sz w:val="32"/>
          <w:szCs w:val="32"/>
          <w:lang w:eastAsia="zh-CN"/>
        </w:rPr>
        <w:t>各社区</w:t>
      </w:r>
      <w:r>
        <w:rPr>
          <w:rFonts w:hint="eastAsia" w:ascii="方正仿宋_GBK" w:hAnsi="方正仿宋_GBK" w:eastAsia="方正仿宋_GBK" w:cs="方正仿宋_GBK"/>
          <w:sz w:val="32"/>
          <w:szCs w:val="32"/>
        </w:rPr>
        <w:t>要公布举报电话，鼓励市民积极检举违法行为，严格落实“点上查私售、面上查私存、道路查私运、禁放区查私放”，加强区域合作、联动执法，对侦办中发现的生产、经营企业和寄递物流、互联网公司的违法违规行为，及时通报行政主管</w:t>
      </w:r>
      <w:r>
        <w:rPr>
          <w:rFonts w:hint="eastAsia" w:ascii="方正仿宋_GBK" w:hAnsi="方正仿宋_GBK" w:cs="方正仿宋_GBK"/>
          <w:sz w:val="32"/>
          <w:szCs w:val="32"/>
          <w:lang w:eastAsia="zh-CN"/>
        </w:rPr>
        <w:t>岗位</w:t>
      </w:r>
      <w:r>
        <w:rPr>
          <w:rFonts w:hint="eastAsia" w:ascii="方正仿宋_GBK" w:hAnsi="方正仿宋_GBK" w:eastAsia="方正仿宋_GBK" w:cs="方正仿宋_GBK"/>
          <w:sz w:val="32"/>
          <w:szCs w:val="32"/>
        </w:rPr>
        <w:t>依法处罚。</w:t>
      </w:r>
      <w:r>
        <w:rPr>
          <w:rFonts w:hint="eastAsia" w:ascii="方正仿宋_GBK" w:hAnsi="方正仿宋_GBK" w:eastAsia="方正仿宋_GBK" w:cs="方正仿宋_GBK"/>
          <w:b/>
          <w:bCs/>
          <w:sz w:val="32"/>
          <w:szCs w:val="32"/>
        </w:rPr>
        <w:t>一是</w:t>
      </w:r>
      <w:r>
        <w:rPr>
          <w:rFonts w:hint="eastAsia"/>
          <w:sz w:val="32"/>
          <w:szCs w:val="20"/>
          <w:lang w:eastAsia="zh-CN"/>
        </w:rPr>
        <w:t>应急消防武装岗</w:t>
      </w:r>
      <w:r>
        <w:rPr>
          <w:rFonts w:hint="eastAsia" w:ascii="方正仿宋_GBK" w:hAnsi="方正仿宋_GBK" w:eastAsia="方正仿宋_GBK" w:cs="方正仿宋_GBK"/>
          <w:sz w:val="32"/>
          <w:szCs w:val="32"/>
        </w:rPr>
        <w:t>要加大“打非治违”工作力度，依法查处非法生产、销售、储存烟花爆竹的行为，依法查处涉及烟花爆竹生产、经营的安全事故。</w:t>
      </w:r>
      <w:r>
        <w:rPr>
          <w:rFonts w:hint="eastAsia" w:ascii="方正仿宋_GBK" w:hAnsi="方正仿宋_GBK" w:eastAsia="方正仿宋_GBK" w:cs="方正仿宋_GBK"/>
          <w:b/>
          <w:bCs/>
          <w:sz w:val="32"/>
          <w:szCs w:val="32"/>
        </w:rPr>
        <w:t>二是</w:t>
      </w:r>
      <w:r>
        <w:rPr>
          <w:rFonts w:hint="eastAsia" w:ascii="方正仿宋_GBK" w:hAnsi="方正仿宋_GBK" w:cs="方正仿宋_GBK"/>
          <w:sz w:val="32"/>
          <w:szCs w:val="32"/>
          <w:lang w:eastAsia="zh-CN"/>
        </w:rPr>
        <w:t>新桥派出所</w:t>
      </w:r>
      <w:r>
        <w:rPr>
          <w:rFonts w:hint="eastAsia" w:ascii="方正仿宋_GBK" w:hAnsi="方正仿宋_GBK" w:eastAsia="方正仿宋_GBK" w:cs="方正仿宋_GBK"/>
          <w:sz w:val="32"/>
          <w:szCs w:val="32"/>
        </w:rPr>
        <w:t>要依法查处非法运输、燃放烟花爆竹的行为，以</w:t>
      </w:r>
      <w:r>
        <w:rPr>
          <w:rFonts w:hint="eastAsia" w:ascii="Times New Roman" w:hAnsi="Times New Roman" w:eastAsia="方正仿宋_GBK"/>
          <w:spacing w:val="4"/>
          <w:sz w:val="32"/>
          <w:szCs w:val="20"/>
        </w:rPr>
        <w:t>入区各高速公路、省道、国道和绕城高速公路为重点</w:t>
      </w:r>
      <w:r>
        <w:rPr>
          <w:rFonts w:hint="eastAsia" w:ascii="方正仿宋_GBK" w:hAnsi="方正仿宋_GBK" w:eastAsia="方正仿宋_GBK" w:cs="方正仿宋_GBK"/>
          <w:sz w:val="32"/>
          <w:szCs w:val="32"/>
        </w:rPr>
        <w:t>，加大道路运输检查频次，依法查处无证运输以及违反运输许可事项等违法行为，会同邮政、交通运输部门加大对寄递物流渠道非法运输烟花爆竹的查处打击力度，及时侦办非法生产、经营、运输烟花爆竹的刑事案件。</w:t>
      </w:r>
      <w:r>
        <w:rPr>
          <w:rFonts w:hint="eastAsia" w:ascii="方正仿宋_GBK" w:hAnsi="方正仿宋_GBK" w:eastAsia="方正仿宋_GBK" w:cs="方正仿宋_GBK"/>
          <w:b/>
          <w:bCs/>
          <w:sz w:val="32"/>
          <w:szCs w:val="32"/>
        </w:rPr>
        <w:t>三是</w:t>
      </w:r>
      <w:r>
        <w:rPr>
          <w:rFonts w:hint="eastAsia"/>
          <w:sz w:val="32"/>
          <w:szCs w:val="20"/>
          <w:lang w:eastAsia="zh-CN"/>
        </w:rPr>
        <w:t>应急消防武装岗</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eastAsia="zh-CN"/>
        </w:rPr>
        <w:t>新桥派出所</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eastAsia="zh-CN"/>
        </w:rPr>
        <w:t>新桥市场监管所</w:t>
      </w:r>
      <w:r>
        <w:rPr>
          <w:rFonts w:hint="eastAsia" w:ascii="方正仿宋_GBK" w:hAnsi="方正仿宋_GBK" w:eastAsia="方正仿宋_GBK" w:cs="方正仿宋_GBK"/>
          <w:sz w:val="32"/>
          <w:szCs w:val="32"/>
        </w:rPr>
        <w:t>要密切配合严查违规销售礼花弹以及不符合强制性国家标准产品的行为，严防礼花弹、摔炮、鱼雷、加装隔板垫板的“假大空”组合烟花等各类违禁、超标烟花爆竹流入我</w:t>
      </w:r>
      <w:r>
        <w:rPr>
          <w:rFonts w:hint="eastAsia" w:ascii="方正仿宋_GBK" w:hAnsi="方正仿宋_GBK" w:cs="方正仿宋_GBK"/>
          <w:sz w:val="32"/>
          <w:szCs w:val="32"/>
          <w:lang w:eastAsia="zh-CN"/>
        </w:rPr>
        <w:t>街道</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bCs/>
          <w:sz w:val="32"/>
          <w:szCs w:val="32"/>
        </w:rPr>
        <w:t>四是</w:t>
      </w:r>
      <w:r>
        <w:rPr>
          <w:rFonts w:hint="eastAsia" w:ascii="方正仿宋_GBK" w:hAnsi="方正仿宋_GBK" w:cs="方正仿宋_GBK"/>
          <w:sz w:val="32"/>
          <w:szCs w:val="32"/>
          <w:lang w:eastAsia="zh-CN"/>
        </w:rPr>
        <w:t>城市建设岗</w:t>
      </w:r>
      <w:r>
        <w:rPr>
          <w:rFonts w:hint="eastAsia" w:ascii="方正仿宋_GBK" w:hAnsi="方正仿宋_GBK" w:eastAsia="方正仿宋_GBK" w:cs="方正仿宋_GBK"/>
          <w:sz w:val="32"/>
          <w:szCs w:val="32"/>
        </w:rPr>
        <w:t>要督促火车站、长途汽车站、码头、公交枢纽、轨道客运站点等交通枢纽落实“进站安检、保安巡查”等制度，防止非法携带烟花爆竹，对执法检查发现的和其他</w:t>
      </w:r>
      <w:r>
        <w:rPr>
          <w:rFonts w:hint="eastAsia" w:ascii="方正仿宋_GBK" w:hAnsi="方正仿宋_GBK" w:cs="方正仿宋_GBK"/>
          <w:sz w:val="32"/>
          <w:szCs w:val="32"/>
          <w:lang w:eastAsia="zh-CN"/>
        </w:rPr>
        <w:t>岗位</w:t>
      </w:r>
      <w:r>
        <w:rPr>
          <w:rFonts w:hint="eastAsia" w:ascii="方正仿宋_GBK" w:hAnsi="方正仿宋_GBK" w:eastAsia="方正仿宋_GBK" w:cs="方正仿宋_GBK"/>
          <w:sz w:val="32"/>
          <w:szCs w:val="32"/>
        </w:rPr>
        <w:t>移送的违反交通行业法规的违法案件实施处罚。</w:t>
      </w:r>
      <w:r>
        <w:rPr>
          <w:rFonts w:hint="eastAsia" w:ascii="方正仿宋_GBK" w:hAnsi="方正仿宋_GBK" w:eastAsia="方正仿宋_GBK" w:cs="方正仿宋_GBK"/>
          <w:b/>
          <w:bCs/>
          <w:sz w:val="32"/>
          <w:szCs w:val="32"/>
        </w:rPr>
        <w:t>五是</w:t>
      </w:r>
      <w:r>
        <w:rPr>
          <w:rFonts w:hint="eastAsia" w:ascii="方正仿宋_GBK" w:hAnsi="方正仿宋_GBK" w:cs="方正仿宋_GBK"/>
          <w:sz w:val="32"/>
          <w:szCs w:val="32"/>
          <w:lang w:eastAsia="zh-CN"/>
        </w:rPr>
        <w:t>城市管理岗</w:t>
      </w:r>
      <w:r>
        <w:rPr>
          <w:rFonts w:hint="eastAsia" w:ascii="方正仿宋_GBK" w:hAnsi="方正仿宋_GBK" w:eastAsia="方正仿宋_GBK" w:cs="方正仿宋_GBK"/>
          <w:sz w:val="32"/>
          <w:szCs w:val="32"/>
        </w:rPr>
        <w:t>要依法查处街面无证摊贩兜售烟花爆竹的行为。</w:t>
      </w:r>
      <w:r>
        <w:rPr>
          <w:rFonts w:hint="eastAsia" w:ascii="方正仿宋_GBK" w:hAnsi="方正仿宋_GBK" w:eastAsia="方正仿宋_GBK" w:cs="方正仿宋_GBK"/>
          <w:b/>
          <w:bCs/>
          <w:sz w:val="32"/>
          <w:szCs w:val="32"/>
        </w:rPr>
        <w:t>六是</w:t>
      </w:r>
      <w:r>
        <w:rPr>
          <w:rFonts w:hint="eastAsia" w:ascii="方正仿宋_GBK" w:hAnsi="方正仿宋_GBK" w:cs="方正仿宋_GBK"/>
          <w:b w:val="0"/>
          <w:bCs w:val="0"/>
          <w:sz w:val="32"/>
          <w:szCs w:val="32"/>
          <w:lang w:val="en-US" w:eastAsia="zh-CN"/>
        </w:rPr>
        <w:t>宣传工作岗</w:t>
      </w:r>
      <w:r>
        <w:rPr>
          <w:rFonts w:hint="eastAsia" w:ascii="方正仿宋_GBK" w:hAnsi="方正仿宋_GBK" w:eastAsia="方正仿宋_GBK" w:cs="方正仿宋_GBK"/>
          <w:b w:val="0"/>
          <w:bCs w:val="0"/>
          <w:sz w:val="32"/>
          <w:szCs w:val="32"/>
        </w:rPr>
        <w:t>、</w:t>
      </w:r>
      <w:r>
        <w:rPr>
          <w:rFonts w:hint="eastAsia" w:ascii="方正仿宋_GBK" w:hAnsi="方正仿宋_GBK" w:cs="方正仿宋_GBK"/>
          <w:b w:val="0"/>
          <w:bCs w:val="0"/>
          <w:sz w:val="32"/>
          <w:szCs w:val="32"/>
          <w:lang w:val="en-US" w:eastAsia="zh-CN"/>
        </w:rPr>
        <w:t>新桥派出所</w:t>
      </w:r>
      <w:r>
        <w:rPr>
          <w:rFonts w:hint="eastAsia" w:ascii="方正仿宋_GBK" w:hAnsi="方正仿宋_GBK" w:eastAsia="方正仿宋_GBK" w:cs="方正仿宋_GBK"/>
          <w:b w:val="0"/>
          <w:bCs w:val="0"/>
          <w:sz w:val="32"/>
          <w:szCs w:val="32"/>
        </w:rPr>
        <w:t>等</w:t>
      </w:r>
      <w:r>
        <w:rPr>
          <w:rFonts w:hint="eastAsia" w:ascii="方正仿宋_GBK" w:hAnsi="方正仿宋_GBK" w:cs="方正仿宋_GBK"/>
          <w:sz w:val="32"/>
          <w:szCs w:val="32"/>
          <w:lang w:eastAsia="zh-CN"/>
        </w:rPr>
        <w:t>相关岗位</w:t>
      </w:r>
      <w:r>
        <w:rPr>
          <w:rFonts w:hint="eastAsia" w:ascii="方正仿宋_GBK" w:hAnsi="方正仿宋_GBK" w:eastAsia="方正仿宋_GBK" w:cs="方正仿宋_GBK"/>
          <w:sz w:val="32"/>
          <w:szCs w:val="32"/>
        </w:rPr>
        <w:t xml:space="preserve">要大力开展涉烟花爆竹网上违法犯罪打击整治工作，严防烟花爆竹通过网络渠道非法销售。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lang w:eastAsia="zh-CN"/>
        </w:rPr>
        <w:t>五、加强应急处置。</w:t>
      </w:r>
      <w:r>
        <w:rPr>
          <w:rFonts w:hint="eastAsia" w:ascii="方正仿宋_GBK" w:hAnsi="方正仿宋_GBK" w:cs="方正仿宋_GBK"/>
          <w:sz w:val="32"/>
          <w:szCs w:val="32"/>
          <w:lang w:eastAsia="zh-CN"/>
        </w:rPr>
        <w:t>各社区和街道相关岗位</w:t>
      </w:r>
      <w:r>
        <w:rPr>
          <w:rFonts w:hint="eastAsia" w:ascii="方正仿宋_GBK" w:hAnsi="方正仿宋_GBK" w:eastAsia="方正仿宋_GBK" w:cs="方正仿宋_GBK"/>
          <w:sz w:val="32"/>
          <w:szCs w:val="32"/>
        </w:rPr>
        <w:t>、相关单位要认真做好春节期间燃放烟花爆竹安全管理和应急处置各项工作。</w:t>
      </w: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严格落实重点时段监管措施。在除夕、正月初一、正月初五、元宵等燃放烟花爆竹重点时段，各</w:t>
      </w:r>
      <w:r>
        <w:rPr>
          <w:rFonts w:hint="eastAsia" w:ascii="方正仿宋_GBK" w:hAnsi="方正仿宋_GBK" w:cs="方正仿宋_GBK"/>
          <w:sz w:val="32"/>
          <w:szCs w:val="32"/>
          <w:lang w:eastAsia="zh-CN"/>
        </w:rPr>
        <w:t>社区</w:t>
      </w:r>
      <w:r>
        <w:rPr>
          <w:rFonts w:hint="eastAsia" w:ascii="方正仿宋_GBK" w:hAnsi="方正仿宋_GBK" w:eastAsia="方正仿宋_GBK" w:cs="方正仿宋_GBK"/>
          <w:sz w:val="32"/>
          <w:szCs w:val="32"/>
        </w:rPr>
        <w:t>要按照“网格化”管理要求，定人定岗定责，紧盯重要部位，落实禁限放、燃放管控看护，并综合运用明察暗访、无人机空中探查和视频巡查等方式，确保各项措施落实到位。</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加强突发事件处置。</w:t>
      </w:r>
      <w:r>
        <w:rPr>
          <w:rFonts w:hint="eastAsia" w:ascii="方正仿宋_GBK" w:hAnsi="方正仿宋_GBK" w:cs="方正仿宋_GBK"/>
          <w:sz w:val="32"/>
          <w:szCs w:val="32"/>
          <w:lang w:eastAsia="zh-CN"/>
        </w:rPr>
        <w:t>各社区和街道相关岗位</w:t>
      </w:r>
      <w:r>
        <w:rPr>
          <w:rFonts w:hint="eastAsia" w:ascii="方正仿宋_GBK" w:hAnsi="方正仿宋_GBK" w:eastAsia="方正仿宋_GBK" w:cs="方正仿宋_GBK"/>
          <w:sz w:val="32"/>
          <w:szCs w:val="32"/>
        </w:rPr>
        <w:t>、相关单位要认真做好春节期间的应急处置准备。</w:t>
      </w:r>
      <w:r>
        <w:rPr>
          <w:rFonts w:hint="eastAsia" w:ascii="方正仿宋_GBK" w:hAnsi="方正仿宋_GBK" w:cs="方正仿宋_GBK"/>
          <w:sz w:val="32"/>
          <w:szCs w:val="32"/>
          <w:lang w:eastAsia="zh-CN"/>
        </w:rPr>
        <w:t>新桥派出所</w:t>
      </w:r>
      <w:r>
        <w:rPr>
          <w:rFonts w:hint="eastAsia" w:ascii="方正仿宋_GBK" w:hAnsi="方正仿宋_GBK" w:eastAsia="方正仿宋_GBK" w:cs="方正仿宋_GBK"/>
          <w:sz w:val="32"/>
          <w:szCs w:val="32"/>
        </w:rPr>
        <w:t>要提升社会面巡逻防控勤务等级，加强街面巡逻和重点目标管控。</w:t>
      </w:r>
      <w:r>
        <w:rPr>
          <w:rFonts w:hint="eastAsia" w:ascii="方正仿宋_GBK" w:hAnsi="方正仿宋_GBK" w:cs="方正仿宋_GBK"/>
          <w:sz w:val="32"/>
          <w:szCs w:val="32"/>
          <w:lang w:eastAsia="zh-CN"/>
        </w:rPr>
        <w:t>应急消防武装岗</w:t>
      </w:r>
      <w:r>
        <w:rPr>
          <w:rFonts w:hint="eastAsia" w:ascii="方正仿宋_GBK" w:hAnsi="方正仿宋_GBK" w:eastAsia="方正仿宋_GBK" w:cs="方正仿宋_GBK"/>
          <w:sz w:val="32"/>
          <w:szCs w:val="32"/>
        </w:rPr>
        <w:t>要制定工作预案，组织开展实战演练，强化战备值班，落实消防车在重点区域、道路驻防，确保第一时间开展先期火情处置。</w:t>
      </w:r>
      <w:r>
        <w:rPr>
          <w:rFonts w:hint="eastAsia" w:ascii="方正仿宋_GBK" w:hAnsi="方正仿宋_GBK" w:cs="方正仿宋_GBK"/>
          <w:sz w:val="32"/>
          <w:szCs w:val="32"/>
          <w:lang w:eastAsia="zh-CN"/>
        </w:rPr>
        <w:t>民政卫健岗</w:t>
      </w:r>
      <w:r>
        <w:rPr>
          <w:rFonts w:hint="eastAsia" w:ascii="方正仿宋_GBK" w:hAnsi="方正仿宋_GBK" w:eastAsia="方正仿宋_GBK" w:cs="方正仿宋_GBK"/>
          <w:sz w:val="32"/>
          <w:szCs w:val="32"/>
        </w:rPr>
        <w:t>要组织各级医疗机构制定伤员救治工作预案，确保受伤人员及时得到救治。</w:t>
      </w:r>
      <w:r>
        <w:rPr>
          <w:rFonts w:hint="eastAsia" w:ascii="方正仿宋_GBK" w:hAnsi="方正仿宋_GBK" w:eastAsia="方正仿宋_GBK" w:cs="方正仿宋_GBK"/>
          <w:b/>
          <w:bCs/>
          <w:sz w:val="32"/>
          <w:szCs w:val="32"/>
        </w:rPr>
        <w:t>三是</w:t>
      </w:r>
      <w:r>
        <w:rPr>
          <w:rFonts w:hint="eastAsia" w:ascii="方正仿宋_GBK" w:hAnsi="方正仿宋_GBK" w:eastAsia="方正仿宋_GBK" w:cs="方正仿宋_GBK"/>
          <w:sz w:val="32"/>
          <w:szCs w:val="32"/>
        </w:rPr>
        <w:t>加强空气质量监测预警。</w:t>
      </w:r>
      <w:r>
        <w:rPr>
          <w:rFonts w:hint="eastAsia" w:ascii="方正仿宋_GBK" w:hAnsi="方正仿宋_GBK" w:cs="方正仿宋_GBK"/>
          <w:sz w:val="32"/>
          <w:szCs w:val="32"/>
          <w:lang w:eastAsia="zh-CN"/>
        </w:rPr>
        <w:t>环保征收岗</w:t>
      </w:r>
      <w:r>
        <w:rPr>
          <w:rFonts w:hint="eastAsia" w:ascii="方正仿宋_GBK" w:hAnsi="方正仿宋_GBK" w:eastAsia="方正仿宋_GBK" w:cs="方正仿宋_GBK"/>
          <w:sz w:val="32"/>
          <w:szCs w:val="32"/>
        </w:rPr>
        <w:t xml:space="preserve">要负责做好空气质量状况及变化趋势的分析和预测工作，如遇不利气象条件，及时按照重污染天气应急预案要求开展相关工作，全力争取完成改善大气环境质量目标。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1933" w:leftChars="304" w:hanging="960" w:hangingChars="3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2025</w:t>
      </w:r>
      <w:r>
        <w:rPr>
          <w:rFonts w:hint="eastAsia" w:ascii="方正仿宋_GBK" w:hAnsi="方正仿宋_GBK" w:eastAsia="方正仿宋_GBK" w:cs="方正仿宋_GBK"/>
          <w:sz w:val="32"/>
          <w:szCs w:val="32"/>
        </w:rPr>
        <w:t>年春节禁放管控“网格化、实名制”情况统计表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920" w:firstLineChars="6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bookmarkStart w:id="0" w:name="OLE_LINK5"/>
      <w:bookmarkStart w:id="1" w:name="OLE_LINK4"/>
      <w:r>
        <w:rPr>
          <w:rFonts w:hint="eastAsia" w:ascii="方正仿宋_GBK" w:hAnsi="方正仿宋_GBK" w:eastAsia="方正仿宋_GBK" w:cs="方正仿宋_GBK"/>
          <w:sz w:val="32"/>
          <w:szCs w:val="32"/>
        </w:rPr>
        <w:t>．</w:t>
      </w:r>
      <w:bookmarkEnd w:id="0"/>
      <w:bookmarkEnd w:id="1"/>
      <w:r>
        <w:rPr>
          <w:rFonts w:hint="eastAsia" w:ascii="方正仿宋_GBK" w:hAnsi="方正仿宋_GBK" w:eastAsia="方正仿宋_GBK" w:cs="方正仿宋_GBK"/>
          <w:sz w:val="32"/>
          <w:szCs w:val="32"/>
        </w:rPr>
        <w:t>各</w:t>
      </w:r>
      <w:r>
        <w:rPr>
          <w:rFonts w:hint="eastAsia" w:ascii="方正仿宋_GBK" w:hAnsi="方正仿宋_GBK" w:cs="方正仿宋_GBK"/>
          <w:sz w:val="32"/>
          <w:szCs w:val="32"/>
          <w:lang w:eastAsia="zh-CN"/>
        </w:rPr>
        <w:t>岗位、各社区</w:t>
      </w:r>
      <w:r>
        <w:rPr>
          <w:rFonts w:hint="eastAsia" w:ascii="方正仿宋_GBK" w:hAnsi="方正仿宋_GBK" w:eastAsia="方正仿宋_GBK" w:cs="方正仿宋_GBK"/>
          <w:sz w:val="32"/>
          <w:szCs w:val="32"/>
        </w:rPr>
        <w:t>职责任务分工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spacing w:line="570" w:lineRule="exact"/>
        <w:rPr>
          <w:rFonts w:hint="eastAsia" w:ascii="方正黑体_GBK" w:hAnsi="方正黑体_GBK" w:eastAsia="方正黑体_GBK"/>
          <w:sz w:val="32"/>
          <w:szCs w:val="32"/>
        </w:rPr>
      </w:pPr>
    </w:p>
    <w:p>
      <w:pPr>
        <w:spacing w:line="570" w:lineRule="exact"/>
        <w:rPr>
          <w:rFonts w:hint="eastAsia" w:ascii="方正黑体_GBK" w:hAnsi="方正黑体_GBK" w:eastAsia="方正黑体_GBK"/>
          <w:sz w:val="32"/>
          <w:szCs w:val="32"/>
        </w:rPr>
      </w:pPr>
      <w:r>
        <w:rPr>
          <w:rFonts w:hint="eastAsia" w:ascii="方正黑体_GBK" w:hAnsi="方正黑体_GBK" w:eastAsia="方正黑体_GBK"/>
          <w:sz w:val="32"/>
          <w:szCs w:val="32"/>
        </w:rPr>
        <w:t>附件</w:t>
      </w:r>
      <w:r>
        <w:rPr>
          <w:rFonts w:hint="eastAsia" w:ascii="Times New Roman" w:hAnsi="Times New Roman" w:eastAsia="方正黑体_GBK"/>
          <w:sz w:val="32"/>
          <w:szCs w:val="32"/>
        </w:rPr>
        <w:t>1</w:t>
      </w:r>
    </w:p>
    <w:p>
      <w:pPr>
        <w:spacing w:line="570" w:lineRule="exact"/>
        <w:rPr>
          <w:rFonts w:ascii="方正仿宋_GBK" w:hAnsi="方正仿宋_GBK" w:eastAsia="方正仿宋_GBK"/>
          <w:sz w:val="32"/>
          <w:szCs w:val="32"/>
        </w:rPr>
      </w:pPr>
    </w:p>
    <w:p>
      <w:pPr>
        <w:spacing w:line="570" w:lineRule="exact"/>
        <w:jc w:val="center"/>
        <w:rPr>
          <w:rFonts w:hint="eastAsia" w:ascii="方正小标宋_GBK" w:hAnsi="方正小标宋简体" w:eastAsia="方正小标宋_GBK"/>
          <w:kern w:val="0"/>
          <w:sz w:val="44"/>
          <w:szCs w:val="44"/>
        </w:rPr>
      </w:pPr>
      <w:r>
        <w:rPr>
          <w:rFonts w:hint="eastAsia" w:ascii="Times New Roman" w:hAnsi="Times New Roman" w:eastAsia="方正小标宋_GBK"/>
          <w:kern w:val="0"/>
          <w:sz w:val="44"/>
          <w:szCs w:val="44"/>
        </w:rPr>
        <w:t>2025</w:t>
      </w:r>
      <w:r>
        <w:rPr>
          <w:rFonts w:hint="eastAsia" w:ascii="方正小标宋_GBK" w:hAnsi="方正小标宋简体" w:eastAsia="方正小标宋_GBK"/>
          <w:kern w:val="0"/>
          <w:sz w:val="44"/>
          <w:szCs w:val="44"/>
        </w:rPr>
        <w:t>年春节禁放管控</w:t>
      </w:r>
    </w:p>
    <w:p>
      <w:pPr>
        <w:spacing w:line="570" w:lineRule="exact"/>
        <w:jc w:val="center"/>
        <w:rPr>
          <w:rFonts w:ascii="方正小标宋_GBK" w:hAnsi="方正小标宋简体" w:eastAsia="方正小标宋_GBK"/>
          <w:kern w:val="0"/>
          <w:sz w:val="44"/>
          <w:szCs w:val="44"/>
        </w:rPr>
      </w:pPr>
      <w:r>
        <w:rPr>
          <w:rFonts w:hint="eastAsia" w:ascii="方正小标宋_GBK" w:hAnsi="方正小标宋简体" w:eastAsia="方正小标宋_GBK"/>
          <w:kern w:val="0"/>
          <w:sz w:val="44"/>
          <w:szCs w:val="44"/>
        </w:rPr>
        <w:t>“网格化、实名制”情况统计表</w:t>
      </w:r>
    </w:p>
    <w:p>
      <w:pPr>
        <w:spacing w:line="570" w:lineRule="exact"/>
        <w:jc w:val="center"/>
        <w:rPr>
          <w:rFonts w:ascii="Times New Roman" w:hAnsi="Times New Roman" w:eastAsia="方正小标宋_GBK"/>
          <w:kern w:val="0"/>
          <w:sz w:val="44"/>
          <w:szCs w:val="44"/>
        </w:rPr>
      </w:pPr>
    </w:p>
    <w:p>
      <w:pPr>
        <w:spacing w:line="570" w:lineRule="exact"/>
        <w:rPr>
          <w:rFonts w:ascii="方正仿宋_GBK" w:hAnsi="方正仿宋简体" w:eastAsia="方正仿宋_GBK"/>
          <w:sz w:val="24"/>
          <w:szCs w:val="28"/>
        </w:rPr>
      </w:pPr>
      <w:r>
        <w:rPr>
          <w:rFonts w:hint="eastAsia" w:ascii="方正仿宋_GBK" w:hAnsi="方正仿宋简体" w:eastAsia="方正仿宋_GBK"/>
          <w:sz w:val="24"/>
          <w:szCs w:val="28"/>
        </w:rPr>
        <w:t>填报单位：                                    填报时间：  年   月   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559"/>
        <w:gridCol w:w="2916"/>
        <w:gridCol w:w="567"/>
        <w:gridCol w:w="850"/>
        <w:gridCol w:w="709"/>
        <w:gridCol w:w="672"/>
        <w:gridCol w:w="978"/>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gridSpan w:val="2"/>
            <w:vMerge w:val="restart"/>
            <w:noWrap w:val="0"/>
            <w:vAlign w:val="center"/>
          </w:tcPr>
          <w:p>
            <w:pPr>
              <w:adjustRightInd w:val="0"/>
              <w:snapToGrid w:val="0"/>
              <w:spacing w:line="36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w:t>
            </w:r>
          </w:p>
          <w:p>
            <w:pPr>
              <w:adjustRightInd w:val="0"/>
              <w:snapToGrid w:val="0"/>
              <w:spacing w:line="36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号</w:t>
            </w:r>
          </w:p>
        </w:tc>
        <w:tc>
          <w:tcPr>
            <w:tcW w:w="2916" w:type="dxa"/>
            <w:vMerge w:val="restart"/>
            <w:noWrap w:val="0"/>
            <w:vAlign w:val="center"/>
          </w:tcPr>
          <w:p>
            <w:pPr>
              <w:adjustRightInd w:val="0"/>
              <w:snapToGrid w:val="0"/>
              <w:spacing w:line="36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网格名称</w:t>
            </w:r>
          </w:p>
          <w:p>
            <w:pPr>
              <w:adjustRightInd w:val="0"/>
              <w:snapToGrid w:val="0"/>
              <w:spacing w:line="36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（如××镇、××街道、××村、××社区）</w:t>
            </w:r>
          </w:p>
        </w:tc>
        <w:tc>
          <w:tcPr>
            <w:tcW w:w="2798" w:type="dxa"/>
            <w:gridSpan w:val="4"/>
            <w:noWrap w:val="0"/>
            <w:vAlign w:val="center"/>
          </w:tcPr>
          <w:p>
            <w:pPr>
              <w:adjustRightInd w:val="0"/>
              <w:snapToGrid w:val="0"/>
              <w:spacing w:line="36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网格内管控力量</w:t>
            </w:r>
          </w:p>
          <w:p>
            <w:pPr>
              <w:adjustRightInd w:val="0"/>
              <w:snapToGrid w:val="0"/>
              <w:spacing w:line="36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（人数）</w:t>
            </w:r>
          </w:p>
        </w:tc>
        <w:tc>
          <w:tcPr>
            <w:tcW w:w="2779" w:type="dxa"/>
            <w:gridSpan w:val="2"/>
            <w:noWrap w:val="0"/>
            <w:vAlign w:val="center"/>
          </w:tcPr>
          <w:p>
            <w:pPr>
              <w:adjustRightInd w:val="0"/>
              <w:snapToGrid w:val="0"/>
              <w:spacing w:line="36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责任领导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gridSpan w:val="2"/>
            <w:vMerge w:val="continue"/>
            <w:noWrap w:val="0"/>
            <w:vAlign w:val="center"/>
          </w:tcPr>
          <w:p>
            <w:pPr>
              <w:adjustRightInd w:val="0"/>
              <w:snapToGrid w:val="0"/>
              <w:spacing w:line="360" w:lineRule="exact"/>
              <w:jc w:val="center"/>
              <w:rPr>
                <w:rFonts w:hint="eastAsia" w:ascii="方正黑体_GBK" w:hAnsi="方正黑体_GBK" w:eastAsia="方正黑体_GBK" w:cs="方正黑体_GBK"/>
                <w:sz w:val="28"/>
                <w:szCs w:val="28"/>
              </w:rPr>
            </w:pPr>
          </w:p>
        </w:tc>
        <w:tc>
          <w:tcPr>
            <w:tcW w:w="2916" w:type="dxa"/>
            <w:vMerge w:val="continue"/>
            <w:noWrap w:val="0"/>
            <w:vAlign w:val="center"/>
          </w:tcPr>
          <w:p>
            <w:pPr>
              <w:adjustRightInd w:val="0"/>
              <w:snapToGrid w:val="0"/>
              <w:spacing w:line="360" w:lineRule="exact"/>
              <w:jc w:val="center"/>
              <w:rPr>
                <w:rFonts w:hint="eastAsia" w:ascii="方正黑体_GBK" w:hAnsi="方正黑体_GBK" w:eastAsia="方正黑体_GBK" w:cs="方正黑体_GBK"/>
                <w:sz w:val="28"/>
                <w:szCs w:val="28"/>
              </w:rPr>
            </w:pPr>
          </w:p>
        </w:tc>
        <w:tc>
          <w:tcPr>
            <w:tcW w:w="567" w:type="dxa"/>
            <w:noWrap w:val="0"/>
            <w:vAlign w:val="center"/>
          </w:tcPr>
          <w:p>
            <w:pPr>
              <w:adjustRightInd w:val="0"/>
              <w:snapToGrid w:val="0"/>
              <w:spacing w:line="36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警力</w:t>
            </w:r>
          </w:p>
        </w:tc>
        <w:tc>
          <w:tcPr>
            <w:tcW w:w="850" w:type="dxa"/>
            <w:noWrap w:val="0"/>
            <w:vAlign w:val="center"/>
          </w:tcPr>
          <w:p>
            <w:pPr>
              <w:adjustRightInd w:val="0"/>
              <w:snapToGrid w:val="0"/>
              <w:spacing w:line="36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党政</w:t>
            </w:r>
          </w:p>
          <w:p>
            <w:pPr>
              <w:adjustRightInd w:val="0"/>
              <w:snapToGrid w:val="0"/>
              <w:spacing w:line="36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干部</w:t>
            </w:r>
          </w:p>
        </w:tc>
        <w:tc>
          <w:tcPr>
            <w:tcW w:w="709" w:type="dxa"/>
            <w:noWrap w:val="0"/>
            <w:vAlign w:val="center"/>
          </w:tcPr>
          <w:p>
            <w:pPr>
              <w:adjustRightInd w:val="0"/>
              <w:snapToGrid w:val="0"/>
              <w:spacing w:line="36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社会</w:t>
            </w:r>
          </w:p>
          <w:p>
            <w:pPr>
              <w:adjustRightInd w:val="0"/>
              <w:snapToGrid w:val="0"/>
              <w:spacing w:line="36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力量</w:t>
            </w:r>
          </w:p>
        </w:tc>
        <w:tc>
          <w:tcPr>
            <w:tcW w:w="672" w:type="dxa"/>
            <w:noWrap w:val="0"/>
            <w:vAlign w:val="center"/>
          </w:tcPr>
          <w:p>
            <w:pPr>
              <w:adjustRightInd w:val="0"/>
              <w:snapToGrid w:val="0"/>
              <w:spacing w:line="36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合计</w:t>
            </w:r>
          </w:p>
        </w:tc>
        <w:tc>
          <w:tcPr>
            <w:tcW w:w="978" w:type="dxa"/>
            <w:noWrap w:val="0"/>
            <w:vAlign w:val="center"/>
          </w:tcPr>
          <w:p>
            <w:pPr>
              <w:adjustRightInd w:val="0"/>
              <w:snapToGrid w:val="0"/>
              <w:spacing w:line="36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姓名</w:t>
            </w:r>
          </w:p>
        </w:tc>
        <w:tc>
          <w:tcPr>
            <w:tcW w:w="1801" w:type="dxa"/>
            <w:noWrap w:val="0"/>
            <w:vAlign w:val="center"/>
          </w:tcPr>
          <w:p>
            <w:pPr>
              <w:adjustRightInd w:val="0"/>
              <w:snapToGrid w:val="0"/>
              <w:spacing w:line="36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67" w:hRule="atLeast"/>
          <w:jc w:val="center"/>
        </w:trPr>
        <w:tc>
          <w:tcPr>
            <w:tcW w:w="55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2916"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567"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850"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70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672"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978"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1801" w:type="dxa"/>
            <w:noWrap w:val="0"/>
            <w:vAlign w:val="center"/>
          </w:tcPr>
          <w:p>
            <w:pPr>
              <w:adjustRightInd w:val="0"/>
              <w:snapToGrid w:val="0"/>
              <w:spacing w:line="360" w:lineRule="exact"/>
              <w:jc w:val="center"/>
              <w:rPr>
                <w:rFonts w:ascii="方正仿宋_GBK" w:hAnsi="方正仿宋简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67" w:hRule="atLeast"/>
          <w:jc w:val="center"/>
        </w:trPr>
        <w:tc>
          <w:tcPr>
            <w:tcW w:w="55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2916"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567"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850"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70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672"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978"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1801" w:type="dxa"/>
            <w:noWrap w:val="0"/>
            <w:vAlign w:val="center"/>
          </w:tcPr>
          <w:p>
            <w:pPr>
              <w:adjustRightInd w:val="0"/>
              <w:snapToGrid w:val="0"/>
              <w:spacing w:line="360" w:lineRule="exact"/>
              <w:jc w:val="center"/>
              <w:rPr>
                <w:rFonts w:ascii="方正仿宋_GBK" w:hAnsi="方正仿宋简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67" w:hRule="atLeast"/>
          <w:jc w:val="center"/>
        </w:trPr>
        <w:tc>
          <w:tcPr>
            <w:tcW w:w="55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2916"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567"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850"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70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672"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978"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1801" w:type="dxa"/>
            <w:noWrap w:val="0"/>
            <w:vAlign w:val="center"/>
          </w:tcPr>
          <w:p>
            <w:pPr>
              <w:adjustRightInd w:val="0"/>
              <w:snapToGrid w:val="0"/>
              <w:spacing w:line="360" w:lineRule="exact"/>
              <w:jc w:val="center"/>
              <w:rPr>
                <w:rFonts w:ascii="方正仿宋_GBK" w:hAnsi="方正仿宋简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67" w:hRule="atLeast"/>
          <w:jc w:val="center"/>
        </w:trPr>
        <w:tc>
          <w:tcPr>
            <w:tcW w:w="55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2916"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567"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850"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70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672"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978"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1801" w:type="dxa"/>
            <w:noWrap w:val="0"/>
            <w:vAlign w:val="center"/>
          </w:tcPr>
          <w:p>
            <w:pPr>
              <w:adjustRightInd w:val="0"/>
              <w:snapToGrid w:val="0"/>
              <w:spacing w:line="360" w:lineRule="exact"/>
              <w:jc w:val="center"/>
              <w:rPr>
                <w:rFonts w:ascii="方正仿宋_GBK" w:hAnsi="方正仿宋简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67" w:hRule="atLeast"/>
          <w:jc w:val="center"/>
        </w:trPr>
        <w:tc>
          <w:tcPr>
            <w:tcW w:w="55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2916"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567"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850"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70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672"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978"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1801" w:type="dxa"/>
            <w:noWrap w:val="0"/>
            <w:vAlign w:val="center"/>
          </w:tcPr>
          <w:p>
            <w:pPr>
              <w:adjustRightInd w:val="0"/>
              <w:snapToGrid w:val="0"/>
              <w:spacing w:line="360" w:lineRule="exact"/>
              <w:jc w:val="center"/>
              <w:rPr>
                <w:rFonts w:ascii="方正仿宋_GBK" w:hAnsi="方正仿宋简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67" w:hRule="atLeast"/>
          <w:jc w:val="center"/>
        </w:trPr>
        <w:tc>
          <w:tcPr>
            <w:tcW w:w="55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2916"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567"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850"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70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672"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978"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1801" w:type="dxa"/>
            <w:noWrap w:val="0"/>
            <w:vAlign w:val="center"/>
          </w:tcPr>
          <w:p>
            <w:pPr>
              <w:adjustRightInd w:val="0"/>
              <w:snapToGrid w:val="0"/>
              <w:spacing w:line="360" w:lineRule="exact"/>
              <w:jc w:val="center"/>
              <w:rPr>
                <w:rFonts w:ascii="方正仿宋_GBK" w:hAnsi="方正仿宋简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67" w:hRule="atLeast"/>
          <w:jc w:val="center"/>
        </w:trPr>
        <w:tc>
          <w:tcPr>
            <w:tcW w:w="55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2916"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567"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850"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70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672"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978"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1801" w:type="dxa"/>
            <w:noWrap w:val="0"/>
            <w:vAlign w:val="center"/>
          </w:tcPr>
          <w:p>
            <w:pPr>
              <w:adjustRightInd w:val="0"/>
              <w:snapToGrid w:val="0"/>
              <w:spacing w:line="360" w:lineRule="exact"/>
              <w:jc w:val="center"/>
              <w:rPr>
                <w:rFonts w:ascii="方正仿宋_GBK" w:hAnsi="方正仿宋简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67" w:hRule="atLeast"/>
          <w:jc w:val="center"/>
        </w:trPr>
        <w:tc>
          <w:tcPr>
            <w:tcW w:w="55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2916"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567"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850"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70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672"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978"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1801" w:type="dxa"/>
            <w:noWrap w:val="0"/>
            <w:vAlign w:val="center"/>
          </w:tcPr>
          <w:p>
            <w:pPr>
              <w:adjustRightInd w:val="0"/>
              <w:snapToGrid w:val="0"/>
              <w:spacing w:line="360" w:lineRule="exact"/>
              <w:jc w:val="center"/>
              <w:rPr>
                <w:rFonts w:ascii="方正仿宋_GBK" w:hAnsi="方正仿宋简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67" w:hRule="atLeast"/>
          <w:jc w:val="center"/>
        </w:trPr>
        <w:tc>
          <w:tcPr>
            <w:tcW w:w="55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2916"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567"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850"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70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672"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978"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1801" w:type="dxa"/>
            <w:noWrap w:val="0"/>
            <w:vAlign w:val="center"/>
          </w:tcPr>
          <w:p>
            <w:pPr>
              <w:adjustRightInd w:val="0"/>
              <w:snapToGrid w:val="0"/>
              <w:spacing w:line="360" w:lineRule="exact"/>
              <w:jc w:val="center"/>
              <w:rPr>
                <w:rFonts w:ascii="方正仿宋_GBK" w:hAnsi="方正仿宋简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67" w:hRule="atLeast"/>
          <w:jc w:val="center"/>
        </w:trPr>
        <w:tc>
          <w:tcPr>
            <w:tcW w:w="55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2916"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567"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850"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709"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672"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978"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1801" w:type="dxa"/>
            <w:noWrap w:val="0"/>
            <w:vAlign w:val="center"/>
          </w:tcPr>
          <w:p>
            <w:pPr>
              <w:adjustRightInd w:val="0"/>
              <w:snapToGrid w:val="0"/>
              <w:spacing w:line="360" w:lineRule="exact"/>
              <w:jc w:val="center"/>
              <w:rPr>
                <w:rFonts w:ascii="方正仿宋_GBK" w:hAnsi="方正仿宋简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57" w:hRule="atLeast"/>
          <w:jc w:val="center"/>
        </w:trPr>
        <w:tc>
          <w:tcPr>
            <w:tcW w:w="559" w:type="dxa"/>
            <w:noWrap w:val="0"/>
            <w:vAlign w:val="center"/>
          </w:tcPr>
          <w:p>
            <w:pPr>
              <w:adjustRightInd w:val="0"/>
              <w:snapToGrid w:val="0"/>
              <w:spacing w:line="360" w:lineRule="exact"/>
              <w:jc w:val="center"/>
              <w:rPr>
                <w:rFonts w:ascii="方正仿宋_GBK" w:hAnsi="方正仿宋简体" w:eastAsia="方正仿宋_GBK"/>
                <w:sz w:val="24"/>
                <w:szCs w:val="28"/>
              </w:rPr>
            </w:pPr>
            <w:r>
              <w:rPr>
                <w:rFonts w:hint="eastAsia" w:ascii="方正仿宋_GBK" w:hAnsi="方正仿宋简体" w:eastAsia="方正仿宋_GBK"/>
                <w:sz w:val="24"/>
                <w:szCs w:val="28"/>
              </w:rPr>
              <w:t>合计</w:t>
            </w:r>
          </w:p>
        </w:tc>
        <w:tc>
          <w:tcPr>
            <w:tcW w:w="2916" w:type="dxa"/>
            <w:noWrap w:val="0"/>
            <w:vAlign w:val="center"/>
          </w:tcPr>
          <w:p>
            <w:pPr>
              <w:adjustRightInd w:val="0"/>
              <w:snapToGrid w:val="0"/>
              <w:spacing w:line="360" w:lineRule="exact"/>
              <w:jc w:val="right"/>
              <w:rPr>
                <w:rFonts w:ascii="方正仿宋_GBK" w:hAnsi="方正仿宋简体" w:eastAsia="方正仿宋_GBK"/>
                <w:sz w:val="24"/>
                <w:szCs w:val="28"/>
              </w:rPr>
            </w:pPr>
            <w:r>
              <w:rPr>
                <w:rFonts w:hint="eastAsia" w:ascii="方正仿宋_GBK" w:hAnsi="方正仿宋简体" w:eastAsia="方正仿宋_GBK"/>
                <w:sz w:val="24"/>
                <w:szCs w:val="28"/>
              </w:rPr>
              <w:t xml:space="preserve">  </w:t>
            </w:r>
          </w:p>
        </w:tc>
        <w:tc>
          <w:tcPr>
            <w:tcW w:w="567" w:type="dxa"/>
            <w:noWrap w:val="0"/>
            <w:vAlign w:val="center"/>
          </w:tcPr>
          <w:p>
            <w:pPr>
              <w:adjustRightInd w:val="0"/>
              <w:snapToGrid w:val="0"/>
              <w:spacing w:line="360" w:lineRule="exact"/>
              <w:jc w:val="right"/>
              <w:rPr>
                <w:rFonts w:ascii="方正仿宋_GBK" w:hAnsi="方正仿宋简体" w:eastAsia="方正仿宋_GBK"/>
                <w:sz w:val="24"/>
                <w:szCs w:val="28"/>
              </w:rPr>
            </w:pPr>
          </w:p>
        </w:tc>
        <w:tc>
          <w:tcPr>
            <w:tcW w:w="850" w:type="dxa"/>
            <w:noWrap w:val="0"/>
            <w:vAlign w:val="center"/>
          </w:tcPr>
          <w:p>
            <w:pPr>
              <w:adjustRightInd w:val="0"/>
              <w:snapToGrid w:val="0"/>
              <w:spacing w:line="360" w:lineRule="exact"/>
              <w:jc w:val="right"/>
              <w:rPr>
                <w:rFonts w:ascii="方正仿宋_GBK" w:hAnsi="方正仿宋简体" w:eastAsia="方正仿宋_GBK"/>
                <w:sz w:val="24"/>
                <w:szCs w:val="28"/>
              </w:rPr>
            </w:pPr>
          </w:p>
        </w:tc>
        <w:tc>
          <w:tcPr>
            <w:tcW w:w="709" w:type="dxa"/>
            <w:noWrap w:val="0"/>
            <w:vAlign w:val="center"/>
          </w:tcPr>
          <w:p>
            <w:pPr>
              <w:adjustRightInd w:val="0"/>
              <w:snapToGrid w:val="0"/>
              <w:spacing w:line="360" w:lineRule="exact"/>
              <w:jc w:val="right"/>
              <w:rPr>
                <w:rFonts w:ascii="方正仿宋_GBK" w:hAnsi="方正仿宋简体" w:eastAsia="方正仿宋_GBK"/>
                <w:sz w:val="24"/>
                <w:szCs w:val="28"/>
              </w:rPr>
            </w:pPr>
          </w:p>
        </w:tc>
        <w:tc>
          <w:tcPr>
            <w:tcW w:w="672" w:type="dxa"/>
            <w:noWrap w:val="0"/>
            <w:vAlign w:val="center"/>
          </w:tcPr>
          <w:p>
            <w:pPr>
              <w:adjustRightInd w:val="0"/>
              <w:snapToGrid w:val="0"/>
              <w:spacing w:line="360" w:lineRule="exact"/>
              <w:jc w:val="right"/>
              <w:rPr>
                <w:rFonts w:ascii="方正仿宋_GBK" w:hAnsi="方正仿宋简体" w:eastAsia="方正仿宋_GBK"/>
                <w:sz w:val="24"/>
                <w:szCs w:val="28"/>
              </w:rPr>
            </w:pPr>
          </w:p>
        </w:tc>
        <w:tc>
          <w:tcPr>
            <w:tcW w:w="978" w:type="dxa"/>
            <w:noWrap w:val="0"/>
            <w:vAlign w:val="center"/>
          </w:tcPr>
          <w:p>
            <w:pPr>
              <w:adjustRightInd w:val="0"/>
              <w:snapToGrid w:val="0"/>
              <w:spacing w:line="360" w:lineRule="exact"/>
              <w:jc w:val="center"/>
              <w:rPr>
                <w:rFonts w:ascii="方正仿宋_GBK" w:hAnsi="方正仿宋简体" w:eastAsia="方正仿宋_GBK"/>
                <w:sz w:val="24"/>
                <w:szCs w:val="28"/>
              </w:rPr>
            </w:pPr>
          </w:p>
        </w:tc>
        <w:tc>
          <w:tcPr>
            <w:tcW w:w="1801" w:type="dxa"/>
            <w:noWrap w:val="0"/>
            <w:vAlign w:val="center"/>
          </w:tcPr>
          <w:p>
            <w:pPr>
              <w:adjustRightInd w:val="0"/>
              <w:snapToGrid w:val="0"/>
              <w:spacing w:line="360" w:lineRule="exact"/>
              <w:jc w:val="center"/>
              <w:rPr>
                <w:rFonts w:ascii="方正仿宋_GBK" w:hAnsi="方正仿宋简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31" w:hRule="atLeast"/>
          <w:jc w:val="center"/>
        </w:trPr>
        <w:tc>
          <w:tcPr>
            <w:tcW w:w="9052" w:type="dxa"/>
            <w:gridSpan w:val="8"/>
            <w:noWrap w:val="0"/>
            <w:vAlign w:val="center"/>
          </w:tcPr>
          <w:p>
            <w:pPr>
              <w:adjustRightInd w:val="0"/>
              <w:snapToGrid w:val="0"/>
              <w:spacing w:line="360" w:lineRule="exact"/>
              <w:rPr>
                <w:rFonts w:hint="eastAsia" w:ascii="方正仿宋_GBK" w:hAnsi="方正仿宋简体" w:eastAsia="方正仿宋_GBK"/>
                <w:sz w:val="24"/>
                <w:szCs w:val="28"/>
              </w:rPr>
            </w:pPr>
            <w:r>
              <w:rPr>
                <w:rFonts w:hint="eastAsia" w:ascii="方正仿宋_GBK" w:hAnsi="方正仿宋简体" w:eastAsia="方正仿宋_GBK"/>
                <w:sz w:val="24"/>
                <w:szCs w:val="28"/>
              </w:rPr>
              <w:t>注：此表由各</w:t>
            </w:r>
            <w:r>
              <w:rPr>
                <w:rFonts w:hint="eastAsia" w:ascii="方正仿宋_GBK" w:hAnsi="方正仿宋简体"/>
                <w:sz w:val="24"/>
                <w:szCs w:val="28"/>
                <w:lang w:eastAsia="zh-CN"/>
              </w:rPr>
              <w:t>社区</w:t>
            </w:r>
            <w:r>
              <w:rPr>
                <w:rFonts w:hint="eastAsia" w:ascii="方正仿宋_GBK" w:hAnsi="方正仿宋简体" w:eastAsia="方正仿宋_GBK"/>
                <w:sz w:val="24"/>
                <w:szCs w:val="28"/>
              </w:rPr>
              <w:t>汇总，于</w:t>
            </w:r>
            <w:r>
              <w:rPr>
                <w:rFonts w:hint="eastAsia" w:ascii="Times New Roman" w:hAnsi="Times New Roman" w:eastAsia="方正仿宋_GBK"/>
                <w:sz w:val="24"/>
                <w:szCs w:val="28"/>
              </w:rPr>
              <w:t>2024</w:t>
            </w:r>
            <w:r>
              <w:rPr>
                <w:rFonts w:hint="eastAsia" w:ascii="方正仿宋_GBK" w:hAnsi="方正仿宋简体" w:eastAsia="方正仿宋_GBK"/>
                <w:sz w:val="24"/>
                <w:szCs w:val="28"/>
              </w:rPr>
              <w:t>年</w:t>
            </w:r>
            <w:r>
              <w:rPr>
                <w:rFonts w:hint="eastAsia" w:ascii="Times New Roman" w:hAnsi="Times New Roman" w:eastAsia="方正仿宋_GBK"/>
                <w:sz w:val="24"/>
                <w:szCs w:val="28"/>
              </w:rPr>
              <w:t>12</w:t>
            </w:r>
            <w:r>
              <w:rPr>
                <w:rFonts w:hint="eastAsia" w:ascii="方正仿宋_GBK" w:hAnsi="方正仿宋简体" w:eastAsia="方正仿宋_GBK"/>
                <w:sz w:val="24"/>
                <w:szCs w:val="28"/>
              </w:rPr>
              <w:t>月</w:t>
            </w:r>
            <w:r>
              <w:rPr>
                <w:rFonts w:hint="eastAsia" w:ascii="Times New Roman" w:hAnsi="Times New Roman" w:eastAsia="方正仿宋_GBK"/>
                <w:sz w:val="24"/>
                <w:szCs w:val="28"/>
              </w:rPr>
              <w:t>2</w:t>
            </w:r>
            <w:r>
              <w:rPr>
                <w:rFonts w:hint="eastAsia"/>
                <w:sz w:val="24"/>
                <w:szCs w:val="28"/>
                <w:lang w:val="en-US" w:eastAsia="zh-CN"/>
              </w:rPr>
              <w:t>3</w:t>
            </w:r>
            <w:r>
              <w:rPr>
                <w:rFonts w:hint="eastAsia" w:ascii="方正仿宋_GBK" w:hAnsi="方正仿宋简体" w:eastAsia="方正仿宋_GBK"/>
                <w:sz w:val="24"/>
                <w:szCs w:val="28"/>
              </w:rPr>
              <w:t>日前报送</w:t>
            </w:r>
            <w:r>
              <w:rPr>
                <w:rFonts w:hint="eastAsia" w:ascii="方正仿宋_GBK" w:hAnsi="方正仿宋简体"/>
                <w:sz w:val="24"/>
                <w:szCs w:val="28"/>
                <w:lang w:eastAsia="zh-CN"/>
              </w:rPr>
              <w:t>街道</w:t>
            </w:r>
            <w:r>
              <w:rPr>
                <w:rFonts w:hint="eastAsia" w:ascii="方正仿宋_GBK" w:hAnsi="方正仿宋简体" w:eastAsia="方正仿宋_GBK"/>
                <w:sz w:val="24"/>
                <w:szCs w:val="28"/>
              </w:rPr>
              <w:t>燃管办。</w:t>
            </w:r>
          </w:p>
        </w:tc>
      </w:tr>
    </w:tbl>
    <w:p>
      <w:pPr>
        <w:rPr>
          <w:rFonts w:hint="eastAsia" w:ascii="方正黑体_GBK" w:hAnsi="方正黑体_GBK" w:eastAsia="方正黑体_GBK" w:cs="Times New Roman"/>
          <w:sz w:val="32"/>
          <w:szCs w:val="32"/>
        </w:rPr>
      </w:pPr>
    </w:p>
    <w:p>
      <w:pPr>
        <w:rPr>
          <w:rFonts w:hint="eastAsia" w:ascii="方正仿宋_GBK" w:hAnsi="方正仿宋_GBK" w:eastAsia="方正仿宋_GBK" w:cs="方正仿宋_GBK"/>
          <w:sz w:val="32"/>
          <w:szCs w:val="32"/>
        </w:rPr>
      </w:pPr>
      <w:r>
        <w:rPr>
          <w:rFonts w:hint="eastAsia" w:ascii="方正黑体_GBK" w:hAnsi="方正黑体_GBK" w:eastAsia="方正黑体_GBK" w:cs="Times New Roman"/>
          <w:sz w:val="32"/>
          <w:szCs w:val="32"/>
        </w:rPr>
        <w:t>附件</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楷体" w:hAnsi="楷体" w:eastAsia="楷体" w:cs="楷体"/>
          <w:b/>
          <w:bCs/>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各岗位、</w:t>
      </w:r>
      <w:r>
        <w:rPr>
          <w:rFonts w:hint="eastAsia" w:ascii="方正小标宋_GBK" w:hAnsi="方正小标宋_GBK" w:eastAsia="方正小标宋_GBK" w:cs="方正小标宋_GBK"/>
          <w:b w:val="0"/>
          <w:bCs w:val="0"/>
          <w:sz w:val="44"/>
          <w:szCs w:val="44"/>
        </w:rPr>
        <w:t>各</w:t>
      </w:r>
      <w:r>
        <w:rPr>
          <w:rFonts w:hint="eastAsia" w:ascii="方正小标宋_GBK" w:hAnsi="方正小标宋_GBK" w:eastAsia="方正小标宋_GBK" w:cs="方正小标宋_GBK"/>
          <w:b w:val="0"/>
          <w:bCs w:val="0"/>
          <w:sz w:val="44"/>
          <w:szCs w:val="44"/>
          <w:lang w:eastAsia="zh-CN"/>
        </w:rPr>
        <w:t>社区</w:t>
      </w:r>
      <w:r>
        <w:rPr>
          <w:rFonts w:hint="eastAsia" w:ascii="方正小标宋_GBK" w:hAnsi="方正小标宋_GBK" w:eastAsia="方正小标宋_GBK" w:cs="方正小标宋_GBK"/>
          <w:b w:val="0"/>
          <w:bCs w:val="0"/>
          <w:sz w:val="44"/>
          <w:szCs w:val="44"/>
        </w:rPr>
        <w:t>职责任务分工</w:t>
      </w:r>
    </w:p>
    <w:p>
      <w:pPr>
        <w:pStyle w:val="18"/>
        <w:keepNext w:val="0"/>
        <w:keepLines w:val="0"/>
        <w:pageBreakBefore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eastAsia="zh-CN"/>
        </w:rPr>
        <w:t>一、岗位</w:t>
      </w:r>
      <w:r>
        <w:rPr>
          <w:rFonts w:hint="eastAsia" w:ascii="方正黑体_GBK" w:hAnsi="方正黑体_GBK" w:eastAsia="方正黑体_GBK" w:cs="方正黑体_GBK"/>
          <w:b w:val="0"/>
          <w:bCs w:val="0"/>
          <w:sz w:val="32"/>
          <w:szCs w:val="32"/>
        </w:rPr>
        <w:t xml:space="preserve">职责 </w:t>
      </w:r>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cs="Times New Roman"/>
          <w:sz w:val="32"/>
          <w:szCs w:val="32"/>
          <w:lang w:eastAsia="zh-CN"/>
        </w:rPr>
        <w:t>宣传工作岗</w:t>
      </w:r>
      <w:r>
        <w:rPr>
          <w:rFonts w:hint="default" w:ascii="Times New Roman" w:hAnsi="Times New Roman" w:eastAsia="方正仿宋_GBK" w:cs="Times New Roman"/>
          <w:sz w:val="32"/>
          <w:szCs w:val="32"/>
        </w:rPr>
        <w:t>：负责统筹</w:t>
      </w:r>
      <w:r>
        <w:rPr>
          <w:rFonts w:hint="default" w:ascii="Times New Roman" w:hAnsi="Times New Roman" w:cs="Times New Roman"/>
          <w:sz w:val="32"/>
          <w:szCs w:val="32"/>
          <w:lang w:eastAsia="zh-CN"/>
        </w:rPr>
        <w:t>辖区</w:t>
      </w:r>
      <w:r>
        <w:rPr>
          <w:rFonts w:hint="default" w:ascii="Times New Roman" w:hAnsi="Times New Roman" w:eastAsia="方正仿宋_GBK" w:cs="Times New Roman"/>
          <w:sz w:val="32"/>
          <w:szCs w:val="32"/>
        </w:rPr>
        <w:t>燃放烟花爆竹安全管理宣传工作，组织</w:t>
      </w:r>
      <w:r>
        <w:rPr>
          <w:rFonts w:hint="default" w:ascii="Times New Roman" w:hAnsi="Times New Roman" w:cs="Times New Roman"/>
          <w:sz w:val="32"/>
          <w:szCs w:val="32"/>
          <w:lang w:eastAsia="zh-CN"/>
        </w:rPr>
        <w:t>相关</w:t>
      </w:r>
      <w:r>
        <w:rPr>
          <w:rFonts w:hint="eastAsia" w:cs="Times New Roman"/>
          <w:sz w:val="32"/>
          <w:szCs w:val="32"/>
          <w:lang w:eastAsia="zh-CN"/>
        </w:rPr>
        <w:t>岗位</w:t>
      </w:r>
      <w:r>
        <w:rPr>
          <w:rFonts w:hint="default" w:ascii="Times New Roman" w:hAnsi="Times New Roman" w:eastAsia="方正仿宋_GBK" w:cs="Times New Roman"/>
          <w:sz w:val="32"/>
          <w:szCs w:val="32"/>
        </w:rPr>
        <w:t>和单位充分运用传统媒体和新媒体，采取多种形式，广泛宣传《条例》相关规定和重大意义，引导广大</w:t>
      </w:r>
      <w:r>
        <w:rPr>
          <w:rFonts w:hint="default" w:ascii="Times New Roman" w:hAnsi="Times New Roman" w:cs="Times New Roman"/>
          <w:sz w:val="32"/>
          <w:szCs w:val="32"/>
          <w:lang w:eastAsia="zh-CN"/>
        </w:rPr>
        <w:t>居民</w:t>
      </w:r>
      <w:r>
        <w:rPr>
          <w:rFonts w:hint="default" w:ascii="Times New Roman" w:hAnsi="Times New Roman" w:eastAsia="方正仿宋_GBK" w:cs="Times New Roman"/>
          <w:sz w:val="32"/>
          <w:szCs w:val="32"/>
        </w:rPr>
        <w:t>提高守法自觉性，创造良好的社会氛围</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负责指导制定舆情应对方案，采取有力措施及时疏导解释舆论热点；协同做好</w:t>
      </w:r>
      <w:r>
        <w:rPr>
          <w:rFonts w:hint="default" w:ascii="Times New Roman" w:hAnsi="Times New Roman" w:cs="Times New Roman"/>
          <w:sz w:val="32"/>
          <w:szCs w:val="32"/>
          <w:lang w:eastAsia="zh-CN"/>
        </w:rPr>
        <w:t>辖区</w:t>
      </w:r>
      <w:r>
        <w:rPr>
          <w:rFonts w:hint="default" w:ascii="Times New Roman" w:hAnsi="Times New Roman" w:eastAsia="方正仿宋_GBK" w:cs="Times New Roman"/>
          <w:sz w:val="32"/>
          <w:szCs w:val="32"/>
        </w:rPr>
        <w:t>烟花爆竹安全管理网络宣传工作。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eastAsia="zh-CN"/>
        </w:rPr>
        <w:t>科教文体岗</w:t>
      </w:r>
      <w:r>
        <w:rPr>
          <w:rFonts w:hint="default" w:ascii="Times New Roman" w:hAnsi="Times New Roman" w:eastAsia="方正仿宋_GBK" w:cs="Times New Roman"/>
          <w:sz w:val="32"/>
          <w:szCs w:val="32"/>
        </w:rPr>
        <w:t xml:space="preserve">：负责组织学校开展宣传教育，将《条例》纳入中小学校安全教育，发挥“小手牵大手”作用；督导学校在放假前组织开展烟花爆竹管理主题教育活动。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eastAsia="zh-CN"/>
        </w:rPr>
        <w:t>新桥派出所</w:t>
      </w:r>
      <w:r>
        <w:rPr>
          <w:rFonts w:hint="default" w:ascii="Times New Roman" w:hAnsi="Times New Roman" w:eastAsia="方正仿宋_GBK" w:cs="Times New Roman"/>
          <w:sz w:val="32"/>
          <w:szCs w:val="32"/>
        </w:rPr>
        <w:t>：负责烟花爆竹道路运输许可，依法查处非法运输、燃放烟花爆竹行为；配合</w:t>
      </w:r>
      <w:r>
        <w:rPr>
          <w:rFonts w:hint="default" w:ascii="Times New Roman" w:hAnsi="Times New Roman" w:cs="Times New Roman"/>
          <w:sz w:val="32"/>
          <w:szCs w:val="32"/>
          <w:lang w:eastAsia="zh-CN"/>
        </w:rPr>
        <w:t>应急消防武装岗</w:t>
      </w:r>
      <w:r>
        <w:rPr>
          <w:rFonts w:hint="default" w:ascii="Times New Roman" w:hAnsi="Times New Roman" w:eastAsia="方正仿宋_GBK" w:cs="Times New Roman"/>
          <w:sz w:val="32"/>
          <w:szCs w:val="32"/>
        </w:rPr>
        <w:t xml:space="preserve">查处打击非法生产、销售、储存烟花爆竹行为，对涉嫌犯罪的，依法追究刑事责任。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20"/>
          <w:highlight w:val="yellow"/>
          <w:lang w:eastAsia="zh-CN"/>
        </w:rPr>
      </w:pP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eastAsia="zh-CN"/>
        </w:rPr>
        <w:t>应急消防武装岗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20"/>
        </w:rPr>
        <w:t>负责牵头开展烟花爆竹“打非治违”工作，依法查处非法生产、销售、储存烟花爆竹的行为，依法查处涉及烟花爆竹生产、经营的安全事故；督促指导危险化学品生产、经营单位开展安全风险隐患排查整治和烟花爆竹禁放宣传，落实重点目标安全守护措施</w:t>
      </w:r>
      <w:r>
        <w:rPr>
          <w:rFonts w:hint="default" w:ascii="Times New Roman" w:hAnsi="Times New Roman" w:cs="Times New Roman"/>
          <w:sz w:val="32"/>
          <w:szCs w:val="20"/>
          <w:lang w:eastAsia="zh-CN"/>
        </w:rPr>
        <w:t>；</w:t>
      </w:r>
      <w:r>
        <w:rPr>
          <w:rFonts w:hint="default" w:ascii="Times New Roman" w:hAnsi="Times New Roman" w:eastAsia="方正仿宋_GBK" w:cs="Times New Roman"/>
          <w:sz w:val="32"/>
          <w:szCs w:val="32"/>
        </w:rPr>
        <w:t>负责制订灭火救援应急预案，做好应急救援准备；统计因燃放烟花爆竹引发的火警、火灾情况并调查原因；组织指导重点消防单位加强防火管控工作</w:t>
      </w:r>
      <w:r>
        <w:rPr>
          <w:rFonts w:hint="eastAsia" w:cs="Times New Roman"/>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eastAsia="zh-CN"/>
        </w:rPr>
        <w:t>新桥</w:t>
      </w:r>
      <w:r>
        <w:rPr>
          <w:rFonts w:hint="default" w:ascii="Times New Roman" w:hAnsi="Times New Roman" w:eastAsia="方正仿宋_GBK" w:cs="Times New Roman"/>
          <w:sz w:val="32"/>
          <w:szCs w:val="32"/>
        </w:rPr>
        <w:t>市场监管</w:t>
      </w:r>
      <w:r>
        <w:rPr>
          <w:rFonts w:hint="default" w:ascii="Times New Roman" w:hAnsi="Times New Roman" w:cs="Times New Roman"/>
          <w:sz w:val="32"/>
          <w:szCs w:val="32"/>
          <w:lang w:eastAsia="zh-CN"/>
        </w:rPr>
        <w:t>所</w:t>
      </w:r>
      <w:r>
        <w:rPr>
          <w:rFonts w:hint="default" w:ascii="Times New Roman" w:hAnsi="Times New Roman" w:eastAsia="方正仿宋_GBK" w:cs="Times New Roman"/>
          <w:sz w:val="32"/>
          <w:szCs w:val="32"/>
        </w:rPr>
        <w:t xml:space="preserve">：依法查处违反市场监管法律法规的经营行为。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6</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eastAsia="zh-CN"/>
        </w:rPr>
        <w:t>城市建设岗</w:t>
      </w:r>
      <w:r>
        <w:rPr>
          <w:rFonts w:hint="default" w:ascii="Times New Roman" w:hAnsi="Times New Roman" w:eastAsia="方正仿宋_GBK" w:cs="Times New Roman"/>
          <w:sz w:val="32"/>
          <w:szCs w:val="32"/>
        </w:rPr>
        <w:t>：负责烟花爆竹道路运输经营企业、车辆资质、驾驶员及押运员资格的审查核发，依职责查处违反道路运输烟花爆竹管理规定行为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负责教育引导在建（拆）工地留守人员严格遵守燃放烟花爆竹安全管理的有关规定。</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20"/>
        </w:rPr>
      </w:pPr>
      <w:r>
        <w:rPr>
          <w:rFonts w:hint="default" w:ascii="Times New Roman" w:hAnsi="Times New Roman" w:cs="Times New Roman"/>
          <w:sz w:val="32"/>
          <w:szCs w:val="32"/>
          <w:lang w:val="en-US" w:eastAsia="zh-CN"/>
        </w:rPr>
        <w:t>7</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eastAsia="zh-CN"/>
        </w:rPr>
        <w:t>政协企服岗</w:t>
      </w:r>
      <w:r>
        <w:rPr>
          <w:rFonts w:hint="default" w:ascii="Times New Roman" w:hAnsi="Times New Roman" w:eastAsia="方正仿宋_GBK" w:cs="Times New Roman"/>
          <w:sz w:val="32"/>
          <w:szCs w:val="32"/>
        </w:rPr>
        <w:t>：配合</w:t>
      </w:r>
      <w:r>
        <w:rPr>
          <w:rFonts w:hint="eastAsia" w:cs="Times New Roman"/>
          <w:sz w:val="32"/>
          <w:szCs w:val="32"/>
          <w:lang w:eastAsia="zh-CN"/>
        </w:rPr>
        <w:t>应急消防武装岗</w:t>
      </w:r>
      <w:r>
        <w:rPr>
          <w:rFonts w:hint="default" w:ascii="Times New Roman" w:hAnsi="Times New Roman" w:eastAsia="方正仿宋_GBK" w:cs="Times New Roman"/>
          <w:sz w:val="32"/>
          <w:szCs w:val="32"/>
        </w:rPr>
        <w:t>做好燃放、限放区域内零售点的布设及安全管理工作</w:t>
      </w:r>
      <w:r>
        <w:rPr>
          <w:rFonts w:hint="eastAsia" w:cs="Times New Roman"/>
          <w:sz w:val="32"/>
          <w:szCs w:val="32"/>
          <w:lang w:eastAsia="zh-CN"/>
        </w:rPr>
        <w:t>；</w:t>
      </w:r>
      <w:r>
        <w:rPr>
          <w:rFonts w:hint="default" w:ascii="Times New Roman" w:hAnsi="Times New Roman" w:eastAsia="方正仿宋_GBK" w:cs="Times New Roman"/>
          <w:sz w:val="32"/>
          <w:szCs w:val="32"/>
        </w:rPr>
        <w:t>负责协调移动、联通、电信等运营商在除夕、正月初一、和元宵向</w:t>
      </w:r>
      <w:r>
        <w:rPr>
          <w:rFonts w:hint="default" w:ascii="Times New Roman" w:hAnsi="Times New Roman" w:cs="Times New Roman"/>
          <w:sz w:val="32"/>
          <w:szCs w:val="32"/>
          <w:lang w:eastAsia="zh-CN"/>
        </w:rPr>
        <w:t>辖区</w:t>
      </w:r>
      <w:r>
        <w:rPr>
          <w:rFonts w:hint="default" w:ascii="Times New Roman" w:hAnsi="Times New Roman" w:eastAsia="方正仿宋_GBK" w:cs="Times New Roman"/>
          <w:sz w:val="32"/>
          <w:szCs w:val="32"/>
        </w:rPr>
        <w:t>用户发送</w:t>
      </w:r>
      <w:r>
        <w:rPr>
          <w:rFonts w:hint="default" w:ascii="Times New Roman" w:hAnsi="Times New Roman" w:eastAsia="方正仿宋_GBK" w:cs="Times New Roman"/>
          <w:sz w:val="32"/>
          <w:szCs w:val="20"/>
        </w:rPr>
        <w:t>全域禁燃禁放烟花爆竹公益提示短信。</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eastAsia="zh-CN"/>
        </w:rPr>
        <w:t>环保征收岗</w:t>
      </w:r>
      <w:r>
        <w:rPr>
          <w:rFonts w:hint="default" w:ascii="Times New Roman" w:hAnsi="Times New Roman" w:eastAsia="方正仿宋_GBK" w:cs="Times New Roman"/>
          <w:sz w:val="32"/>
          <w:szCs w:val="32"/>
        </w:rPr>
        <w:t xml:space="preserve">：负责燃放烟花爆竹对环境危害性的社会宣传，开展大气环境质量监测，发布大气环境污染预警。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9</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eastAsia="zh-CN"/>
        </w:rPr>
        <w:t>民政卫健岗</w:t>
      </w:r>
      <w:r>
        <w:rPr>
          <w:rFonts w:hint="default" w:ascii="Times New Roman" w:hAnsi="Times New Roman" w:eastAsia="方正仿宋_GBK" w:cs="Times New Roman"/>
          <w:sz w:val="32"/>
          <w:szCs w:val="32"/>
        </w:rPr>
        <w:t>：负责制订</w:t>
      </w:r>
      <w:r>
        <w:rPr>
          <w:rFonts w:hint="default" w:ascii="Times New Roman" w:hAnsi="Times New Roman" w:cs="Times New Roman"/>
          <w:sz w:val="32"/>
          <w:szCs w:val="32"/>
          <w:lang w:eastAsia="zh-CN"/>
        </w:rPr>
        <w:t>辖区</w:t>
      </w:r>
      <w:r>
        <w:rPr>
          <w:rFonts w:hint="default" w:ascii="Times New Roman" w:hAnsi="Times New Roman" w:eastAsia="方正仿宋_GBK" w:cs="Times New Roman"/>
          <w:sz w:val="32"/>
          <w:szCs w:val="32"/>
        </w:rPr>
        <w:t xml:space="preserve">伤亡人员救治应急预案，做好伤员救治准备；统计因燃放烟花爆竹引发的人身伤害救治情况。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10</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eastAsia="zh-CN"/>
        </w:rPr>
        <w:t>城市管理岗</w:t>
      </w:r>
      <w:r>
        <w:rPr>
          <w:rFonts w:hint="default" w:ascii="Times New Roman" w:hAnsi="Times New Roman" w:eastAsia="方正仿宋_GBK" w:cs="Times New Roman"/>
          <w:sz w:val="32"/>
          <w:szCs w:val="32"/>
        </w:rPr>
        <w:t xml:space="preserve">：负责组织城区桥梁、隧洞、下水道、化粪池等区政公用设施和公共绿地维护管理单位落实重点管控，严防违法燃放行为引发事故。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11</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eastAsia="zh-CN"/>
        </w:rPr>
        <w:t>平安统战岗</w:t>
      </w:r>
      <w:r>
        <w:rPr>
          <w:rFonts w:hint="default" w:ascii="Times New Roman" w:hAnsi="Times New Roman" w:eastAsia="方正仿宋_GBK" w:cs="Times New Roman"/>
          <w:sz w:val="32"/>
          <w:szCs w:val="32"/>
        </w:rPr>
        <w:t>：负责督导、指导</w:t>
      </w:r>
      <w:r>
        <w:rPr>
          <w:rFonts w:hint="default" w:ascii="Times New Roman" w:hAnsi="Times New Roman" w:cs="Times New Roman"/>
          <w:sz w:val="32"/>
          <w:szCs w:val="32"/>
          <w:lang w:eastAsia="zh-CN"/>
        </w:rPr>
        <w:t>辖区</w:t>
      </w:r>
      <w:r>
        <w:rPr>
          <w:rFonts w:hint="default" w:ascii="Times New Roman" w:hAnsi="Times New Roman" w:eastAsia="方正仿宋_GBK" w:cs="Times New Roman"/>
          <w:sz w:val="32"/>
          <w:szCs w:val="32"/>
        </w:rPr>
        <w:t>和行业管理</w:t>
      </w:r>
      <w:r>
        <w:rPr>
          <w:rFonts w:hint="eastAsia" w:cs="Times New Roman"/>
          <w:sz w:val="32"/>
          <w:szCs w:val="32"/>
          <w:lang w:eastAsia="zh-CN"/>
        </w:rPr>
        <w:t>岗位</w:t>
      </w:r>
      <w:r>
        <w:rPr>
          <w:rFonts w:hint="default" w:ascii="Times New Roman" w:hAnsi="Times New Roman" w:eastAsia="方正仿宋_GBK" w:cs="Times New Roman"/>
          <w:sz w:val="32"/>
          <w:szCs w:val="32"/>
        </w:rPr>
        <w:t xml:space="preserve">做好燃放烟花爆竹管理工作实施过程中的信访、涉稳事件。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eastAsia" w:cs="Times New Roman"/>
          <w:sz w:val="32"/>
          <w:szCs w:val="32"/>
          <w:lang w:val="en-US" w:eastAsia="zh-CN"/>
        </w:rPr>
        <w:t>12</w:t>
      </w:r>
      <w:r>
        <w:rPr>
          <w:rFonts w:hint="default" w:ascii="Times New Roman" w:hAnsi="Times New Roman" w:eastAsia="方正仿宋_GBK" w:cs="Times New Roman"/>
          <w:sz w:val="32"/>
          <w:szCs w:val="32"/>
        </w:rPr>
        <w:t>﹒</w:t>
      </w:r>
      <w:r>
        <w:rPr>
          <w:rFonts w:hint="default" w:ascii="Times New Roman" w:hAnsi="Times New Roman" w:cs="Times New Roman"/>
          <w:sz w:val="32"/>
          <w:szCs w:val="20"/>
          <w:lang w:eastAsia="zh-CN"/>
        </w:rPr>
        <w:t>街道</w:t>
      </w:r>
      <w:r>
        <w:rPr>
          <w:rFonts w:hint="default" w:ascii="Times New Roman" w:hAnsi="Times New Roman" w:eastAsia="方正仿宋_GBK" w:cs="Times New Roman"/>
          <w:sz w:val="32"/>
          <w:szCs w:val="20"/>
        </w:rPr>
        <w:t>各行业主管</w:t>
      </w:r>
      <w:r>
        <w:rPr>
          <w:rFonts w:hint="eastAsia" w:cs="Times New Roman"/>
          <w:sz w:val="32"/>
          <w:szCs w:val="20"/>
          <w:lang w:eastAsia="zh-CN"/>
        </w:rPr>
        <w:t>岗位</w:t>
      </w:r>
      <w:r>
        <w:rPr>
          <w:rFonts w:hint="default" w:ascii="Times New Roman" w:hAnsi="Times New Roman" w:eastAsia="方正仿宋_GBK" w:cs="Times New Roman"/>
          <w:sz w:val="32"/>
          <w:szCs w:val="20"/>
        </w:rPr>
        <w:t>和单位：负责组织指导并监督本行业、本系统开展燃放烟花爆竹安全管理的宣传发动、安全隐患排查、禁放管控看护、应急处置等工作；督促所属单位明确责任领导、完善应急措施，组织巡逻力量开展内部巡逻检查。</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二、社区职责</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sz w:val="32"/>
          <w:szCs w:val="32"/>
        </w:rPr>
        <w:t>负责本</w:t>
      </w:r>
      <w:r>
        <w:rPr>
          <w:rFonts w:hint="eastAsia" w:ascii="方正仿宋_GBK" w:hAnsi="方正仿宋_GBK"/>
          <w:sz w:val="32"/>
          <w:szCs w:val="32"/>
          <w:lang w:eastAsia="zh-CN"/>
        </w:rPr>
        <w:t>辖区</w:t>
      </w:r>
      <w:r>
        <w:rPr>
          <w:rFonts w:hint="eastAsia" w:ascii="方正仿宋_GBK" w:hAnsi="方正仿宋_GBK" w:eastAsia="方正仿宋_GBK"/>
          <w:sz w:val="32"/>
          <w:szCs w:val="32"/>
        </w:rPr>
        <w:t>内燃放烟花爆竹安全管理工作，组织开展宣传引导、安全隐患排查整治、巡逻防范和重点目标管控，全面排查收集辖区内各类非法生产、经营、储存、运输、燃放烟花爆竹行为和线索，主动发现、及时控制和处置，并报相关</w:t>
      </w:r>
      <w:r>
        <w:rPr>
          <w:rFonts w:hint="eastAsia" w:ascii="方正仿宋_GBK" w:hAnsi="方正仿宋_GBK"/>
          <w:sz w:val="32"/>
          <w:szCs w:val="32"/>
          <w:lang w:eastAsia="zh-CN"/>
        </w:rPr>
        <w:t>岗位</w:t>
      </w:r>
      <w:r>
        <w:rPr>
          <w:rFonts w:hint="eastAsia" w:ascii="方正仿宋_GBK" w:hAnsi="方正仿宋_GBK" w:eastAsia="方正仿宋_GBK"/>
          <w:sz w:val="32"/>
          <w:szCs w:val="32"/>
        </w:rPr>
        <w:t>依法查处。认真办理</w:t>
      </w:r>
      <w:r>
        <w:rPr>
          <w:rFonts w:hint="eastAsia" w:ascii="方正仿宋_GBK" w:hAnsi="方正仿宋_GBK"/>
          <w:sz w:val="32"/>
          <w:szCs w:val="32"/>
          <w:lang w:eastAsia="zh-CN"/>
        </w:rPr>
        <w:t>街道</w:t>
      </w:r>
      <w:r>
        <w:rPr>
          <w:rFonts w:hint="eastAsia" w:ascii="方正仿宋_GBK" w:hAnsi="方正仿宋_GBK" w:eastAsia="方正仿宋_GBK"/>
          <w:sz w:val="32"/>
          <w:szCs w:val="32"/>
        </w:rPr>
        <w:t>燃管办公室督办的有关工作，及时报送重大情况。</w:t>
      </w: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sectPr>
      <w:footerReference r:id="rId3" w:type="default"/>
      <w:pgSz w:w="11906" w:h="16838"/>
      <w:pgMar w:top="1984" w:right="1446" w:bottom="1644" w:left="144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HorizontalSpacing w:val="173"/>
  <w:drawingGridVerticalSpacing w:val="30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ZTMwOWJkMDhiYTdiMTRiYTkxMjZjZWM4NWFlZmYifQ=="/>
  </w:docVars>
  <w:rsids>
    <w:rsidRoot w:val="138239DE"/>
    <w:rsid w:val="00015EC0"/>
    <w:rsid w:val="00053E56"/>
    <w:rsid w:val="00066ACE"/>
    <w:rsid w:val="002F37BC"/>
    <w:rsid w:val="00347849"/>
    <w:rsid w:val="003A5FAF"/>
    <w:rsid w:val="003D0A21"/>
    <w:rsid w:val="00501D8B"/>
    <w:rsid w:val="00511F68"/>
    <w:rsid w:val="005B135E"/>
    <w:rsid w:val="006712CD"/>
    <w:rsid w:val="0068221D"/>
    <w:rsid w:val="006923BC"/>
    <w:rsid w:val="006B2C12"/>
    <w:rsid w:val="006E30F5"/>
    <w:rsid w:val="0075646E"/>
    <w:rsid w:val="00795A1D"/>
    <w:rsid w:val="008545AD"/>
    <w:rsid w:val="0098335A"/>
    <w:rsid w:val="00985B19"/>
    <w:rsid w:val="009F76F3"/>
    <w:rsid w:val="00AC6318"/>
    <w:rsid w:val="00B11985"/>
    <w:rsid w:val="00B44EAE"/>
    <w:rsid w:val="00BF675C"/>
    <w:rsid w:val="00C60C81"/>
    <w:rsid w:val="00C71CD5"/>
    <w:rsid w:val="00CA1AA6"/>
    <w:rsid w:val="00D76A23"/>
    <w:rsid w:val="00D9080E"/>
    <w:rsid w:val="00DA2465"/>
    <w:rsid w:val="00DD4DDB"/>
    <w:rsid w:val="00DE6FCE"/>
    <w:rsid w:val="00E44A2A"/>
    <w:rsid w:val="00E460FB"/>
    <w:rsid w:val="00E61DB5"/>
    <w:rsid w:val="00EF4770"/>
    <w:rsid w:val="00F005C7"/>
    <w:rsid w:val="00F04AB7"/>
    <w:rsid w:val="00F2154D"/>
    <w:rsid w:val="00F53322"/>
    <w:rsid w:val="00F73254"/>
    <w:rsid w:val="00F94F96"/>
    <w:rsid w:val="00FD7966"/>
    <w:rsid w:val="01CE3A0A"/>
    <w:rsid w:val="041B0A5C"/>
    <w:rsid w:val="06976396"/>
    <w:rsid w:val="080F2686"/>
    <w:rsid w:val="0C2C2EC3"/>
    <w:rsid w:val="0C5B0590"/>
    <w:rsid w:val="10121CB9"/>
    <w:rsid w:val="101A16FE"/>
    <w:rsid w:val="11745646"/>
    <w:rsid w:val="129649D1"/>
    <w:rsid w:val="138239DE"/>
    <w:rsid w:val="147F0B94"/>
    <w:rsid w:val="151A2478"/>
    <w:rsid w:val="173C985A"/>
    <w:rsid w:val="19BE5CBA"/>
    <w:rsid w:val="1BC61FB5"/>
    <w:rsid w:val="1F7744A9"/>
    <w:rsid w:val="1FAB4EC5"/>
    <w:rsid w:val="1FDDDA86"/>
    <w:rsid w:val="1FFFF7D2"/>
    <w:rsid w:val="229E2434"/>
    <w:rsid w:val="26B768CA"/>
    <w:rsid w:val="28071E67"/>
    <w:rsid w:val="2B2B6F28"/>
    <w:rsid w:val="2BB60EE7"/>
    <w:rsid w:val="2D7656DC"/>
    <w:rsid w:val="2EFBF1FC"/>
    <w:rsid w:val="2F9F71DA"/>
    <w:rsid w:val="31106CB9"/>
    <w:rsid w:val="32262DBE"/>
    <w:rsid w:val="36561E50"/>
    <w:rsid w:val="36FDBB0D"/>
    <w:rsid w:val="37AE65F3"/>
    <w:rsid w:val="37FF26C4"/>
    <w:rsid w:val="3EFFF6BC"/>
    <w:rsid w:val="4070615F"/>
    <w:rsid w:val="4744067B"/>
    <w:rsid w:val="4A137B88"/>
    <w:rsid w:val="4EBFE19D"/>
    <w:rsid w:val="4FEF160E"/>
    <w:rsid w:val="53B73250"/>
    <w:rsid w:val="53F9941F"/>
    <w:rsid w:val="552A712F"/>
    <w:rsid w:val="57DFCDAF"/>
    <w:rsid w:val="57F86260"/>
    <w:rsid w:val="5A3E3CD2"/>
    <w:rsid w:val="5CBA7FFF"/>
    <w:rsid w:val="5DFB8736"/>
    <w:rsid w:val="5EFB6268"/>
    <w:rsid w:val="5F6661A5"/>
    <w:rsid w:val="5FF6F594"/>
    <w:rsid w:val="67EDCA81"/>
    <w:rsid w:val="6A315BC4"/>
    <w:rsid w:val="6BF2DDE9"/>
    <w:rsid w:val="6DD479D5"/>
    <w:rsid w:val="6E02282A"/>
    <w:rsid w:val="6F2D7A9E"/>
    <w:rsid w:val="77DDE636"/>
    <w:rsid w:val="7ADF413F"/>
    <w:rsid w:val="7B218521"/>
    <w:rsid w:val="7B9B0B2D"/>
    <w:rsid w:val="7CFC55FB"/>
    <w:rsid w:val="7D9D6DDE"/>
    <w:rsid w:val="7DA5876B"/>
    <w:rsid w:val="7DDD3970"/>
    <w:rsid w:val="7E3C5348"/>
    <w:rsid w:val="7E7FD03D"/>
    <w:rsid w:val="7F6AED79"/>
    <w:rsid w:val="7F7782CF"/>
    <w:rsid w:val="7FDBC469"/>
    <w:rsid w:val="7FDF1043"/>
    <w:rsid w:val="7FFF568D"/>
    <w:rsid w:val="9A97331D"/>
    <w:rsid w:val="9BBF9D8B"/>
    <w:rsid w:val="9FEB2807"/>
    <w:rsid w:val="AAEFAAA1"/>
    <w:rsid w:val="B5B91712"/>
    <w:rsid w:val="B5DC99A5"/>
    <w:rsid w:val="BB5F9F55"/>
    <w:rsid w:val="BDFB90B5"/>
    <w:rsid w:val="BFAF6E68"/>
    <w:rsid w:val="C8FF2D98"/>
    <w:rsid w:val="D1BFF13B"/>
    <w:rsid w:val="D6FB5120"/>
    <w:rsid w:val="DAF4E743"/>
    <w:rsid w:val="DB5DA30C"/>
    <w:rsid w:val="DBF6172C"/>
    <w:rsid w:val="DD6F3095"/>
    <w:rsid w:val="DFAF8E83"/>
    <w:rsid w:val="DFB33874"/>
    <w:rsid w:val="EB7F1E99"/>
    <w:rsid w:val="EBF7279E"/>
    <w:rsid w:val="EFBF4EEA"/>
    <w:rsid w:val="F5DD4490"/>
    <w:rsid w:val="F71FD40A"/>
    <w:rsid w:val="F7EFF956"/>
    <w:rsid w:val="F9FA4778"/>
    <w:rsid w:val="FB9F79F3"/>
    <w:rsid w:val="FBABFE5F"/>
    <w:rsid w:val="FF770A3B"/>
    <w:rsid w:val="FF7FE3E9"/>
    <w:rsid w:val="FFBF2BE6"/>
    <w:rsid w:val="FFDFCD7B"/>
    <w:rsid w:val="FFF3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方正仿宋_GBK"/>
      <w:kern w:val="2"/>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Body Text"/>
    <w:basedOn w:val="1"/>
    <w:qFormat/>
    <w:uiPriority w:val="0"/>
    <w:pPr>
      <w:spacing w:line="600" w:lineRule="exact"/>
    </w:pPr>
    <w:rPr>
      <w:rFonts w:ascii="楷体_GB2312" w:hAnsi="宋体" w:eastAsia="楷体_GB2312"/>
      <w:b/>
      <w:bCs/>
      <w:color w:val="000000"/>
    </w:rPr>
  </w:style>
  <w:style w:type="paragraph" w:styleId="4">
    <w:name w:val="Plain Text"/>
    <w:basedOn w:val="1"/>
    <w:qFormat/>
    <w:uiPriority w:val="0"/>
    <w:rPr>
      <w:rFonts w:ascii="宋体" w:hAnsi="Courier New" w:cs="Courier New"/>
      <w:szCs w:val="21"/>
    </w:rPr>
  </w:style>
  <w:style w:type="paragraph" w:styleId="5">
    <w:name w:val="Date"/>
    <w:basedOn w:val="1"/>
    <w:next w:val="1"/>
    <w:unhideWhenUsed/>
    <w:qFormat/>
    <w:uiPriority w:val="99"/>
    <w:pPr>
      <w:ind w:left="100" w:leftChars="2500"/>
    </w:pPr>
    <w:rPr>
      <w:rFonts w:ascii="仿宋_GB2312" w:eastAsia="仿宋_GB2312"/>
    </w:rPr>
  </w:style>
  <w:style w:type="paragraph" w:styleId="6">
    <w:name w:val="Balloon Text"/>
    <w:basedOn w:val="1"/>
    <w:link w:val="17"/>
    <w:qFormat/>
    <w:uiPriority w:val="0"/>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9004"/>
      </w:tabs>
      <w:jc w:val="center"/>
    </w:pPr>
  </w:style>
  <w:style w:type="character" w:customStyle="1" w:styleId="11">
    <w:name w:val="页眉 字符"/>
    <w:basedOn w:val="10"/>
    <w:link w:val="7"/>
    <w:qFormat/>
    <w:uiPriority w:val="0"/>
    <w:rPr>
      <w:kern w:val="2"/>
      <w:sz w:val="18"/>
      <w:szCs w:val="18"/>
    </w:rPr>
  </w:style>
  <w:style w:type="character" w:customStyle="1" w:styleId="12">
    <w:name w:val="页脚 字符"/>
    <w:basedOn w:val="10"/>
    <w:link w:val="2"/>
    <w:qFormat/>
    <w:uiPriority w:val="0"/>
    <w:rPr>
      <w:kern w:val="2"/>
      <w:sz w:val="18"/>
      <w:szCs w:val="18"/>
    </w:rPr>
  </w:style>
  <w:style w:type="character" w:customStyle="1" w:styleId="13">
    <w:name w:val="NormalCharacter"/>
    <w:qFormat/>
    <w:uiPriority w:val="0"/>
  </w:style>
  <w:style w:type="paragraph" w:customStyle="1" w:styleId="14">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15">
    <w:name w:val="BodyText"/>
    <w:basedOn w:val="1"/>
    <w:next w:val="1"/>
    <w:qFormat/>
    <w:uiPriority w:val="0"/>
    <w:pPr>
      <w:ind w:left="100" w:firstLine="559"/>
      <w:jc w:val="left"/>
      <w:textAlignment w:val="baseline"/>
    </w:pPr>
    <w:rPr>
      <w:rFonts w:ascii="宋体" w:hAnsi="宋体"/>
      <w:kern w:val="0"/>
      <w:sz w:val="28"/>
      <w:szCs w:val="28"/>
      <w:lang w:eastAsia="en-US"/>
    </w:rPr>
  </w:style>
  <w:style w:type="paragraph" w:customStyle="1" w:styleId="16">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批注框文本 字符"/>
    <w:basedOn w:val="10"/>
    <w:link w:val="6"/>
    <w:qFormat/>
    <w:uiPriority w:val="0"/>
    <w:rPr>
      <w:rFonts w:eastAsia="方正仿宋_GBK" w:cs="方正仿宋_GBK"/>
      <w:kern w:val="2"/>
      <w:sz w:val="18"/>
      <w:szCs w:val="18"/>
    </w:rPr>
  </w:style>
  <w:style w:type="paragraph" w:customStyle="1" w:styleId="18">
    <w:name w:val="Normal Indent"/>
    <w:qFormat/>
    <w:uiPriority w:val="0"/>
    <w:pPr>
      <w:ind w:firstLine="420" w:firstLine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830</Words>
  <Characters>4731</Characters>
  <Lines>39</Lines>
  <Paragraphs>11</Paragraphs>
  <TotalTime>31</TotalTime>
  <ScaleCrop>false</ScaleCrop>
  <LinksUpToDate>false</LinksUpToDate>
  <CharactersWithSpaces>5550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2023-12-21T14:42:00Z</dcterms:created>
  <dc:creator>莱特兄弟</dc:creator>
  <cp:lastModifiedBy>user</cp:lastModifiedBy>
  <cp:lastPrinted>2025-01-02T23:11:00Z</cp:lastPrinted>
  <dcterms:modified xsi:type="dcterms:W3CDTF">2025-01-16T14:23:27Z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203B1627A7A14D60A0325B69BF3144E1</vt:lpwstr>
  </property>
</Properties>
</file>