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74" w:type="dxa"/>
        <w:tblInd w:w="93" w:type="dxa"/>
        <w:tblLayout w:type="fixed"/>
        <w:tblCellMar>
          <w:top w:w="0" w:type="dxa"/>
          <w:left w:w="108" w:type="dxa"/>
          <w:bottom w:w="0" w:type="dxa"/>
          <w:right w:w="108" w:type="dxa"/>
        </w:tblCellMar>
      </w:tblPr>
      <w:tblGrid>
        <w:gridCol w:w="1920"/>
        <w:gridCol w:w="2888"/>
        <w:gridCol w:w="1472"/>
        <w:gridCol w:w="1580"/>
        <w:gridCol w:w="1940"/>
        <w:gridCol w:w="705"/>
        <w:gridCol w:w="3969"/>
      </w:tblGrid>
      <w:tr>
        <w:tblPrEx>
          <w:tblCellMar>
            <w:top w:w="0" w:type="dxa"/>
            <w:left w:w="108" w:type="dxa"/>
            <w:bottom w:w="0" w:type="dxa"/>
            <w:right w:w="108" w:type="dxa"/>
          </w:tblCellMar>
        </w:tblPrEx>
        <w:trPr>
          <w:trHeight w:val="975" w:hRule="atLeast"/>
        </w:trPr>
        <w:tc>
          <w:tcPr>
            <w:tcW w:w="14474" w:type="dxa"/>
            <w:gridSpan w:val="7"/>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部门整体绩效目标表</w:t>
            </w:r>
          </w:p>
        </w:tc>
      </w:tr>
      <w:tr>
        <w:tblPrEx>
          <w:tblCellMar>
            <w:top w:w="0" w:type="dxa"/>
            <w:left w:w="108" w:type="dxa"/>
            <w:bottom w:w="0" w:type="dxa"/>
            <w:right w:w="108" w:type="dxa"/>
          </w:tblCellMar>
        </w:tblPrEx>
        <w:trPr>
          <w:trHeight w:val="705" w:hRule="atLeast"/>
        </w:trPr>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5940" w:type="dxa"/>
            <w:gridSpan w:val="3"/>
            <w:tcBorders>
              <w:top w:val="single" w:color="auto" w:sz="4" w:space="0"/>
              <w:left w:val="nil"/>
              <w:bottom w:val="single" w:color="auto" w:sz="4" w:space="0"/>
              <w:right w:val="nil"/>
            </w:tcBorders>
            <w:vAlign w:val="center"/>
          </w:tcPr>
          <w:p>
            <w:pPr>
              <w:widowControl/>
              <w:jc w:val="center"/>
              <w:rPr>
                <w:rFonts w:ascii="宋体" w:hAnsi="宋体" w:cs="宋体"/>
                <w:kern w:val="0"/>
                <w:sz w:val="20"/>
              </w:rPr>
            </w:pPr>
            <w:r>
              <w:rPr>
                <w:rFonts w:hint="eastAsia" w:ascii="宋体" w:hAnsi="宋体" w:cs="宋体"/>
                <w:kern w:val="0"/>
                <w:sz w:val="20"/>
                <w:lang w:val="en-US" w:eastAsia="zh-CN"/>
              </w:rPr>
              <w:t>沙坪坝区人民政府外事办公室</w:t>
            </w:r>
            <w:r>
              <w:rPr>
                <w:rFonts w:hint="eastAsia" w:ascii="宋体" w:hAnsi="宋体" w:cs="宋体"/>
                <w:kern w:val="0"/>
                <w:sz w:val="20"/>
              </w:rPr>
              <w:t>　</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部门支出预算总量（万元）</w:t>
            </w:r>
          </w:p>
        </w:tc>
        <w:tc>
          <w:tcPr>
            <w:tcW w:w="3969"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default" w:ascii="Times New Roman" w:hAnsi="Times New Roman" w:cs="Times New Roman"/>
                <w:kern w:val="0"/>
                <w:sz w:val="20"/>
                <w:lang w:val="en-US" w:eastAsia="zh-CN"/>
              </w:rPr>
              <w:t>16.88</w:t>
            </w:r>
            <w:r>
              <w:rPr>
                <w:rFonts w:hint="eastAsia" w:ascii="宋体" w:hAnsi="宋体" w:cs="宋体"/>
                <w:kern w:val="0"/>
                <w:sz w:val="20"/>
              </w:rPr>
              <w:t>　</w:t>
            </w:r>
          </w:p>
        </w:tc>
      </w:tr>
      <w:tr>
        <w:tblPrEx>
          <w:tblCellMar>
            <w:top w:w="0" w:type="dxa"/>
            <w:left w:w="108" w:type="dxa"/>
            <w:bottom w:w="0" w:type="dxa"/>
            <w:right w:w="108" w:type="dxa"/>
          </w:tblCellMar>
        </w:tblPrEx>
        <w:trPr>
          <w:trHeight w:val="2190" w:hRule="atLeast"/>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当年整体绩效目标</w:t>
            </w:r>
          </w:p>
        </w:tc>
        <w:tc>
          <w:tcPr>
            <w:tcW w:w="12554" w:type="dxa"/>
            <w:gridSpan w:val="6"/>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1.协助举办或组织参加市级、区级国际会议3次。</w:t>
            </w:r>
          </w:p>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2.与我区友好城市/友好交流城市、意向友好城市/友好交流城市、外国驻华领事馆在文化、教育、体育、经贸等领域深入交流5次。</w:t>
            </w:r>
          </w:p>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3.与其他国家开展教育、文化、科技、对外招商引资等交流2次。</w:t>
            </w:r>
          </w:p>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4.开展海外领事保护宣传1次。</w:t>
            </w:r>
          </w:p>
          <w:p>
            <w:pPr>
              <w:widowControl/>
              <w:jc w:val="left"/>
              <w:rPr>
                <w:rFonts w:ascii="宋体" w:hAnsi="宋体" w:cs="宋体"/>
                <w:kern w:val="0"/>
                <w:sz w:val="20"/>
              </w:rPr>
            </w:pPr>
            <w:r>
              <w:rPr>
                <w:rFonts w:hint="default" w:ascii="Times New Roman" w:hAnsi="Times New Roman" w:cs="Times New Roman"/>
                <w:kern w:val="0"/>
                <w:sz w:val="20"/>
              </w:rPr>
              <w:t>5.完成各项外宾或涉外人员参观访问接待任务6批次，开展教育、文化、科技、商贸等领域对外交流合作。</w:t>
            </w:r>
          </w:p>
        </w:tc>
      </w:tr>
      <w:tr>
        <w:tblPrEx>
          <w:tblCellMar>
            <w:top w:w="0" w:type="dxa"/>
            <w:left w:w="108" w:type="dxa"/>
            <w:bottom w:w="0" w:type="dxa"/>
            <w:right w:w="108" w:type="dxa"/>
          </w:tblCellMar>
        </w:tblPrEx>
        <w:trPr>
          <w:trHeight w:val="420" w:hRule="atLeast"/>
        </w:trPr>
        <w:tc>
          <w:tcPr>
            <w:tcW w:w="19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绩效指标</w:t>
            </w:r>
          </w:p>
        </w:tc>
        <w:tc>
          <w:tcPr>
            <w:tcW w:w="2888"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指标</w:t>
            </w:r>
          </w:p>
        </w:tc>
        <w:tc>
          <w:tcPr>
            <w:tcW w:w="147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9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46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　领事保护宣传</w:t>
            </w:r>
          </w:p>
        </w:tc>
        <w:tc>
          <w:tcPr>
            <w:tcW w:w="147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20　</w:t>
            </w:r>
          </w:p>
        </w:tc>
        <w:tc>
          <w:tcPr>
            <w:tcW w:w="158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次　</w:t>
            </w:r>
          </w:p>
        </w:tc>
        <w:tc>
          <w:tcPr>
            <w:tcW w:w="19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w:t>
            </w:r>
          </w:p>
        </w:tc>
        <w:tc>
          <w:tcPr>
            <w:tcW w:w="467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1</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协助举办或参与国际会议活动</w:t>
            </w:r>
          </w:p>
        </w:tc>
        <w:tc>
          <w:tcPr>
            <w:tcW w:w="147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20</w:t>
            </w:r>
          </w:p>
        </w:tc>
        <w:tc>
          <w:tcPr>
            <w:tcW w:w="158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次</w:t>
            </w:r>
          </w:p>
        </w:tc>
        <w:tc>
          <w:tcPr>
            <w:tcW w:w="19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467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3</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友城合作交流</w:t>
            </w:r>
          </w:p>
        </w:tc>
        <w:tc>
          <w:tcPr>
            <w:tcW w:w="147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20</w:t>
            </w:r>
          </w:p>
        </w:tc>
        <w:tc>
          <w:tcPr>
            <w:tcW w:w="158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次</w:t>
            </w:r>
          </w:p>
        </w:tc>
        <w:tc>
          <w:tcPr>
            <w:tcW w:w="19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467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重要外宾接待</w:t>
            </w:r>
          </w:p>
        </w:tc>
        <w:tc>
          <w:tcPr>
            <w:tcW w:w="147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20</w:t>
            </w:r>
          </w:p>
        </w:tc>
        <w:tc>
          <w:tcPr>
            <w:tcW w:w="158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批次</w:t>
            </w:r>
          </w:p>
        </w:tc>
        <w:tc>
          <w:tcPr>
            <w:tcW w:w="19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467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20</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对外接待外宾满意度</w:t>
            </w:r>
          </w:p>
        </w:tc>
        <w:tc>
          <w:tcPr>
            <w:tcW w:w="147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20</w:t>
            </w:r>
          </w:p>
        </w:tc>
        <w:tc>
          <w:tcPr>
            <w:tcW w:w="158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194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467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100</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67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67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67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8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67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
    <w:tbl>
      <w:tblPr>
        <w:tblStyle w:val="2"/>
        <w:tblW w:w="15041" w:type="dxa"/>
        <w:tblInd w:w="93" w:type="dxa"/>
        <w:tblLayout w:type="fixed"/>
        <w:tblCellMar>
          <w:top w:w="0" w:type="dxa"/>
          <w:left w:w="108" w:type="dxa"/>
          <w:bottom w:w="0" w:type="dxa"/>
          <w:right w:w="108" w:type="dxa"/>
        </w:tblCellMar>
      </w:tblPr>
      <w:tblGrid>
        <w:gridCol w:w="2220"/>
        <w:gridCol w:w="1620"/>
        <w:gridCol w:w="1206"/>
        <w:gridCol w:w="294"/>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vAlign w:val="center"/>
          </w:tcPr>
          <w:p>
            <w:pPr>
              <w:widowControl/>
              <w:jc w:val="left"/>
              <w:rPr>
                <w:rFonts w:ascii="宋体" w:hAnsi="宋体" w:cs="宋体"/>
                <w:kern w:val="0"/>
                <w:sz w:val="20"/>
              </w:rPr>
            </w:pPr>
            <w:r>
              <w:rPr>
                <w:rFonts w:hint="eastAsia" w:ascii="宋体" w:hAnsi="宋体" w:cs="宋体"/>
                <w:kern w:val="0"/>
                <w:sz w:val="20"/>
              </w:rPr>
              <w:t>编制单位：</w:t>
            </w:r>
            <w:r>
              <w:rPr>
                <w:rFonts w:hint="eastAsia" w:ascii="宋体" w:hAnsi="宋体" w:cs="宋体"/>
                <w:kern w:val="0"/>
                <w:sz w:val="20"/>
                <w:lang w:val="en-US" w:eastAsia="zh-CN"/>
              </w:rPr>
              <w:t>区政府外办</w:t>
            </w:r>
          </w:p>
        </w:tc>
        <w:tc>
          <w:tcPr>
            <w:tcW w:w="162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457" w:hRule="atLeast"/>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　外事活动费用</w:t>
            </w:r>
          </w:p>
        </w:tc>
        <w:tc>
          <w:tcPr>
            <w:tcW w:w="16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lang w:val="en-US" w:eastAsia="zh-CN"/>
              </w:rPr>
              <w:t>沙坪坝区人民政府外事办公室</w:t>
            </w:r>
          </w:p>
        </w:tc>
      </w:tr>
      <w:tr>
        <w:tblPrEx>
          <w:tblCellMar>
            <w:top w:w="0" w:type="dxa"/>
            <w:left w:w="108" w:type="dxa"/>
            <w:bottom w:w="0" w:type="dxa"/>
            <w:right w:w="108" w:type="dxa"/>
          </w:tblCellMar>
        </w:tblPrEx>
        <w:trPr>
          <w:trHeight w:val="393"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0"/>
              </w:rPr>
            </w:pPr>
            <w:r>
              <w:rPr>
                <w:rFonts w:hint="eastAsia" w:ascii="Times New Roman" w:hAnsi="Times New Roman" w:cs="Times New Roman"/>
                <w:kern w:val="0"/>
                <w:sz w:val="20"/>
                <w:lang w:val="en-US" w:eastAsia="zh-CN"/>
              </w:rPr>
              <w:t xml:space="preserve"> 10</w:t>
            </w:r>
          </w:p>
        </w:tc>
        <w:tc>
          <w:tcPr>
            <w:tcW w:w="168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Times New Roman" w:hAnsi="Times New Roman" w:cs="Times New Roman"/>
                <w:kern w:val="0"/>
                <w:sz w:val="20"/>
                <w:lang w:val="en-US" w:eastAsia="zh-CN"/>
              </w:rPr>
              <w:t>10</w:t>
            </w:r>
          </w:p>
        </w:tc>
      </w:tr>
      <w:tr>
        <w:tblPrEx>
          <w:tblCellMar>
            <w:top w:w="0" w:type="dxa"/>
            <w:left w:w="108" w:type="dxa"/>
            <w:bottom w:w="0" w:type="dxa"/>
            <w:right w:w="108" w:type="dxa"/>
          </w:tblCellMar>
        </w:tblPrEx>
        <w:trPr>
          <w:trHeight w:val="36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协助举办市级、区级国际会议，组织参加国际会议。2.与我区友好城市/友好交流城市、意向友好城市/友好交流城市、外国驻华领事馆在文化、教育、体育、经贸等领域深入交流。3.与其他国家开展教育、文化、科技、对外招商引资等交流。4.开展海外领事保护宣传。5.接待来访外宾或涉外人员参观访问，开展教育、文化、科技、商贸等领域对外交流合作。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1.《印发&lt;关于进一步规范省部级以下国家工作人员外事工作和因公临时出国的实施意见&gt;的通知》（渝委办发〔2013〕21号） 2.《关于印发&lt;关于进一步规范省部级以下国家工作人员因公临时出国管理的实施细则&gt;的通知》（渝委外办文〔2014〕4号） 3.《关于印发&lt;重庆市党政机关外宾接待经费管理办法&gt;的通知》（渝财行〔2014〕44号） 4.《关于印发《重庆市沙坪坝区人民政府外事办公室职能配置、内设机构和人员编制规定》的通知（沙委办发〔2019〕21号） 5.关于印发《重庆市沙坪坝区打造开放引领示范区工作方案》的通知（区委办便笺〔2022〕29号）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1.2024年12月底前，协助举办或组织参加市级、区级国际会议3次。2.2024年12月底前，与我区友好城市/友好交流城市、意向友好城市/友好交流城市、外国驻华领事馆在文化、教育、体育、经贸等领域深入交流5次。3.2024年12月底前，与其他国家开展教育、文化、科技、对外招商引资等交流2次。4.2024年12月底前，开展海外领事保护宣传1次。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指标</w:t>
            </w:r>
          </w:p>
        </w:tc>
        <w:tc>
          <w:tcPr>
            <w:tcW w:w="10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参与外宾人数</w:t>
            </w:r>
          </w:p>
        </w:tc>
        <w:tc>
          <w:tcPr>
            <w:tcW w:w="10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人次</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协助举办或参与国际会议活动</w:t>
            </w:r>
          </w:p>
        </w:tc>
        <w:tc>
          <w:tcPr>
            <w:tcW w:w="10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次</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友城交流活动</w:t>
            </w:r>
          </w:p>
        </w:tc>
        <w:tc>
          <w:tcPr>
            <w:tcW w:w="10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次</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对外合作交流外宾满意度</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友城交流对方满意度</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vAlign w:val="center"/>
          </w:tcPr>
          <w:p>
            <w:pPr>
              <w:widowControl/>
              <w:jc w:val="left"/>
              <w:rPr>
                <w:rFonts w:ascii="宋体" w:hAnsi="宋体" w:cs="宋体"/>
                <w:kern w:val="0"/>
                <w:sz w:val="20"/>
              </w:rPr>
            </w:pPr>
            <w:r>
              <w:rPr>
                <w:rFonts w:hint="eastAsia" w:ascii="宋体" w:hAnsi="宋体" w:cs="宋体"/>
                <w:kern w:val="0"/>
                <w:sz w:val="20"/>
              </w:rPr>
              <w:t>编制单位：</w:t>
            </w:r>
            <w:r>
              <w:rPr>
                <w:rFonts w:hint="eastAsia" w:ascii="宋体" w:hAnsi="宋体" w:cs="宋体"/>
                <w:kern w:val="0"/>
                <w:sz w:val="20"/>
                <w:lang w:val="en-US" w:eastAsia="zh-CN"/>
              </w:rPr>
              <w:t>区政府外办</w:t>
            </w:r>
          </w:p>
        </w:tc>
        <w:tc>
          <w:tcPr>
            <w:tcW w:w="162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457" w:hRule="atLeast"/>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　外事</w:t>
            </w:r>
            <w:r>
              <w:rPr>
                <w:rFonts w:hint="eastAsia" w:ascii="宋体" w:hAnsi="宋体" w:cs="宋体"/>
                <w:kern w:val="0"/>
                <w:sz w:val="20"/>
                <w:lang w:val="en-US" w:eastAsia="zh-CN"/>
              </w:rPr>
              <w:t>接待经费</w:t>
            </w:r>
          </w:p>
        </w:tc>
        <w:tc>
          <w:tcPr>
            <w:tcW w:w="16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lang w:val="en-US" w:eastAsia="zh-CN"/>
              </w:rPr>
              <w:t>沙坪坝区人民政府外事办公室</w:t>
            </w:r>
          </w:p>
        </w:tc>
      </w:tr>
      <w:tr>
        <w:tblPrEx>
          <w:tblCellMar>
            <w:top w:w="0" w:type="dxa"/>
            <w:left w:w="108" w:type="dxa"/>
            <w:bottom w:w="0" w:type="dxa"/>
            <w:right w:w="108" w:type="dxa"/>
          </w:tblCellMar>
        </w:tblPrEx>
        <w:trPr>
          <w:trHeight w:val="393"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cs="Times New Roman"/>
                <w:kern w:val="0"/>
                <w:sz w:val="20"/>
                <w:lang w:val="en-US" w:eastAsia="zh-CN"/>
              </w:rPr>
              <w:t>2</w:t>
            </w:r>
          </w:p>
        </w:tc>
        <w:tc>
          <w:tcPr>
            <w:tcW w:w="1686"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6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2</w:t>
            </w:r>
          </w:p>
        </w:tc>
      </w:tr>
      <w:tr>
        <w:tblPrEx>
          <w:tblCellMar>
            <w:top w:w="0" w:type="dxa"/>
            <w:left w:w="108" w:type="dxa"/>
            <w:bottom w:w="0" w:type="dxa"/>
            <w:right w:w="108" w:type="dxa"/>
          </w:tblCellMar>
        </w:tblPrEx>
        <w:trPr>
          <w:trHeight w:val="36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接待来访外宾或涉外人员参观访问，开展教育、文化、科技、商贸等领域对外交流合作。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1.《印发&lt;关于进一步规范省部级以下国家工作人员外事工作和因公临时出国的实施意见&gt;的通知》（渝委办发〔2013〕21号） 2.《关于印发&lt;关于进一步规范省部级以下国家工作人员因公临时出国管理的实施细则&gt;的通知》（渝委外办文〔2014〕4号） 3.《关于印发&lt;重庆市党政机关外宾接待经费管理办法&gt;的通知》（渝财行〔2014〕44号） 4.《关于印发《重庆市沙坪坝区人民政府外事办公室职能配置、内设机构和人员编制规定》的通知（沙委办发〔2019〕21号） 5.关于印发《重庆市沙坪坝区打造开放引领示范区工作方案》的通知（区委办便笺〔2022〕29号）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2024年12月底前，完成各项外宾或涉外人员参观访问接待任务6批次，开展教育、文化、科技、商贸等领域对外交流合作。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指标</w:t>
            </w:r>
          </w:p>
        </w:tc>
        <w:tc>
          <w:tcPr>
            <w:tcW w:w="10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参与外宾人数</w:t>
            </w:r>
          </w:p>
        </w:tc>
        <w:tc>
          <w:tcPr>
            <w:tcW w:w="10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人次</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重要外宾接待</w:t>
            </w:r>
          </w:p>
        </w:tc>
        <w:tc>
          <w:tcPr>
            <w:tcW w:w="10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批次</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驻渝领事馆外宾接待</w:t>
            </w:r>
          </w:p>
        </w:tc>
        <w:tc>
          <w:tcPr>
            <w:tcW w:w="106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人次</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ascii="Times New Roman" w:hAnsi="Times New Roman" w:cs="Times New Roman"/>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对外接待外宾满意度</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驻渝领事馆接待外宾满意度</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vAlign w:val="center"/>
          </w:tcPr>
          <w:p>
            <w:pPr>
              <w:widowControl/>
              <w:jc w:val="left"/>
              <w:rPr>
                <w:rFonts w:ascii="宋体" w:hAnsi="宋体" w:cs="宋体"/>
                <w:kern w:val="0"/>
                <w:sz w:val="20"/>
              </w:rPr>
            </w:pPr>
            <w:r>
              <w:rPr>
                <w:rFonts w:hint="eastAsia" w:ascii="宋体" w:hAnsi="宋体" w:cs="宋体"/>
                <w:kern w:val="0"/>
                <w:sz w:val="20"/>
              </w:rPr>
              <w:t>编制单位：</w:t>
            </w:r>
            <w:r>
              <w:rPr>
                <w:rFonts w:hint="eastAsia" w:ascii="宋体" w:hAnsi="宋体" w:cs="宋体"/>
                <w:kern w:val="0"/>
                <w:sz w:val="20"/>
                <w:lang w:val="en-US" w:eastAsia="zh-CN"/>
              </w:rPr>
              <w:t>区政府外办</w:t>
            </w:r>
          </w:p>
        </w:tc>
        <w:tc>
          <w:tcPr>
            <w:tcW w:w="162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457" w:hRule="atLeast"/>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基础办公类</w:t>
            </w:r>
          </w:p>
        </w:tc>
        <w:tc>
          <w:tcPr>
            <w:tcW w:w="16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lang w:val="en-US" w:eastAsia="zh-CN"/>
              </w:rPr>
              <w:t>沙坪坝区人民政府外事办公室</w:t>
            </w:r>
          </w:p>
        </w:tc>
      </w:tr>
      <w:tr>
        <w:tblPrEx>
          <w:tblCellMar>
            <w:top w:w="0" w:type="dxa"/>
            <w:left w:w="108" w:type="dxa"/>
            <w:bottom w:w="0" w:type="dxa"/>
            <w:right w:w="108" w:type="dxa"/>
          </w:tblCellMar>
        </w:tblPrEx>
        <w:trPr>
          <w:trHeight w:val="393"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lang w:eastAsia="zh-CN"/>
              </w:rPr>
            </w:pPr>
            <w:r>
              <w:rPr>
                <w:rFonts w:hint="eastAsia" w:ascii="Times New Roman" w:hAnsi="Times New Roman" w:cs="Times New Roman"/>
                <w:kern w:val="0"/>
                <w:sz w:val="20"/>
                <w:lang w:val="en-US" w:eastAsia="zh-CN"/>
              </w:rPr>
              <w:t>4.07</w:t>
            </w:r>
          </w:p>
        </w:tc>
        <w:tc>
          <w:tcPr>
            <w:tcW w:w="1686"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6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0"/>
                <w:lang w:val="en-US" w:eastAsia="zh-CN"/>
              </w:rPr>
            </w:pPr>
            <w:r>
              <w:rPr>
                <w:rFonts w:hint="eastAsia" w:ascii="Times New Roman" w:hAnsi="Times New Roman" w:cs="Times New Roman"/>
                <w:kern w:val="0"/>
                <w:sz w:val="20"/>
                <w:lang w:val="en-US" w:eastAsia="zh-CN"/>
              </w:rPr>
              <w:t>4.07</w:t>
            </w:r>
          </w:p>
        </w:tc>
      </w:tr>
      <w:tr>
        <w:tblPrEx>
          <w:tblCellMar>
            <w:top w:w="0" w:type="dxa"/>
            <w:left w:w="108" w:type="dxa"/>
            <w:bottom w:w="0" w:type="dxa"/>
            <w:right w:w="108" w:type="dxa"/>
          </w:tblCellMar>
        </w:tblPrEx>
        <w:trPr>
          <w:trHeight w:val="36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保证机关正常运行办公费、印刷费、</w:t>
            </w:r>
            <w:r>
              <w:rPr>
                <w:rFonts w:hint="eastAsia" w:ascii="Times New Roman" w:hAnsi="Times New Roman" w:cs="Times New Roman"/>
                <w:kern w:val="0"/>
                <w:sz w:val="20"/>
                <w:lang w:val="en-US" w:eastAsia="zh-CN"/>
              </w:rPr>
              <w:t>咨询费、</w:t>
            </w:r>
            <w:r>
              <w:rPr>
                <w:rFonts w:hint="default" w:ascii="Times New Roman" w:hAnsi="Times New Roman" w:cs="Times New Roman"/>
                <w:kern w:val="0"/>
                <w:sz w:val="20"/>
              </w:rPr>
              <w:t>差旅费、维修（护）费支出。</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1.《印发&lt;关于进一步规范省部级以下国家工作人员外事工作和因公临时出国的实施意见&gt;的通知》（渝委办发〔2013〕21号） 2.《关于印发&lt;关于进一步规范省部级以下国家工作人员因公临时出国管理的实施细则&gt;的通知》（渝委外办文〔2014〕4号） 3.《关于印发&lt;重庆市党政机关外宾接待经费管理办法&gt;的通知》（渝财行〔2014〕44号） 4.《关于印发《重庆市沙坪坝区人民政府外事办公室职能配置、内设机构和人员编制规定》的通知（沙委办发〔2019〕21号） 5.关于印发《重庆市沙坪坝区打造开放引领示范区工作方案》的通知（区委办便笺〔2022〕29号）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保证机关正常运行办公费、印刷费、</w:t>
            </w:r>
            <w:r>
              <w:rPr>
                <w:rFonts w:hint="eastAsia" w:ascii="Times New Roman" w:hAnsi="Times New Roman" w:cs="Times New Roman"/>
                <w:kern w:val="0"/>
                <w:sz w:val="20"/>
                <w:lang w:val="en-US" w:eastAsia="zh-CN"/>
              </w:rPr>
              <w:t>咨询费、</w:t>
            </w:r>
            <w:r>
              <w:rPr>
                <w:rFonts w:hint="default" w:ascii="Times New Roman" w:hAnsi="Times New Roman" w:cs="Times New Roman"/>
                <w:kern w:val="0"/>
                <w:sz w:val="20"/>
              </w:rPr>
              <w:t>差旅费、维修（护）费支出</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指标</w:t>
            </w:r>
          </w:p>
        </w:tc>
        <w:tc>
          <w:tcPr>
            <w:tcW w:w="10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经费使用额</w:t>
            </w:r>
          </w:p>
        </w:tc>
        <w:tc>
          <w:tcPr>
            <w:tcW w:w="106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万元</w:t>
            </w:r>
          </w:p>
        </w:tc>
        <w:tc>
          <w:tcPr>
            <w:tcW w:w="13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648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4.07</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完成时效</w:t>
            </w:r>
          </w:p>
        </w:tc>
        <w:tc>
          <w:tcPr>
            <w:tcW w:w="106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月</w:t>
            </w:r>
          </w:p>
        </w:tc>
        <w:tc>
          <w:tcPr>
            <w:tcW w:w="13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648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12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工作完成率</w:t>
            </w:r>
          </w:p>
        </w:tc>
        <w:tc>
          <w:tcPr>
            <w:tcW w:w="106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13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满意度</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r>
              <w:rPr>
                <w:rFonts w:hint="eastAsia" w:ascii="Times New Roman" w:hAnsi="Times New Roman" w:cs="Times New Roman"/>
                <w:kern w:val="0"/>
                <w:sz w:val="20"/>
                <w:lang w:val="en-US" w:eastAsia="zh-CN"/>
              </w:rPr>
              <w:t>%</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r>
              <w:rPr>
                <w:rFonts w:hint="eastAsia" w:ascii="Times New Roman" w:hAnsi="Times New Roman" w:cs="Times New Roman"/>
                <w:kern w:val="0"/>
                <w:sz w:val="20"/>
                <w:lang w:val="en-US" w:eastAsia="zh-CN"/>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p>
        </w:tc>
        <w:tc>
          <w:tcPr>
            <w:tcW w:w="6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p>
        </w:tc>
      </w:tr>
    </w:tbl>
    <w:p>
      <w:pPr>
        <w:sectPr>
          <w:pgSz w:w="16838" w:h="11906" w:orient="landscape"/>
          <w:pgMar w:top="1077" w:right="851" w:bottom="1106" w:left="936" w:header="0" w:footer="992" w:gutter="0"/>
          <w:pgBorders>
            <w:top w:val="none" w:sz="0" w:space="0"/>
            <w:left w:val="none" w:sz="0" w:space="0"/>
            <w:bottom w:val="none" w:sz="0" w:space="0"/>
            <w:right w:val="none" w:sz="0" w:space="0"/>
          </w:pgBorders>
          <w:cols w:space="720" w:num="1"/>
          <w:docGrid w:type="lines" w:linePitch="312" w:charSpace="0"/>
        </w:sectPr>
      </w:pPr>
    </w:p>
    <w:tbl>
      <w:tblPr>
        <w:tblStyle w:val="2"/>
        <w:tblW w:w="15041" w:type="dxa"/>
        <w:tblInd w:w="93" w:type="dxa"/>
        <w:tblLayout w:type="fixed"/>
        <w:tblCellMar>
          <w:top w:w="0" w:type="dxa"/>
          <w:left w:w="108" w:type="dxa"/>
          <w:bottom w:w="0" w:type="dxa"/>
          <w:right w:w="108" w:type="dxa"/>
        </w:tblCellMar>
      </w:tblPr>
      <w:tblGrid>
        <w:gridCol w:w="2220"/>
        <w:gridCol w:w="1620"/>
        <w:gridCol w:w="1206"/>
        <w:gridCol w:w="294"/>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vAlign w:val="center"/>
          </w:tcPr>
          <w:p>
            <w:pPr>
              <w:widowControl/>
              <w:jc w:val="left"/>
              <w:rPr>
                <w:rFonts w:ascii="宋体" w:hAnsi="宋体" w:cs="宋体"/>
                <w:kern w:val="0"/>
                <w:sz w:val="20"/>
              </w:rPr>
            </w:pPr>
            <w:r>
              <w:rPr>
                <w:rFonts w:hint="eastAsia" w:ascii="宋体" w:hAnsi="宋体" w:cs="宋体"/>
                <w:kern w:val="0"/>
                <w:sz w:val="20"/>
              </w:rPr>
              <w:t>编制单位：</w:t>
            </w:r>
            <w:r>
              <w:rPr>
                <w:rFonts w:hint="eastAsia" w:ascii="宋体" w:hAnsi="宋体" w:cs="宋体"/>
                <w:kern w:val="0"/>
                <w:sz w:val="20"/>
                <w:lang w:val="en-US" w:eastAsia="zh-CN"/>
              </w:rPr>
              <w:t>区政府外办</w:t>
            </w:r>
          </w:p>
        </w:tc>
        <w:tc>
          <w:tcPr>
            <w:tcW w:w="162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457" w:hRule="atLeast"/>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运行成本类</w:t>
            </w:r>
          </w:p>
        </w:tc>
        <w:tc>
          <w:tcPr>
            <w:tcW w:w="16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lang w:val="en-US" w:eastAsia="zh-CN"/>
              </w:rPr>
              <w:t>沙坪坝区人民政府外事办公室</w:t>
            </w:r>
            <w:bookmarkStart w:id="0" w:name="_GoBack"/>
            <w:bookmarkEnd w:id="0"/>
          </w:p>
        </w:tc>
      </w:tr>
      <w:tr>
        <w:tblPrEx>
          <w:tblCellMar>
            <w:top w:w="0" w:type="dxa"/>
            <w:left w:w="108" w:type="dxa"/>
            <w:bottom w:w="0" w:type="dxa"/>
            <w:right w:w="108" w:type="dxa"/>
          </w:tblCellMar>
        </w:tblPrEx>
        <w:trPr>
          <w:trHeight w:val="393"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lang w:eastAsia="zh-CN"/>
              </w:rPr>
            </w:pPr>
            <w:r>
              <w:rPr>
                <w:rFonts w:hint="eastAsia" w:ascii="Times New Roman" w:hAnsi="Times New Roman" w:cs="Times New Roman"/>
                <w:kern w:val="0"/>
                <w:sz w:val="20"/>
                <w:lang w:val="en-US" w:eastAsia="zh-CN"/>
              </w:rPr>
              <w:t>0.81</w:t>
            </w:r>
          </w:p>
        </w:tc>
        <w:tc>
          <w:tcPr>
            <w:tcW w:w="1686"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6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0"/>
                <w:lang w:val="en-US" w:eastAsia="zh-CN"/>
              </w:rPr>
            </w:pPr>
            <w:r>
              <w:rPr>
                <w:rFonts w:hint="eastAsia" w:ascii="Times New Roman" w:hAnsi="Times New Roman" w:cs="Times New Roman"/>
                <w:kern w:val="0"/>
                <w:sz w:val="20"/>
                <w:lang w:val="en-US" w:eastAsia="zh-CN"/>
              </w:rPr>
              <w:t>0.81</w:t>
            </w:r>
          </w:p>
        </w:tc>
      </w:tr>
      <w:tr>
        <w:tblPrEx>
          <w:tblCellMar>
            <w:top w:w="0" w:type="dxa"/>
            <w:left w:w="108" w:type="dxa"/>
            <w:bottom w:w="0" w:type="dxa"/>
            <w:right w:w="108" w:type="dxa"/>
          </w:tblCellMar>
        </w:tblPrEx>
        <w:trPr>
          <w:trHeight w:val="36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保证机关正常运行邮电费、物业管理费支出。</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1.《印发&lt;关于进一步规范省部级以下国家工作人员外事工作和因公临时出国的实施意见&gt;的通知》（渝委办发〔2013〕21号） 2.《关于印发&lt;关于进一步规范省部级以下国家工作人员因公临时出国管理的实施细则&gt;的通知》（渝委外办文〔2014〕4号） 3.《关于印发&lt;重庆市党政机关外宾接待经费管理办法&gt;的通知》（渝财行〔2014〕44号） 4.《关于印发《重庆市沙坪坝区人民政府外事办公室职能配置、内设机构和人员编制规定》的通知（沙委办发〔2019〕21号） 5.关于印发《重庆市沙坪坝区打造开放引领示范区工作方案》的通知（区委办便笺〔2022〕29号）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保证机关正常运行邮电费、物业管理费支出。</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指标</w:t>
            </w:r>
          </w:p>
        </w:tc>
        <w:tc>
          <w:tcPr>
            <w:tcW w:w="10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经费使用额</w:t>
            </w:r>
          </w:p>
        </w:tc>
        <w:tc>
          <w:tcPr>
            <w:tcW w:w="106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万元</w:t>
            </w:r>
          </w:p>
        </w:tc>
        <w:tc>
          <w:tcPr>
            <w:tcW w:w="13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648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0.81</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完成时效</w:t>
            </w:r>
          </w:p>
        </w:tc>
        <w:tc>
          <w:tcPr>
            <w:tcW w:w="106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月</w:t>
            </w:r>
          </w:p>
        </w:tc>
        <w:tc>
          <w:tcPr>
            <w:tcW w:w="13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648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12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工作完成率</w:t>
            </w:r>
          </w:p>
        </w:tc>
        <w:tc>
          <w:tcPr>
            <w:tcW w:w="106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13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满意度</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r>
              <w:rPr>
                <w:rFonts w:hint="eastAsia" w:ascii="Times New Roman" w:hAnsi="Times New Roman" w:cs="Times New Roman"/>
                <w:kern w:val="0"/>
                <w:sz w:val="20"/>
                <w:lang w:val="en-US" w:eastAsia="zh-CN"/>
              </w:rPr>
              <w:t>2</w:t>
            </w:r>
            <w:r>
              <w:rPr>
                <w:rFonts w:hint="eastAsia" w:cs="Times New Roman"/>
                <w:kern w:val="0"/>
                <w:sz w:val="20"/>
                <w:lang w:val="en-US" w:eastAsia="zh-CN"/>
              </w:rPr>
              <w:t>5</w:t>
            </w:r>
            <w:r>
              <w:rPr>
                <w:rFonts w:hint="eastAsia" w:ascii="Times New Roman" w:hAnsi="Times New Roman" w:cs="Times New Roman"/>
                <w:kern w:val="0"/>
                <w:sz w:val="20"/>
                <w:lang w:val="en-US" w:eastAsia="zh-CN"/>
              </w:rPr>
              <w:t>%</w:t>
            </w:r>
          </w:p>
        </w:tc>
        <w:tc>
          <w:tcPr>
            <w:tcW w:w="11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r>
              <w:rPr>
                <w:rFonts w:hint="eastAsia" w:ascii="Times New Roman" w:hAnsi="Times New Roman" w:cs="Times New Roman"/>
                <w:kern w:val="0"/>
                <w:sz w:val="20"/>
                <w:lang w:val="en-US" w:eastAsia="zh-CN"/>
              </w:rPr>
              <w:t>%</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r>
              <w:rPr>
                <w:rFonts w:hint="eastAsia" w:ascii="Times New Roman" w:hAnsi="Times New Roman" w:cs="Times New Roman"/>
                <w:kern w:val="0"/>
                <w:sz w:val="20"/>
                <w:lang w:val="en-US" w:eastAsia="zh-CN"/>
              </w:rPr>
              <w:t>≥</w:t>
            </w:r>
          </w:p>
        </w:tc>
        <w:tc>
          <w:tcPr>
            <w:tcW w:w="6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r>
              <w:rPr>
                <w:rFonts w:hint="eastAsia" w:ascii="Times New Roman" w:hAnsi="Times New Roman" w:cs="Times New Roman"/>
                <w:kern w:val="0"/>
                <w:sz w:val="20"/>
                <w:lang w:val="en-US" w:eastAsia="zh-CN"/>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82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p>
        </w:tc>
        <w:tc>
          <w:tcPr>
            <w:tcW w:w="11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lang w:val="en-US" w:eastAsia="zh-CN"/>
              </w:rPr>
            </w:pPr>
          </w:p>
        </w:tc>
        <w:tc>
          <w:tcPr>
            <w:tcW w:w="6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rPr>
            </w:pPr>
          </w:p>
        </w:tc>
      </w:tr>
    </w:tbl>
    <w:p>
      <w:pPr>
        <w:sectPr>
          <w:pgSz w:w="16838" w:h="11906" w:orient="landscape"/>
          <w:pgMar w:top="1077" w:right="851" w:bottom="1106" w:left="936" w:header="0"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635EC"/>
    <w:rsid w:val="04A42C89"/>
    <w:rsid w:val="1F7276F1"/>
    <w:rsid w:val="3BD635EC"/>
    <w:rsid w:val="459D2358"/>
    <w:rsid w:val="48A07B01"/>
    <w:rsid w:val="6A56229F"/>
    <w:rsid w:val="6AD362FC"/>
    <w:rsid w:val="799A34C4"/>
    <w:rsid w:val="7C28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2023-12-26T06:47:00Z</dcterms:created>
  <dc:creator>张玉林</dc:creator>
  <cp:lastModifiedBy>情话</cp:lastModifiedBy>
  <cp:lastPrinted>2023-12-26T09:45:00Z</cp:lastPrinted>
  <dcterms:modified xsi:type="dcterms:W3CDTF">2023-12-27T03:22:30Z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D0E8B452C6BB44C9A594FF78CF4593FD</vt:lpwstr>
  </property>
</Properties>
</file>