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7A" w:rsidRDefault="00EC046C">
      <w:pPr>
        <w:pStyle w:val="a3"/>
        <w:widowControl/>
        <w:spacing w:beforeAutospacing="0" w:afterAutospacing="0" w:line="450" w:lineRule="atLeast"/>
        <w:jc w:val="center"/>
        <w:rPr>
          <w:rFonts w:ascii="仿宋" w:eastAsia="仿宋" w:hAnsi="仿宋" w:cs="仿宋"/>
          <w:color w:val="454545"/>
          <w:sz w:val="28"/>
          <w:szCs w:val="28"/>
        </w:rPr>
      </w:pPr>
      <w:r>
        <w:rPr>
          <w:rStyle w:val="a4"/>
          <w:rFonts w:ascii="方正小标宋_GBK" w:eastAsia="方正小标宋_GBK" w:hAnsi="方正小标宋_GBK" w:cs="方正小标宋_GBK" w:hint="eastAsia"/>
          <w:color w:val="454545"/>
          <w:sz w:val="28"/>
          <w:szCs w:val="28"/>
        </w:rPr>
        <w:t>沙坪坝区区属国有企业管理办法</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br/>
      </w:r>
      <w:r>
        <w:rPr>
          <w:rFonts w:ascii="仿宋" w:eastAsia="仿宋" w:hAnsi="仿宋" w:cs="仿宋" w:hint="eastAsia"/>
          <w:color w:val="454545"/>
          <w:sz w:val="28"/>
          <w:szCs w:val="28"/>
        </w:rPr>
        <w:t>第一章 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总则</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r>
        <w:rPr>
          <w:rFonts w:ascii="仿宋" w:eastAsia="仿宋" w:hAnsi="仿宋" w:cs="仿宋" w:hint="eastAsia"/>
          <w:color w:val="454545"/>
          <w:sz w:val="28"/>
          <w:szCs w:val="28"/>
        </w:rPr>
        <w:t>第一条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为提高国有资本效率，增强国有企业活力，完善国有资产监管体系，防止国有资产流失，根据《中华人民共和国公司法》《中华人民共和国企业国有资产法》《中共中央国务院关于深化国有企业改革的指导意见》及《重庆市人民政府办公厅关于深化区县国企国资改革的指导意见》等规定，结合本区实际，制定本办法。</w:t>
      </w:r>
      <w:r>
        <w:rPr>
          <w:rFonts w:ascii="仿宋" w:eastAsia="仿宋" w:hAnsi="仿宋" w:cs="仿宋" w:hint="eastAsia"/>
          <w:color w:val="454545"/>
          <w:sz w:val="28"/>
          <w:szCs w:val="28"/>
        </w:rPr>
        <w:br/>
      </w:r>
      <w:r w:rsidR="00BE2BBA">
        <w:rPr>
          <w:rFonts w:ascii="仿宋" w:eastAsia="仿宋" w:hAnsi="仿宋" w:cs="仿宋" w:hint="eastAsia"/>
          <w:color w:val="454545"/>
          <w:sz w:val="28"/>
          <w:szCs w:val="28"/>
        </w:rPr>
        <w:t>  </w:t>
      </w:r>
      <w:r>
        <w:rPr>
          <w:rFonts w:ascii="仿宋" w:eastAsia="仿宋" w:hAnsi="仿宋" w:cs="仿宋" w:hint="eastAsia"/>
          <w:color w:val="454545"/>
          <w:sz w:val="28"/>
          <w:szCs w:val="28"/>
        </w:rPr>
        <w:t>第二条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本办法所称区属国有企业包含区属国有重点企业和区属国有非重点企业。</w:t>
      </w:r>
      <w:r>
        <w:rPr>
          <w:rFonts w:ascii="仿宋" w:eastAsia="仿宋" w:hAnsi="仿宋" w:cs="仿宋" w:hint="eastAsia"/>
          <w:color w:val="454545"/>
          <w:sz w:val="28"/>
          <w:szCs w:val="28"/>
        </w:rPr>
        <w:br/>
      </w:r>
      <w:r w:rsidR="00BE2BBA">
        <w:rPr>
          <w:rFonts w:ascii="仿宋" w:eastAsia="仿宋" w:hAnsi="仿宋" w:cs="仿宋" w:hint="eastAsia"/>
          <w:color w:val="454545"/>
          <w:sz w:val="28"/>
          <w:szCs w:val="28"/>
        </w:rPr>
        <w:t>  </w:t>
      </w:r>
      <w:r>
        <w:rPr>
          <w:rFonts w:ascii="仿宋" w:eastAsia="仿宋" w:hAnsi="仿宋" w:cs="仿宋" w:hint="eastAsia"/>
          <w:color w:val="454545"/>
          <w:sz w:val="28"/>
          <w:szCs w:val="28"/>
        </w:rPr>
        <w:t>第三条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级各部门及区属国有企业应当适应国有资产资本化、市场化、法治化要求，形成以管资本为主的国有资产监管体制，聚焦优化国有资本配置、聚焦增强国有企业活力、聚焦提高国有资本回报、聚焦防止国有资产流失。</w:t>
      </w:r>
      <w:r>
        <w:rPr>
          <w:rFonts w:ascii="仿宋" w:eastAsia="仿宋" w:hAnsi="仿宋" w:cs="仿宋" w:hint="eastAsia"/>
          <w:color w:val="454545"/>
          <w:sz w:val="28"/>
          <w:szCs w:val="28"/>
        </w:rPr>
        <w:br/>
      </w:r>
      <w:r w:rsidR="00BE2BBA">
        <w:rPr>
          <w:rFonts w:ascii="仿宋" w:eastAsia="仿宋" w:hAnsi="仿宋" w:cs="仿宋" w:hint="eastAsia"/>
          <w:color w:val="454545"/>
          <w:sz w:val="28"/>
          <w:szCs w:val="28"/>
        </w:rPr>
        <w:t>  </w:t>
      </w:r>
      <w:r>
        <w:rPr>
          <w:rFonts w:ascii="仿宋" w:eastAsia="仿宋" w:hAnsi="仿宋" w:cs="仿宋" w:hint="eastAsia"/>
          <w:color w:val="454545"/>
          <w:sz w:val="28"/>
          <w:szCs w:val="28"/>
        </w:rPr>
        <w:t>第四条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加强党对企业的领导和党群组织建设，落实企业领导人员廉洁从业的若干规定，完善企业领导人员和人才队伍建设体制机制。</w:t>
      </w:r>
    </w:p>
    <w:p w:rsidR="0030647A" w:rsidRDefault="00EC046C" w:rsidP="00BE2BBA">
      <w:pPr>
        <w:pStyle w:val="a3"/>
        <w:widowControl/>
        <w:spacing w:beforeAutospacing="0" w:afterAutospacing="0" w:line="570" w:lineRule="exact"/>
        <w:ind w:firstLineChars="200" w:firstLine="560"/>
        <w:jc w:val="center"/>
        <w:rPr>
          <w:rFonts w:ascii="仿宋" w:eastAsia="仿宋" w:hAnsi="仿宋" w:cs="仿宋"/>
          <w:color w:val="454545"/>
          <w:sz w:val="28"/>
          <w:szCs w:val="28"/>
        </w:rPr>
      </w:pPr>
      <w:r>
        <w:rPr>
          <w:rFonts w:ascii="仿宋" w:eastAsia="仿宋" w:hAnsi="仿宋" w:cs="仿宋" w:hint="eastAsia"/>
          <w:color w:val="454545"/>
          <w:sz w:val="28"/>
          <w:szCs w:val="28"/>
        </w:rPr>
        <w:t>第二章 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职责分工</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r>
        <w:rPr>
          <w:rFonts w:ascii="仿宋" w:eastAsia="仿宋" w:hAnsi="仿宋" w:cs="仿宋" w:hint="eastAsia"/>
          <w:color w:val="454545"/>
          <w:sz w:val="28"/>
          <w:szCs w:val="28"/>
        </w:rPr>
        <w:t>第五条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区国资委根据区委、区政府授权按照政企分开、社会公共管理职能与国有资产出资人职能分开、不干预企业依法自主经营的原则，依法履行出资人职责。</w:t>
      </w:r>
      <w:r>
        <w:rPr>
          <w:rFonts w:ascii="仿宋" w:eastAsia="仿宋" w:hAnsi="仿宋" w:cs="仿宋" w:hint="eastAsia"/>
          <w:color w:val="454545"/>
          <w:sz w:val="28"/>
          <w:szCs w:val="28"/>
        </w:rPr>
        <w:br/>
      </w:r>
      <w:r w:rsidR="00BE2BBA">
        <w:rPr>
          <w:rFonts w:ascii="仿宋" w:eastAsia="仿宋" w:hAnsi="仿宋" w:cs="仿宋" w:hint="eastAsia"/>
          <w:color w:val="454545"/>
          <w:sz w:val="28"/>
          <w:szCs w:val="28"/>
        </w:rPr>
        <w:t>  </w:t>
      </w:r>
      <w:r>
        <w:rPr>
          <w:rFonts w:ascii="仿宋" w:eastAsia="仿宋" w:hAnsi="仿宋" w:cs="仿宋" w:hint="eastAsia"/>
          <w:color w:val="454545"/>
          <w:sz w:val="28"/>
          <w:szCs w:val="28"/>
        </w:rPr>
        <w:t>第六条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w:t>
      </w:r>
      <w:r>
        <w:rPr>
          <w:rFonts w:ascii="仿宋" w:eastAsia="仿宋" w:hAnsi="仿宋" w:cs="仿宋" w:hint="eastAsia"/>
          <w:color w:val="454545"/>
          <w:sz w:val="28"/>
          <w:szCs w:val="28"/>
        </w:rPr>
        <w:t>国资委负责下列事项的管理：</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（一）指导区属国有企业党的建设；</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（二）区属国有企业负责人任免或提名、下属子公司负责人管理等工作；</w:t>
      </w:r>
      <w:r>
        <w:rPr>
          <w:rFonts w:ascii="仿宋" w:eastAsia="仿宋" w:hAnsi="仿宋" w:cs="仿宋" w:hint="eastAsia"/>
          <w:color w:val="454545"/>
          <w:sz w:val="28"/>
          <w:szCs w:val="28"/>
        </w:rPr>
        <w:br/>
      </w:r>
      <w:r>
        <w:rPr>
          <w:rFonts w:ascii="仿宋" w:eastAsia="仿宋" w:hAnsi="仿宋" w:cs="仿宋" w:hint="eastAsia"/>
          <w:color w:val="454545"/>
          <w:sz w:val="28"/>
          <w:szCs w:val="28"/>
        </w:rPr>
        <w:lastRenderedPageBreak/>
        <w:t>   </w:t>
      </w:r>
      <w:r>
        <w:rPr>
          <w:rFonts w:ascii="仿宋" w:eastAsia="仿宋" w:hAnsi="仿宋" w:cs="仿宋" w:hint="eastAsia"/>
          <w:color w:val="454545"/>
          <w:sz w:val="28"/>
          <w:szCs w:val="28"/>
        </w:rPr>
        <w:t>（三）审核审批重大事项、企业资产、人员总额控制、经营业绩考核、薪酬分配等工作；</w:t>
      </w:r>
      <w:r>
        <w:rPr>
          <w:rFonts w:ascii="仿宋" w:eastAsia="仿宋" w:hAnsi="仿宋" w:cs="仿宋" w:hint="eastAsia"/>
          <w:color w:val="454545"/>
          <w:sz w:val="28"/>
          <w:szCs w:val="28"/>
        </w:rPr>
        <w:br/>
        <w:t xml:space="preserve">    </w:t>
      </w:r>
      <w:r>
        <w:rPr>
          <w:rFonts w:ascii="仿宋" w:eastAsia="仿宋" w:hAnsi="仿宋" w:cs="仿宋" w:hint="eastAsia"/>
          <w:color w:val="454545"/>
          <w:sz w:val="28"/>
          <w:szCs w:val="28"/>
        </w:rPr>
        <w:t>（四）负责区属国有企业统计监测、审核财务预决算等工作；</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（五）制定区属国有企业监督管理重大制度；</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（六）区属国有企业的监督和违规经营投资责任追究；</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（七）其他应由区国资委负责的事项。</w:t>
      </w:r>
      <w:r>
        <w:rPr>
          <w:rFonts w:ascii="仿宋" w:eastAsia="仿宋" w:hAnsi="仿宋" w:cs="仿宋" w:hint="eastAsia"/>
          <w:color w:val="454545"/>
          <w:sz w:val="28"/>
          <w:szCs w:val="28"/>
        </w:rPr>
        <w:br/>
        <w:t xml:space="preserve">  </w:t>
      </w:r>
      <w:r>
        <w:rPr>
          <w:rFonts w:ascii="仿宋" w:eastAsia="仿宋" w:hAnsi="仿宋" w:cs="仿宋" w:hint="eastAsia"/>
          <w:color w:val="454545"/>
          <w:sz w:val="28"/>
          <w:szCs w:val="28"/>
        </w:rPr>
        <w:t>第七条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区审计局负责下列事项的管理：</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（一）区属</w:t>
      </w:r>
      <w:r>
        <w:rPr>
          <w:rFonts w:ascii="仿宋" w:eastAsia="仿宋" w:hAnsi="仿宋" w:cs="仿宋" w:hint="eastAsia"/>
          <w:color w:val="454545"/>
          <w:sz w:val="28"/>
          <w:szCs w:val="28"/>
        </w:rPr>
        <w:t>国有企业审计监督；</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（二）区属国有重点企业负责人经济责任审计；</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（三）与区国资委共同负责区属国有企业监事会管理。</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第八条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区财政局会同区国资委负责区属国有企业国有资本经营预算的编制、执行、决算、监督检查。</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第九条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区级各部门根据各自职责，按照行业规划、技术标准、规范服务、合法经营的要求对区属国有企业进行行业监管和指导。</w:t>
      </w:r>
      <w:r>
        <w:rPr>
          <w:rFonts w:ascii="仿宋" w:eastAsia="仿宋" w:hAnsi="仿宋" w:cs="仿宋" w:hint="eastAsia"/>
          <w:color w:val="454545"/>
          <w:sz w:val="28"/>
          <w:szCs w:val="28"/>
        </w:rPr>
        <w:br/>
        <w:t>  </w:t>
      </w:r>
      <w:r>
        <w:rPr>
          <w:rFonts w:ascii="仿宋" w:eastAsia="仿宋" w:hAnsi="仿宋" w:cs="仿宋" w:hint="eastAsia"/>
          <w:color w:val="454545"/>
          <w:sz w:val="28"/>
          <w:szCs w:val="28"/>
        </w:rPr>
        <w:t>区级各部门应当推进简政放权，不得干预企业正常生产经营活动。</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第十条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区属国有企业作为市场主体依法行使企业法人财产权和经营自主权，对所出资的企业</w:t>
      </w:r>
      <w:r>
        <w:rPr>
          <w:rFonts w:ascii="仿宋" w:eastAsia="仿宋" w:hAnsi="仿宋" w:cs="仿宋" w:hint="eastAsia"/>
          <w:color w:val="454545"/>
          <w:sz w:val="28"/>
          <w:szCs w:val="28"/>
        </w:rPr>
        <w:t>履行出资人职责。</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第十一条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属国有企业承担本单位安全生产工作和社会稳定工作的主体责任。完善各项工作制度，明确相关人员责任和职责，强化安全生产基础建设，切实提高安全生产管理水平。认真做好来信来访接待、突发事件应急预案、重大活动风险评估等工作，切实维护社会稳定。</w:t>
      </w:r>
    </w:p>
    <w:p w:rsidR="0030647A" w:rsidRDefault="00EC046C" w:rsidP="00BE2BBA">
      <w:pPr>
        <w:pStyle w:val="a3"/>
        <w:widowControl/>
        <w:spacing w:beforeAutospacing="0" w:afterAutospacing="0" w:line="570" w:lineRule="exact"/>
        <w:ind w:firstLineChars="200" w:firstLine="560"/>
        <w:jc w:val="center"/>
        <w:rPr>
          <w:rFonts w:ascii="仿宋" w:eastAsia="仿宋" w:hAnsi="仿宋" w:cs="仿宋"/>
          <w:color w:val="454545"/>
          <w:sz w:val="28"/>
          <w:szCs w:val="28"/>
        </w:rPr>
      </w:pPr>
      <w:r>
        <w:rPr>
          <w:rFonts w:ascii="仿宋" w:eastAsia="仿宋" w:hAnsi="仿宋" w:cs="仿宋" w:hint="eastAsia"/>
          <w:color w:val="454545"/>
          <w:sz w:val="28"/>
          <w:szCs w:val="28"/>
        </w:rPr>
        <w:t>第三章 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重大事项管理</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r>
        <w:rPr>
          <w:rFonts w:ascii="仿宋" w:eastAsia="仿宋" w:hAnsi="仿宋" w:cs="仿宋" w:hint="eastAsia"/>
          <w:color w:val="454545"/>
          <w:sz w:val="28"/>
          <w:szCs w:val="28"/>
        </w:rPr>
        <w:lastRenderedPageBreak/>
        <w:t>第十二条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区属国有企业重大事项决策实行分级管理制度。</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第十三条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以下事项应报区国资委备案：</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（一）企业年度预算与决算报告，财务报表、财务分析报告和审计报告；</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（二）企业银行账户的开立、变更、撤销</w:t>
      </w:r>
      <w:r>
        <w:rPr>
          <w:rFonts w:ascii="仿宋" w:eastAsia="仿宋" w:hAnsi="仿宋" w:cs="仿宋" w:hint="eastAsia"/>
          <w:color w:val="454545"/>
          <w:sz w:val="28"/>
          <w:szCs w:val="28"/>
        </w:rPr>
        <w:t>；</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（三）企业中层干部任免及从业人员增减变动情况，中层及以下人员考核方案及薪酬分配方案；</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（四）企业负责人经济责任审计报告；</w:t>
      </w:r>
      <w:r>
        <w:rPr>
          <w:rFonts w:ascii="仿宋" w:eastAsia="仿宋" w:hAnsi="仿宋" w:cs="仿宋" w:hint="eastAsia"/>
          <w:color w:val="454545"/>
          <w:sz w:val="28"/>
          <w:szCs w:val="28"/>
        </w:rPr>
        <w:br/>
        <w:t xml:space="preserve">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（五）企业负责人履职待遇及业务支出情况报告；</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（六）企业重大法律（经济）纠纷，发生涉及国有资产的重大诉讼、仲裁事项；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（七）对违规经营投资有关责任人从轻、减轻或免除处理的；</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（八）其它应报区国资委备案的事项。</w:t>
      </w:r>
      <w:r>
        <w:rPr>
          <w:rFonts w:ascii="仿宋" w:eastAsia="仿宋" w:hAnsi="仿宋" w:cs="仿宋" w:hint="eastAsia"/>
          <w:color w:val="454545"/>
          <w:sz w:val="28"/>
          <w:szCs w:val="28"/>
        </w:rPr>
        <w:br/>
        <w:t xml:space="preserve">    </w:t>
      </w:r>
      <w:r>
        <w:rPr>
          <w:rFonts w:ascii="仿宋" w:eastAsia="仿宋" w:hAnsi="仿宋" w:cs="仿宋" w:hint="eastAsia"/>
          <w:color w:val="454545"/>
          <w:sz w:val="28"/>
          <w:szCs w:val="28"/>
        </w:rPr>
        <w:t>第十四条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下列重大事项由区国资委负责审批决定：</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（一）原值</w:t>
      </w:r>
      <w:r>
        <w:rPr>
          <w:rFonts w:ascii="仿宋" w:eastAsia="仿宋" w:hAnsi="仿宋" w:cs="仿宋" w:hint="eastAsia"/>
          <w:color w:val="454545"/>
          <w:sz w:val="28"/>
          <w:szCs w:val="28"/>
        </w:rPr>
        <w:t>100</w:t>
      </w:r>
      <w:r>
        <w:rPr>
          <w:rFonts w:ascii="仿宋" w:eastAsia="仿宋" w:hAnsi="仿宋" w:cs="仿宋" w:hint="eastAsia"/>
          <w:color w:val="454545"/>
          <w:sz w:val="28"/>
          <w:szCs w:val="28"/>
        </w:rPr>
        <w:t>万元（含）至</w:t>
      </w:r>
      <w:r>
        <w:rPr>
          <w:rFonts w:ascii="仿宋" w:eastAsia="仿宋" w:hAnsi="仿宋" w:cs="仿宋" w:hint="eastAsia"/>
          <w:color w:val="454545"/>
          <w:sz w:val="28"/>
          <w:szCs w:val="28"/>
        </w:rPr>
        <w:t>500</w:t>
      </w:r>
      <w:r>
        <w:rPr>
          <w:rFonts w:ascii="仿宋" w:eastAsia="仿宋" w:hAnsi="仿宋" w:cs="仿宋" w:hint="eastAsia"/>
          <w:color w:val="454545"/>
          <w:sz w:val="28"/>
          <w:szCs w:val="28"/>
        </w:rPr>
        <w:t>万元（不含）资产转让及资产无偿划转等事</w:t>
      </w:r>
      <w:r>
        <w:rPr>
          <w:rFonts w:ascii="仿宋" w:eastAsia="仿宋" w:hAnsi="仿宋" w:cs="仿宋" w:hint="eastAsia"/>
          <w:color w:val="454545"/>
          <w:sz w:val="28"/>
          <w:szCs w:val="28"/>
        </w:rPr>
        <w:t>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（二）原值</w:t>
      </w:r>
      <w:r>
        <w:rPr>
          <w:rFonts w:ascii="仿宋" w:eastAsia="仿宋" w:hAnsi="仿宋" w:cs="仿宋" w:hint="eastAsia"/>
          <w:color w:val="454545"/>
          <w:sz w:val="28"/>
          <w:szCs w:val="28"/>
        </w:rPr>
        <w:t>50</w:t>
      </w:r>
      <w:r>
        <w:rPr>
          <w:rFonts w:ascii="仿宋" w:eastAsia="仿宋" w:hAnsi="仿宋" w:cs="仿宋" w:hint="eastAsia"/>
          <w:color w:val="454545"/>
          <w:sz w:val="28"/>
          <w:szCs w:val="28"/>
        </w:rPr>
        <w:t>万元（含）至</w:t>
      </w:r>
      <w:r>
        <w:rPr>
          <w:rFonts w:ascii="仿宋" w:eastAsia="仿宋" w:hAnsi="仿宋" w:cs="仿宋" w:hint="eastAsia"/>
          <w:color w:val="454545"/>
          <w:sz w:val="28"/>
          <w:szCs w:val="28"/>
        </w:rPr>
        <w:t>100</w:t>
      </w:r>
      <w:r>
        <w:rPr>
          <w:rFonts w:ascii="仿宋" w:eastAsia="仿宋" w:hAnsi="仿宋" w:cs="仿宋" w:hint="eastAsia"/>
          <w:color w:val="454545"/>
          <w:sz w:val="28"/>
          <w:szCs w:val="28"/>
        </w:rPr>
        <w:t>万元（不含）的固定资产报废和盘亏等事项；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（三）企业人员总额控制数使用；</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（四）企业动用资本公积、企业清产核资方案等事项；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（五）其他应由区国资委审批的事项。</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第十五条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下列事项应送区国资委或相关部门审核后报区政府审批，区政府要求报区委的，由区委审批决定：</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（一）企业设立、合并、分立、改制、增资、减资、变更经营</w:t>
      </w:r>
      <w:r>
        <w:rPr>
          <w:rFonts w:ascii="仿宋" w:eastAsia="仿宋" w:hAnsi="仿宋" w:cs="仿宋" w:hint="eastAsia"/>
          <w:color w:val="454545"/>
          <w:sz w:val="28"/>
          <w:szCs w:val="28"/>
        </w:rPr>
        <w:lastRenderedPageBreak/>
        <w:t>范围、发行债券、重组、上市、解散、申请破产等事项；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（二）企业重大投资项目、招商项目、对外股权投资、抵押担</w:t>
      </w:r>
      <w:r>
        <w:rPr>
          <w:rFonts w:ascii="仿宋" w:eastAsia="仿宋" w:hAnsi="仿宋" w:cs="仿宋" w:hint="eastAsia"/>
          <w:color w:val="454545"/>
          <w:sz w:val="28"/>
          <w:szCs w:val="28"/>
        </w:rPr>
        <w:t>保、投融资计划等；</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（三）企业产权转让，在区属国有企业及全额出资子企业之间产权转让除外；</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（四）企业人员控制总数及工资总额预算；</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（五）企业负责人薪酬管理办法；</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（六）企业大额度资金调度项目；</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（七）国有资本收益上缴比例或金额；</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（八）下列特别重大资产购置、资产处置事项：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1</w:t>
      </w:r>
      <w:r>
        <w:rPr>
          <w:rFonts w:ascii="仿宋" w:eastAsia="仿宋" w:hAnsi="仿宋" w:cs="仿宋" w:hint="eastAsia"/>
          <w:color w:val="454545"/>
          <w:sz w:val="28"/>
          <w:szCs w:val="28"/>
        </w:rPr>
        <w:t>．价值</w:t>
      </w:r>
      <w:r>
        <w:rPr>
          <w:rFonts w:ascii="仿宋" w:eastAsia="仿宋" w:hAnsi="仿宋" w:cs="仿宋" w:hint="eastAsia"/>
          <w:color w:val="454545"/>
          <w:sz w:val="28"/>
          <w:szCs w:val="28"/>
        </w:rPr>
        <w:t>500</w:t>
      </w:r>
      <w:r>
        <w:rPr>
          <w:rFonts w:ascii="仿宋" w:eastAsia="仿宋" w:hAnsi="仿宋" w:cs="仿宋" w:hint="eastAsia"/>
          <w:color w:val="454545"/>
          <w:sz w:val="28"/>
          <w:szCs w:val="28"/>
        </w:rPr>
        <w:t>万元以上（含）的资产采购；</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2</w:t>
      </w:r>
      <w:r>
        <w:rPr>
          <w:rFonts w:ascii="仿宋" w:eastAsia="仿宋" w:hAnsi="仿宋" w:cs="仿宋" w:hint="eastAsia"/>
          <w:color w:val="454545"/>
          <w:sz w:val="28"/>
          <w:szCs w:val="28"/>
        </w:rPr>
        <w:t>．原值</w:t>
      </w:r>
      <w:r>
        <w:rPr>
          <w:rFonts w:ascii="仿宋" w:eastAsia="仿宋" w:hAnsi="仿宋" w:cs="仿宋" w:hint="eastAsia"/>
          <w:color w:val="454545"/>
          <w:sz w:val="28"/>
          <w:szCs w:val="28"/>
        </w:rPr>
        <w:t>500</w:t>
      </w:r>
      <w:r>
        <w:rPr>
          <w:rFonts w:ascii="仿宋" w:eastAsia="仿宋" w:hAnsi="仿宋" w:cs="仿宋" w:hint="eastAsia"/>
          <w:color w:val="454545"/>
          <w:sz w:val="28"/>
          <w:szCs w:val="28"/>
        </w:rPr>
        <w:t>万元以上（含）的资产转让及资产无偿划转事项；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3</w:t>
      </w:r>
      <w:r>
        <w:rPr>
          <w:rFonts w:ascii="仿宋" w:eastAsia="仿宋" w:hAnsi="仿宋" w:cs="仿宋" w:hint="eastAsia"/>
          <w:color w:val="454545"/>
          <w:sz w:val="28"/>
          <w:szCs w:val="28"/>
        </w:rPr>
        <w:t>．企业债权转让行为，在本企业和本企业全额出资企业之间债权转让除</w:t>
      </w:r>
      <w:r>
        <w:rPr>
          <w:rFonts w:ascii="仿宋" w:eastAsia="仿宋" w:hAnsi="仿宋" w:cs="仿宋" w:hint="eastAsia"/>
          <w:color w:val="454545"/>
          <w:sz w:val="28"/>
          <w:szCs w:val="28"/>
        </w:rPr>
        <w:t>外；</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4</w:t>
      </w:r>
      <w:r>
        <w:rPr>
          <w:rFonts w:ascii="仿宋" w:eastAsia="仿宋" w:hAnsi="仿宋" w:cs="仿宋" w:hint="eastAsia"/>
          <w:color w:val="454545"/>
          <w:sz w:val="28"/>
          <w:szCs w:val="28"/>
        </w:rPr>
        <w:t>．企业转让土地使用权及知识产权；</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 xml:space="preserve"> 5</w:t>
      </w:r>
      <w:r>
        <w:rPr>
          <w:rFonts w:ascii="仿宋" w:eastAsia="仿宋" w:hAnsi="仿宋" w:cs="仿宋" w:hint="eastAsia"/>
          <w:color w:val="454545"/>
          <w:sz w:val="28"/>
          <w:szCs w:val="28"/>
        </w:rPr>
        <w:t>．原值在</w:t>
      </w:r>
      <w:r>
        <w:rPr>
          <w:rFonts w:ascii="仿宋" w:eastAsia="仿宋" w:hAnsi="仿宋" w:cs="仿宋" w:hint="eastAsia"/>
          <w:color w:val="454545"/>
          <w:sz w:val="28"/>
          <w:szCs w:val="28"/>
        </w:rPr>
        <w:t>100</w:t>
      </w:r>
      <w:r>
        <w:rPr>
          <w:rFonts w:ascii="仿宋" w:eastAsia="仿宋" w:hAnsi="仿宋" w:cs="仿宋" w:hint="eastAsia"/>
          <w:color w:val="454545"/>
          <w:sz w:val="28"/>
          <w:szCs w:val="28"/>
        </w:rPr>
        <w:t>万元以上的固定资产报废和盘亏等事项；</w:t>
      </w:r>
      <w:r>
        <w:rPr>
          <w:rFonts w:ascii="仿宋" w:eastAsia="仿宋" w:hAnsi="仿宋" w:cs="仿宋" w:hint="eastAsia"/>
          <w:color w:val="454545"/>
          <w:sz w:val="28"/>
          <w:szCs w:val="28"/>
        </w:rPr>
        <w:br/>
      </w:r>
      <w:r>
        <w:rPr>
          <w:rFonts w:ascii="仿宋" w:eastAsia="仿宋" w:hAnsi="仿宋" w:cs="仿宋" w:hint="eastAsia"/>
          <w:color w:val="454545"/>
          <w:sz w:val="28"/>
          <w:szCs w:val="28"/>
        </w:rPr>
        <w:t>   </w:t>
      </w:r>
      <w:r>
        <w:rPr>
          <w:rFonts w:ascii="仿宋" w:eastAsia="仿宋" w:hAnsi="仿宋" w:cs="仿宋" w:hint="eastAsia"/>
          <w:color w:val="454545"/>
          <w:sz w:val="28"/>
          <w:szCs w:val="28"/>
        </w:rPr>
        <w:t>（九）其他应由区政府审批的重大事项。</w:t>
      </w:r>
      <w:r>
        <w:rPr>
          <w:rFonts w:ascii="仿宋" w:eastAsia="仿宋" w:hAnsi="仿宋" w:cs="仿宋" w:hint="eastAsia"/>
          <w:color w:val="454545"/>
          <w:sz w:val="28"/>
          <w:szCs w:val="28"/>
        </w:rPr>
        <w:br/>
        <w:t xml:space="preserve">   </w:t>
      </w:r>
      <w:r>
        <w:rPr>
          <w:rFonts w:ascii="仿宋" w:eastAsia="仿宋" w:hAnsi="仿宋" w:cs="仿宋" w:hint="eastAsia"/>
          <w:color w:val="454545"/>
          <w:sz w:val="28"/>
          <w:szCs w:val="28"/>
        </w:rPr>
        <w:t>第十六条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由区属国有企业自行决策的事项，必须按照“三重一大”决策范围和决策程序，对重大事项坚持依法决策、依权决策、集体决策、科学决策的四项基本原则。</w:t>
      </w:r>
    </w:p>
    <w:p w:rsidR="0030647A" w:rsidRDefault="00EC046C" w:rsidP="00BE2BBA">
      <w:pPr>
        <w:pStyle w:val="a3"/>
        <w:widowControl/>
        <w:spacing w:beforeAutospacing="0" w:afterAutospacing="0" w:line="570" w:lineRule="exact"/>
        <w:ind w:firstLineChars="200" w:firstLine="560"/>
        <w:jc w:val="center"/>
        <w:rPr>
          <w:rFonts w:ascii="仿宋" w:eastAsia="仿宋" w:hAnsi="仿宋" w:cs="仿宋"/>
          <w:color w:val="454545"/>
          <w:sz w:val="28"/>
          <w:szCs w:val="28"/>
        </w:rPr>
      </w:pPr>
      <w:r>
        <w:rPr>
          <w:rFonts w:ascii="仿宋" w:eastAsia="仿宋" w:hAnsi="仿宋" w:cs="仿宋" w:hint="eastAsia"/>
          <w:color w:val="454545"/>
          <w:sz w:val="28"/>
          <w:szCs w:val="28"/>
        </w:rPr>
        <w:t>第四章 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监督管理</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r>
        <w:rPr>
          <w:rFonts w:ascii="仿宋" w:eastAsia="仿宋" w:hAnsi="仿宋" w:cs="仿宋" w:hint="eastAsia"/>
          <w:color w:val="454545"/>
          <w:sz w:val="28"/>
          <w:szCs w:val="28"/>
        </w:rPr>
        <w:t>第十七条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区级相关部门及区属国有企业应当整合企业内部监督、出资人监督、审计监督、纪检监察监督、巡查巡视、社会监督等监督资源融合，加强国有企业监督管理。</w:t>
      </w:r>
      <w:r>
        <w:rPr>
          <w:rFonts w:ascii="仿宋" w:eastAsia="仿宋" w:hAnsi="仿宋" w:cs="仿宋" w:hint="eastAsia"/>
          <w:color w:val="454545"/>
          <w:sz w:val="28"/>
          <w:szCs w:val="28"/>
        </w:rPr>
        <w:br/>
      </w:r>
      <w:r>
        <w:rPr>
          <w:rFonts w:ascii="仿宋" w:eastAsia="仿宋" w:hAnsi="仿宋" w:cs="仿宋" w:hint="eastAsia"/>
          <w:color w:val="454545"/>
          <w:sz w:val="28"/>
          <w:szCs w:val="28"/>
        </w:rPr>
        <w:lastRenderedPageBreak/>
        <w:t>  </w:t>
      </w:r>
      <w:r>
        <w:rPr>
          <w:rFonts w:ascii="仿宋" w:eastAsia="仿宋" w:hAnsi="仿宋" w:cs="仿宋" w:hint="eastAsia"/>
          <w:color w:val="454545"/>
          <w:sz w:val="28"/>
          <w:szCs w:val="28"/>
        </w:rPr>
        <w:t>第十八条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区属国</w:t>
      </w:r>
      <w:r>
        <w:rPr>
          <w:rFonts w:ascii="仿宋" w:eastAsia="仿宋" w:hAnsi="仿宋" w:cs="仿宋" w:hint="eastAsia"/>
          <w:color w:val="454545"/>
          <w:sz w:val="28"/>
          <w:szCs w:val="28"/>
        </w:rPr>
        <w:t>有企业应当建立健全企业内部以风险管理为导向、合</w:t>
      </w:r>
      <w:proofErr w:type="gramStart"/>
      <w:r>
        <w:rPr>
          <w:rFonts w:ascii="仿宋" w:eastAsia="仿宋" w:hAnsi="仿宋" w:cs="仿宋" w:hint="eastAsia"/>
          <w:color w:val="454545"/>
          <w:sz w:val="28"/>
          <w:szCs w:val="28"/>
        </w:rPr>
        <w:t>规</w:t>
      </w:r>
      <w:proofErr w:type="gramEnd"/>
      <w:r>
        <w:rPr>
          <w:rFonts w:ascii="仿宋" w:eastAsia="仿宋" w:hAnsi="仿宋" w:cs="仿宋" w:hint="eastAsia"/>
          <w:color w:val="454545"/>
          <w:sz w:val="28"/>
          <w:szCs w:val="28"/>
        </w:rPr>
        <w:t>管理监督为重点的内控体系，完善企业内部管</w:t>
      </w:r>
      <w:proofErr w:type="gramStart"/>
      <w:r>
        <w:rPr>
          <w:rFonts w:ascii="仿宋" w:eastAsia="仿宋" w:hAnsi="仿宋" w:cs="仿宋" w:hint="eastAsia"/>
          <w:color w:val="454545"/>
          <w:sz w:val="28"/>
          <w:szCs w:val="28"/>
        </w:rPr>
        <w:t>控体制</w:t>
      </w:r>
      <w:proofErr w:type="gramEnd"/>
      <w:r>
        <w:rPr>
          <w:rFonts w:ascii="仿宋" w:eastAsia="仿宋" w:hAnsi="仿宋" w:cs="仿宋" w:hint="eastAsia"/>
          <w:color w:val="454545"/>
          <w:sz w:val="28"/>
          <w:szCs w:val="28"/>
        </w:rPr>
        <w:t>机制，明确重要业务领域和关键环节的控制要求和风险应对措施。</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第十九条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区国资</w:t>
      </w:r>
      <w:proofErr w:type="gramStart"/>
      <w:r>
        <w:rPr>
          <w:rFonts w:ascii="仿宋" w:eastAsia="仿宋" w:hAnsi="仿宋" w:cs="仿宋" w:hint="eastAsia"/>
          <w:color w:val="454545"/>
          <w:sz w:val="28"/>
          <w:szCs w:val="28"/>
        </w:rPr>
        <w:t>委应当</w:t>
      </w:r>
      <w:proofErr w:type="gramEnd"/>
      <w:r>
        <w:rPr>
          <w:rFonts w:ascii="仿宋" w:eastAsia="仿宋" w:hAnsi="仿宋" w:cs="仿宋" w:hint="eastAsia"/>
          <w:color w:val="454545"/>
          <w:sz w:val="28"/>
          <w:szCs w:val="28"/>
        </w:rPr>
        <w:t>高效开展业务监督，聚焦企业关键业务、改革重点领域、运营重点环节，强化对投资、产权、财务、考核分配、选人用人等重点事项的监督。</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第二十条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区审计局健全国有企业审计监督体系，实行企业国有资产审计监督全覆盖，完善经常性审计制度，强化审计问题整改的跟踪落实，监督指导国有企业内审工作，形成监督工作的闭环。</w:t>
      </w:r>
      <w:r>
        <w:rPr>
          <w:rFonts w:ascii="仿宋" w:eastAsia="仿宋" w:hAnsi="仿宋" w:cs="仿宋" w:hint="eastAsia"/>
          <w:color w:val="454545"/>
          <w:sz w:val="28"/>
          <w:szCs w:val="28"/>
        </w:rPr>
        <w:br/>
        <w:t>  </w:t>
      </w:r>
      <w:r>
        <w:rPr>
          <w:rFonts w:ascii="仿宋" w:eastAsia="仿宋" w:hAnsi="仿宋" w:cs="仿宋" w:hint="eastAsia"/>
          <w:color w:val="454545"/>
          <w:sz w:val="28"/>
          <w:szCs w:val="28"/>
        </w:rPr>
        <w:t>第二十一条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w:t>
      </w:r>
      <w:r>
        <w:rPr>
          <w:rFonts w:ascii="仿宋" w:eastAsia="仿宋" w:hAnsi="仿宋" w:cs="仿宋" w:hint="eastAsia"/>
          <w:color w:val="454545"/>
          <w:sz w:val="28"/>
          <w:szCs w:val="28"/>
        </w:rPr>
        <w:t>属国有企业应当完善国有资产和国有企业信息公开制度，依法依规、及时准确披露国有资本整体运营、国有企业经营管理等信息，有效保障社会公众对企业国有资产运营的知情权和监督权。</w:t>
      </w:r>
    </w:p>
    <w:p w:rsidR="0030647A" w:rsidRDefault="00EC046C" w:rsidP="00BE2BBA">
      <w:pPr>
        <w:pStyle w:val="a3"/>
        <w:widowControl/>
        <w:spacing w:beforeAutospacing="0" w:afterAutospacing="0" w:line="570" w:lineRule="exact"/>
        <w:ind w:firstLineChars="200" w:firstLine="560"/>
        <w:jc w:val="center"/>
        <w:rPr>
          <w:rFonts w:ascii="仿宋" w:eastAsia="仿宋" w:hAnsi="仿宋" w:cs="仿宋"/>
          <w:color w:val="454545"/>
          <w:sz w:val="28"/>
          <w:szCs w:val="28"/>
        </w:rPr>
      </w:pPr>
      <w:r>
        <w:rPr>
          <w:rFonts w:ascii="仿宋" w:eastAsia="仿宋" w:hAnsi="仿宋" w:cs="仿宋" w:hint="eastAsia"/>
          <w:color w:val="454545"/>
          <w:sz w:val="28"/>
          <w:szCs w:val="28"/>
        </w:rPr>
        <w:t>第五章 </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附则</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r>
        <w:rPr>
          <w:rFonts w:ascii="仿宋" w:eastAsia="仿宋" w:hAnsi="仿宋" w:cs="仿宋" w:hint="eastAsia"/>
          <w:color w:val="454545"/>
          <w:sz w:val="28"/>
          <w:szCs w:val="28"/>
        </w:rPr>
        <w:t>第二十二条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区属国有企业应当根据本办法规定，健全完善本公司相关规章制度。</w:t>
      </w:r>
      <w:r>
        <w:rPr>
          <w:rFonts w:ascii="仿宋" w:eastAsia="仿宋" w:hAnsi="仿宋" w:cs="仿宋" w:hint="eastAsia"/>
          <w:color w:val="454545"/>
          <w:sz w:val="28"/>
          <w:szCs w:val="28"/>
        </w:rPr>
        <w:br/>
        <w:t>  </w:t>
      </w:r>
      <w:bookmarkStart w:id="0" w:name="_GoBack"/>
      <w:bookmarkEnd w:id="0"/>
      <w:r>
        <w:rPr>
          <w:rFonts w:ascii="仿宋" w:eastAsia="仿宋" w:hAnsi="仿宋" w:cs="仿宋" w:hint="eastAsia"/>
          <w:color w:val="454545"/>
          <w:sz w:val="28"/>
          <w:szCs w:val="28"/>
        </w:rPr>
        <w:t>第二十三条</w:t>
      </w:r>
      <w:r>
        <w:rPr>
          <w:rFonts w:ascii="仿宋" w:eastAsia="仿宋" w:hAnsi="仿宋" w:cs="仿宋" w:hint="eastAsia"/>
          <w:color w:val="454545"/>
          <w:sz w:val="28"/>
          <w:szCs w:val="28"/>
        </w:rPr>
        <w:t xml:space="preserve"> </w:t>
      </w:r>
      <w:r>
        <w:rPr>
          <w:rFonts w:ascii="仿宋" w:eastAsia="仿宋" w:hAnsi="仿宋" w:cs="仿宋" w:hint="eastAsia"/>
          <w:color w:val="454545"/>
          <w:sz w:val="28"/>
          <w:szCs w:val="28"/>
        </w:rPr>
        <w:t>本法自发布之日起施行，原有其他规定与本办法不一致的以本办法为准。</w:t>
      </w:r>
    </w:p>
    <w:p w:rsidR="0030647A" w:rsidRDefault="0030647A" w:rsidP="00BE2BBA">
      <w:pPr>
        <w:spacing w:line="570" w:lineRule="exact"/>
        <w:ind w:firstLineChars="200" w:firstLine="560"/>
        <w:rPr>
          <w:sz w:val="28"/>
          <w:szCs w:val="28"/>
        </w:rPr>
      </w:pPr>
    </w:p>
    <w:sectPr w:rsidR="0030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30647A"/>
    <w:rsid w:val="00BE2BBA"/>
    <w:rsid w:val="00EC046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2021-11-25T01:15:00Z</dcterms:created>
  <dcterms:modified xsi:type="dcterms:W3CDTF">2021-11-25T03:36:00Z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