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Pr>
    </w:p>
    <w:p>
      <w:pPr>
        <w:spacing w:line="594"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沙坪坝区贯彻落实市政府办公厅贯彻落实</w:t>
      </w:r>
    </w:p>
    <w:p>
      <w:pPr>
        <w:spacing w:line="594"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国务院办公厅促进残疾人就业三年行动方案</w:t>
      </w:r>
    </w:p>
    <w:p>
      <w:pPr>
        <w:spacing w:line="594"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重点任务分工的工作方案</w:t>
      </w:r>
    </w:p>
    <w:p>
      <w:pPr>
        <w:tabs>
          <w:tab w:val="left" w:pos="421"/>
        </w:tabs>
        <w:autoSpaceDE w:val="0"/>
        <w:autoSpaceDN w:val="0"/>
        <w:spacing w:line="580" w:lineRule="exact"/>
        <w:ind w:right="512" w:firstLine="640" w:firstLineChars="200"/>
        <w:jc w:val="center"/>
        <w:rPr>
          <w:rFonts w:ascii="方正楷体_GBK" w:hAnsi="方正楷体_GBK" w:eastAsia="方正楷体_GBK" w:cs="方正楷体_GBK"/>
          <w:color w:val="161616"/>
          <w:sz w:val="32"/>
          <w:szCs w:val="32"/>
        </w:rPr>
      </w:pPr>
      <w:r>
        <w:rPr>
          <w:rFonts w:hint="eastAsia" w:ascii="方正楷体_GBK" w:hAnsi="方正楷体_GBK" w:eastAsia="方正楷体_GBK" w:cs="方正楷体_GBK"/>
          <w:color w:val="161616"/>
          <w:sz w:val="32"/>
          <w:szCs w:val="32"/>
        </w:rPr>
        <w:t>（征求意见稿）</w:t>
      </w:r>
      <w:bookmarkStart w:id="0" w:name="_GoBack"/>
      <w:bookmarkEnd w:id="0"/>
    </w:p>
    <w:p>
      <w:pPr>
        <w:pStyle w:val="4"/>
        <w:keepNext w:val="0"/>
        <w:spacing w:line="594" w:lineRule="exact"/>
      </w:pPr>
    </w:p>
    <w:p>
      <w:pPr>
        <w:autoSpaceDE w:val="0"/>
        <w:autoSpaceDN w:val="0"/>
        <w:spacing w:line="580" w:lineRule="exact"/>
        <w:ind w:firstLine="640" w:firstLineChars="200"/>
        <w:rPr>
          <w:rFonts w:eastAsia="方正仿宋_GBK"/>
          <w:sz w:val="32"/>
          <w:szCs w:val="32"/>
        </w:rPr>
      </w:pPr>
      <w:r>
        <w:rPr>
          <w:rFonts w:hint="eastAsia" w:eastAsia="方正仿宋_GBK"/>
          <w:sz w:val="32"/>
          <w:szCs w:val="32"/>
        </w:rPr>
        <w:t>为贯彻落实习近平总书记关于残疾人事业的重要指示批示精神和党中央、国务院决策部署，进一步巩固拓展残疾人脱贫攻坚成果，促进残疾人较为充分较高质量的就业，共享经济社会发展成果，逐步实现共同富裕，根据国务院《“十四五”就业促进规划》、《“十四五”残疾人保障和发展规划（2023-2025）》、《促进残疾人就业三年行动方案（2022-2024年）》，以及市政府《关于印发贯彻落实国务院办公厅促进残疾人就业三年行动方案（2022-2024年）重点任务分工的通知》文件精神，结合本区实际，制定本方案。</w:t>
      </w:r>
    </w:p>
    <w:p>
      <w:pPr>
        <w:autoSpaceDE w:val="0"/>
        <w:autoSpaceDN w:val="0"/>
        <w:spacing w:line="580" w:lineRule="exact"/>
        <w:ind w:firstLine="640" w:firstLineChars="200"/>
        <w:rPr>
          <w:rFonts w:eastAsia="方正黑体_GBK"/>
          <w:sz w:val="32"/>
          <w:szCs w:val="32"/>
        </w:rPr>
      </w:pPr>
      <w:r>
        <w:rPr>
          <w:rFonts w:hint="eastAsia" w:eastAsia="方正黑体_GBK"/>
          <w:sz w:val="32"/>
          <w:szCs w:val="32"/>
        </w:rPr>
        <w:t>一、主要措施</w:t>
      </w:r>
    </w:p>
    <w:p>
      <w:pPr>
        <w:pStyle w:val="2"/>
        <w:autoSpaceDE w:val="0"/>
        <w:autoSpaceDN w:val="0"/>
        <w:spacing w:line="580" w:lineRule="exact"/>
        <w:ind w:firstLine="752" w:firstLineChars="200"/>
        <w:rPr>
          <w:rFonts w:eastAsia="方正楷体_GBK"/>
          <w:snapToGrid w:val="0"/>
          <w:color w:val="000000" w:themeColor="text1"/>
          <w:kern w:val="0"/>
          <w:sz w:val="32"/>
          <w:szCs w:val="32"/>
          <w14:textFill>
            <w14:solidFill>
              <w14:schemeClr w14:val="tx1"/>
            </w14:solidFill>
          </w14:textFill>
        </w:rPr>
      </w:pPr>
      <w:r>
        <w:rPr>
          <w:rFonts w:hint="eastAsia" w:ascii="方正楷体_GBK" w:hAnsi="方正楷体_GBK" w:eastAsia="方正楷体_GBK" w:cs="方正楷体_GBK"/>
          <w:color w:val="363436"/>
          <w:spacing w:val="20"/>
          <w:w w:val="105"/>
          <w:sz w:val="32"/>
          <w:szCs w:val="32"/>
        </w:rPr>
        <w:t>（</w:t>
      </w:r>
      <w:r>
        <w:rPr>
          <w:rFonts w:hint="eastAsia" w:ascii="方正楷体_GBK" w:hAnsi="方正楷体_GBK" w:eastAsia="方正楷体_GBK" w:cs="方正楷体_GBK"/>
          <w:snapToGrid w:val="0"/>
          <w:color w:val="000000" w:themeColor="text1"/>
          <w:kern w:val="0"/>
          <w:sz w:val="32"/>
          <w:szCs w:val="32"/>
          <w14:textFill>
            <w14:solidFill>
              <w14:schemeClr w14:val="tx1"/>
            </w14:solidFill>
          </w14:textFill>
        </w:rPr>
        <w:t>一）</w:t>
      </w:r>
      <w:r>
        <w:rPr>
          <w:rFonts w:hint="eastAsia" w:eastAsia="方正楷体_GBK"/>
          <w:snapToGrid w:val="0"/>
          <w:color w:val="000000" w:themeColor="text1"/>
          <w:kern w:val="0"/>
          <w:sz w:val="32"/>
          <w:szCs w:val="32"/>
          <w14:textFill>
            <w14:solidFill>
              <w14:schemeClr w14:val="tx1"/>
            </w14:solidFill>
          </w14:textFill>
        </w:rPr>
        <w:t>实施机关、事业单位带头安排残疾人就业行动。</w:t>
      </w:r>
    </w:p>
    <w:p>
      <w:pPr>
        <w:autoSpaceDE w:val="0"/>
        <w:autoSpaceDN w:val="0"/>
        <w:spacing w:line="580" w:lineRule="exact"/>
        <w:ind w:firstLine="596" w:firstLineChars="200"/>
        <w:rPr>
          <w:rFonts w:eastAsia="方正仿宋_GBK"/>
          <w:sz w:val="32"/>
          <w:szCs w:val="32"/>
        </w:rPr>
      </w:pPr>
      <w:r>
        <w:rPr>
          <w:rFonts w:eastAsia="方正仿宋_GBK"/>
          <w:spacing w:val="-11"/>
          <w:sz w:val="32"/>
          <w:szCs w:val="32"/>
        </w:rPr>
        <w:t xml:space="preserve">1. </w:t>
      </w:r>
      <w:r>
        <w:rPr>
          <w:rFonts w:hint="eastAsia" w:eastAsia="方正仿宋_GBK"/>
          <w:sz w:val="32"/>
          <w:szCs w:val="32"/>
        </w:rPr>
        <w:t>充分发挥机关、事业单位带头安排残疾人就业示范作用。机关、事业单位应适当专设残疾人职位，岗位招录时可以给予政策倾斜和提供合理便利。在具有正常履行职责的身体条件的前提下，对残疾人能够胜任的职位、岗位，在同等条件下优先录（聘）用残疾人。“十四五”期间编制50人（含）以上的党政机关和编制 67人（含）以上的事业单位（中小学、幼儿园除外），安排残疾人就业未达到规定比例的，应至少安排1名残疾人就业，或按规定缴纳残疾人就业保障金。（区委组织部、区人力社保局、区委编办、区残联及各镇（街道）按职责分工负责）</w:t>
      </w:r>
    </w:p>
    <w:p>
      <w:pPr>
        <w:autoSpaceDE w:val="0"/>
        <w:autoSpaceDN w:val="0"/>
        <w:spacing w:line="580" w:lineRule="exact"/>
        <w:ind w:firstLine="596" w:firstLineChars="200"/>
        <w:rPr>
          <w:rFonts w:eastAsia="方正仿宋_GBK"/>
          <w:sz w:val="32"/>
          <w:szCs w:val="32"/>
        </w:rPr>
      </w:pPr>
      <w:r>
        <w:rPr>
          <w:rFonts w:hint="eastAsia" w:eastAsia="方正仿宋_GBK"/>
          <w:spacing w:val="-11"/>
          <w:sz w:val="32"/>
          <w:szCs w:val="32"/>
        </w:rPr>
        <w:t>2</w:t>
      </w:r>
      <w:r>
        <w:rPr>
          <w:rFonts w:eastAsia="方正仿宋_GBK"/>
          <w:spacing w:val="-11"/>
          <w:sz w:val="32"/>
          <w:szCs w:val="32"/>
        </w:rPr>
        <w:t xml:space="preserve">. </w:t>
      </w:r>
      <w:r>
        <w:rPr>
          <w:rFonts w:hint="eastAsia" w:eastAsia="方正仿宋_GBK"/>
          <w:sz w:val="32"/>
          <w:szCs w:val="32"/>
        </w:rPr>
        <w:t>区委组织部、区人力社保局、区委编办应根据各自职责，牵头做好机关、事业单位安排残疾人就业情况统计工作，准确掌握机关、事业单位编制情况和安排残疾人就业情况，已安排残疾人就业的，应当按照有关规定向社会公示。安排残疾人就业未达到规定比例的，应当拟定本单位“十四五”期间达到招录（聘）残疾人规定的具体计划，并报区政府残工委处备案。（区委组织部、区人力社保局、区委编办、区残联及各镇（街道）按职责分工负责）</w:t>
      </w:r>
    </w:p>
    <w:p>
      <w:pPr>
        <w:pStyle w:val="2"/>
        <w:autoSpaceDE w:val="0"/>
        <w:autoSpaceDN w:val="0"/>
        <w:spacing w:line="580" w:lineRule="exact"/>
        <w:ind w:firstLine="640" w:firstLineChars="200"/>
        <w:rPr>
          <w:rFonts w:eastAsia="方正楷体_GBK"/>
          <w:snapToGrid w:val="0"/>
          <w:color w:val="000000" w:themeColor="text1"/>
          <w:kern w:val="0"/>
          <w:sz w:val="32"/>
          <w:szCs w:val="32"/>
          <w14:textFill>
            <w14:solidFill>
              <w14:schemeClr w14:val="tx1"/>
            </w14:solidFill>
          </w14:textFill>
        </w:rPr>
      </w:pPr>
      <w:r>
        <w:rPr>
          <w:rFonts w:hint="eastAsia" w:eastAsia="方正楷体_GBK"/>
          <w:snapToGrid w:val="0"/>
          <w:color w:val="000000" w:themeColor="text1"/>
          <w:kern w:val="0"/>
          <w:sz w:val="32"/>
          <w:szCs w:val="32"/>
          <w14:textFill>
            <w14:solidFill>
              <w14:schemeClr w14:val="tx1"/>
            </w14:solidFill>
          </w14:textFill>
        </w:rPr>
        <w:t>（二）实施国有企业安排残疾人就业行动。</w:t>
      </w:r>
    </w:p>
    <w:p>
      <w:pPr>
        <w:pStyle w:val="12"/>
        <w:tabs>
          <w:tab w:val="left" w:pos="1156"/>
        </w:tabs>
        <w:autoSpaceDE w:val="0"/>
        <w:autoSpaceDN w:val="0"/>
        <w:spacing w:line="580" w:lineRule="exact"/>
        <w:ind w:left="0" w:right="0" w:firstLine="596" w:firstLineChars="200"/>
        <w:rPr>
          <w:rFonts w:eastAsia="方正仿宋_GBK"/>
          <w:sz w:val="32"/>
          <w:szCs w:val="32"/>
        </w:rPr>
      </w:pPr>
      <w:r>
        <w:rPr>
          <w:rFonts w:eastAsia="方正仿宋_GBK"/>
          <w:spacing w:val="-11"/>
          <w:sz w:val="32"/>
          <w:szCs w:val="32"/>
        </w:rPr>
        <w:t xml:space="preserve">1. </w:t>
      </w:r>
      <w:r>
        <w:rPr>
          <w:rFonts w:hint="eastAsia" w:eastAsia="方正仿宋_GBK"/>
          <w:sz w:val="32"/>
          <w:szCs w:val="32"/>
        </w:rPr>
        <w:t>加大国有企业安排残疾人就业力度。组织开展国有企业残疾人专场招聘活动，优选用工需求大的国有企业，每年开发一批适残岗位定向招聘残疾人。未按比例安排残疾人就业的国有企业，及时足额缴纳残疾人就业保障金。国有企业应当将按比例安排残疾人就业情况纳入企业社会责任报告。（区国资委 、区人力社保局、区残联及各镇（街道）按职责分工负责）</w:t>
      </w:r>
    </w:p>
    <w:p>
      <w:pPr>
        <w:pStyle w:val="12"/>
        <w:tabs>
          <w:tab w:val="left" w:pos="1156"/>
        </w:tabs>
        <w:autoSpaceDE w:val="0"/>
        <w:autoSpaceDN w:val="0"/>
        <w:spacing w:line="580" w:lineRule="exact"/>
        <w:ind w:left="0" w:right="0" w:firstLine="596" w:firstLineChars="200"/>
        <w:rPr>
          <w:rFonts w:eastAsia="方正仿宋_GBK"/>
          <w:sz w:val="32"/>
          <w:szCs w:val="32"/>
        </w:rPr>
      </w:pPr>
      <w:r>
        <w:rPr>
          <w:rFonts w:hint="eastAsia" w:eastAsia="方正仿宋_GBK"/>
          <w:spacing w:val="-11"/>
          <w:sz w:val="32"/>
          <w:szCs w:val="32"/>
        </w:rPr>
        <w:t>2</w:t>
      </w:r>
      <w:r>
        <w:rPr>
          <w:rFonts w:eastAsia="方正仿宋_GBK"/>
          <w:spacing w:val="-11"/>
          <w:sz w:val="32"/>
          <w:szCs w:val="32"/>
        </w:rPr>
        <w:t xml:space="preserve">. </w:t>
      </w:r>
      <w:r>
        <w:rPr>
          <w:rFonts w:hint="eastAsia" w:eastAsia="方正仿宋_GBK"/>
          <w:sz w:val="32"/>
          <w:szCs w:val="32"/>
        </w:rPr>
        <w:t>积极开发社区服务点残疾人就业岗位。各镇（街道）新增建设各种社会服务点时，应当预留一定比例的岗位专门安排残疾人或残疾人家属就业，并适当减免摊位费、租赁费。区烟草专卖局在残疾人或残疾人家属申请烟草专卖零售许可证时，根据实际情况给予适当优惠，在间距上进一步支持。（区烟草专卖局、区市场监管局、区民政局、各镇（街道）按职责分工负责）</w:t>
      </w:r>
    </w:p>
    <w:p>
      <w:pPr>
        <w:pStyle w:val="2"/>
        <w:autoSpaceDE w:val="0"/>
        <w:autoSpaceDN w:val="0"/>
        <w:spacing w:line="580" w:lineRule="exact"/>
        <w:ind w:firstLine="640" w:firstLineChars="200"/>
        <w:rPr>
          <w:rFonts w:eastAsia="方正楷体_GBK"/>
          <w:snapToGrid w:val="0"/>
          <w:color w:val="000000" w:themeColor="text1"/>
          <w:kern w:val="0"/>
          <w:sz w:val="32"/>
          <w:szCs w:val="32"/>
          <w14:textFill>
            <w14:solidFill>
              <w14:schemeClr w14:val="tx1"/>
            </w14:solidFill>
          </w14:textFill>
        </w:rPr>
      </w:pPr>
      <w:r>
        <w:rPr>
          <w:rFonts w:hint="eastAsia" w:eastAsia="方正楷体_GBK"/>
          <w:snapToGrid w:val="0"/>
          <w:color w:val="000000" w:themeColor="text1"/>
          <w:kern w:val="0"/>
          <w:sz w:val="32"/>
          <w:szCs w:val="32"/>
          <w14:textFill>
            <w14:solidFill>
              <w14:schemeClr w14:val="tx1"/>
            </w14:solidFill>
          </w14:textFill>
        </w:rPr>
        <w:t>（三）实施民营企业安排残疾人就业行动。</w:t>
      </w:r>
    </w:p>
    <w:p>
      <w:pPr>
        <w:tabs>
          <w:tab w:val="left" w:pos="1164"/>
        </w:tabs>
        <w:autoSpaceDE w:val="0"/>
        <w:autoSpaceDN w:val="0"/>
        <w:spacing w:line="580" w:lineRule="exact"/>
        <w:ind w:firstLine="596" w:firstLineChars="200"/>
        <w:rPr>
          <w:rFonts w:eastAsia="方正仿宋_GBK"/>
          <w:sz w:val="32"/>
          <w:szCs w:val="32"/>
        </w:rPr>
      </w:pPr>
      <w:r>
        <w:rPr>
          <w:rFonts w:eastAsia="方正仿宋_GBK"/>
          <w:spacing w:val="-11"/>
          <w:sz w:val="32"/>
          <w:szCs w:val="32"/>
        </w:rPr>
        <w:t>1.</w:t>
      </w:r>
      <w:r>
        <w:rPr>
          <w:rFonts w:hint="eastAsia" w:eastAsia="方正仿宋_GBK"/>
          <w:spacing w:val="-11"/>
          <w:sz w:val="32"/>
          <w:szCs w:val="32"/>
        </w:rPr>
        <w:t xml:space="preserve"> </w:t>
      </w:r>
      <w:r>
        <w:rPr>
          <w:rFonts w:hint="eastAsia" w:eastAsia="方正仿宋_GBK"/>
          <w:sz w:val="32"/>
          <w:szCs w:val="32"/>
        </w:rPr>
        <w:t>开展民营企业助力残疾人就业活动。加强与相关部门、社会机构合作，为民营企业搭建助残就业平台和开展惠残税费政策宣传。积极对接本区民营企业，收集用工需求，开发适残就业岗位和灵活用工岗位。大力挖掘电商、快递、视频剪辑、直播带货等新就业形态企业吸纳残疾人就业潜力，倡导对在平台就业创业的残疾人减免费用，给予宣传推广、派单倾斜等帮扶；鼓励有条件的企业帮助符合条件的残疾人就近就便就业增收和实现居家就业。（区经信委、区邮政分公司 、区人力社保局、区工商联、区残联及各镇（街道）按职责分工负责）</w:t>
      </w:r>
    </w:p>
    <w:p>
      <w:pPr>
        <w:pStyle w:val="12"/>
        <w:tabs>
          <w:tab w:val="left" w:pos="1164"/>
        </w:tabs>
        <w:autoSpaceDE w:val="0"/>
        <w:autoSpaceDN w:val="0"/>
        <w:spacing w:line="580" w:lineRule="exact"/>
        <w:ind w:left="0" w:right="0" w:firstLine="596" w:firstLineChars="200"/>
        <w:rPr>
          <w:rFonts w:eastAsia="方正仿宋_GBK"/>
          <w:sz w:val="32"/>
          <w:szCs w:val="32"/>
        </w:rPr>
      </w:pPr>
      <w:r>
        <w:rPr>
          <w:rFonts w:hint="eastAsia" w:eastAsia="方正仿宋_GBK"/>
          <w:spacing w:val="-11"/>
          <w:sz w:val="32"/>
          <w:szCs w:val="32"/>
        </w:rPr>
        <w:t>2</w:t>
      </w:r>
      <w:r>
        <w:rPr>
          <w:rFonts w:eastAsia="方正仿宋_GBK"/>
          <w:spacing w:val="-11"/>
          <w:sz w:val="32"/>
          <w:szCs w:val="32"/>
        </w:rPr>
        <w:t xml:space="preserve">. </w:t>
      </w:r>
      <w:r>
        <w:rPr>
          <w:rFonts w:hint="eastAsia" w:eastAsia="方正仿宋_GBK"/>
          <w:sz w:val="32"/>
          <w:szCs w:val="32"/>
        </w:rPr>
        <w:t>搭建助残就业平台帮助残疾人就业。区残联与区人力社保局、区民政局、区工商联、各企业联合组织及行业协会商会、辖区人力资源服务机构等加强合作，每年组织开展民营企业助残就业专项招聘活动，加强对残疾人自主创业企业及个体工商户的指导与扶持，为民营企业提供联系劳动项目、开展就业创业培训和雇主培训等服务。落实财政部、民政部、中国残联《关于促进残疾人就业政府采购政策的通知》（渝财库〔2017〕141号）要求，鼓励采购人优先选择残疾人福利性单位产品。民营企业应当将助残就业、按比例安排残疾人就业情况纳入企业社会责任报告或编制企业专项社会责任报告。（区人力社保局、区民政局、区财政局、区工商联、区残联及各镇（街道）按职责分工负责）</w:t>
      </w:r>
    </w:p>
    <w:p>
      <w:pPr>
        <w:pStyle w:val="2"/>
        <w:autoSpaceDE w:val="0"/>
        <w:autoSpaceDN w:val="0"/>
        <w:spacing w:line="580" w:lineRule="exact"/>
        <w:ind w:firstLine="640" w:firstLineChars="200"/>
        <w:rPr>
          <w:rFonts w:eastAsia="方正楷体_GBK"/>
          <w:snapToGrid w:val="0"/>
          <w:color w:val="000000" w:themeColor="text1"/>
          <w:kern w:val="0"/>
          <w:sz w:val="32"/>
          <w:szCs w:val="32"/>
          <w14:textFill>
            <w14:solidFill>
              <w14:schemeClr w14:val="tx1"/>
            </w14:solidFill>
          </w14:textFill>
        </w:rPr>
      </w:pPr>
      <w:r>
        <w:rPr>
          <w:rFonts w:hint="eastAsia" w:eastAsia="方正楷体_GBK"/>
          <w:snapToGrid w:val="0"/>
          <w:color w:val="000000" w:themeColor="text1"/>
          <w:kern w:val="0"/>
          <w:sz w:val="32"/>
          <w:szCs w:val="32"/>
          <w14:textFill>
            <w14:solidFill>
              <w14:schemeClr w14:val="tx1"/>
            </w14:solidFill>
          </w14:textFill>
        </w:rPr>
        <w:t>（四）实施残疾人组织助残就业行动。</w:t>
      </w:r>
    </w:p>
    <w:p>
      <w:pPr>
        <w:tabs>
          <w:tab w:val="left" w:pos="1149"/>
        </w:tabs>
        <w:autoSpaceDE w:val="0"/>
        <w:autoSpaceDN w:val="0"/>
        <w:spacing w:line="580" w:lineRule="exact"/>
        <w:ind w:firstLine="596" w:firstLineChars="200"/>
        <w:rPr>
          <w:rFonts w:eastAsia="方正仿宋_GBK"/>
          <w:sz w:val="32"/>
          <w:szCs w:val="32"/>
        </w:rPr>
      </w:pPr>
      <w:r>
        <w:rPr>
          <w:rFonts w:eastAsia="方正仿宋_GBK"/>
          <w:spacing w:val="-11"/>
          <w:sz w:val="32"/>
          <w:szCs w:val="32"/>
        </w:rPr>
        <w:t>1.</w:t>
      </w:r>
      <w:r>
        <w:rPr>
          <w:rFonts w:hint="eastAsia" w:eastAsia="方正仿宋_GBK"/>
          <w:spacing w:val="-11"/>
          <w:sz w:val="32"/>
          <w:szCs w:val="32"/>
        </w:rPr>
        <w:t xml:space="preserve"> </w:t>
      </w:r>
      <w:r>
        <w:rPr>
          <w:rFonts w:hint="eastAsia" w:eastAsia="方正仿宋_GBK"/>
          <w:sz w:val="32"/>
          <w:szCs w:val="32"/>
        </w:rPr>
        <w:t>积极发挥本区各类残疾人协会作用。充分发挥各类残疾人专门协会联系、服务本类别残疾人的优势，以及本区运行稳定的各类扶残助残社会组织和残疾人就业创业带头人的示范作用，带动辐射更多残疾人就业创业。积极开展残疾人就业帮扶、鼓励各类市场主体和社会组织共同参与助残就业项目。区残疾人福利基金会办事处要广泛动员社会力量募集善款，设计实施公益慈善就业项目，为残疾人就业创业提供资金、场地等帮扶，开展以帮扶残疾人就业创业为主题的公益慈善项目和活动。（区残联及各镇（街道）按职责分工负责）</w:t>
      </w:r>
    </w:p>
    <w:p>
      <w:pPr>
        <w:tabs>
          <w:tab w:val="left" w:pos="1149"/>
        </w:tabs>
        <w:autoSpaceDE w:val="0"/>
        <w:autoSpaceDN w:val="0"/>
        <w:spacing w:line="580" w:lineRule="exact"/>
        <w:ind w:firstLine="596" w:firstLineChars="200"/>
        <w:rPr>
          <w:rFonts w:eastAsia="方正仿宋_GBK"/>
          <w:sz w:val="32"/>
          <w:szCs w:val="32"/>
        </w:rPr>
      </w:pPr>
      <w:r>
        <w:rPr>
          <w:rFonts w:hint="eastAsia" w:eastAsia="方正仿宋_GBK"/>
          <w:spacing w:val="-11"/>
          <w:sz w:val="32"/>
          <w:szCs w:val="32"/>
        </w:rPr>
        <w:t>2</w:t>
      </w:r>
      <w:r>
        <w:rPr>
          <w:rFonts w:eastAsia="方正仿宋_GBK"/>
          <w:spacing w:val="-11"/>
          <w:sz w:val="32"/>
          <w:szCs w:val="32"/>
        </w:rPr>
        <w:t xml:space="preserve">. </w:t>
      </w:r>
      <w:r>
        <w:rPr>
          <w:rFonts w:hint="eastAsia" w:eastAsia="方正仿宋_GBK"/>
          <w:sz w:val="32"/>
          <w:szCs w:val="32"/>
        </w:rPr>
        <w:t>开发并实施助残就业项目。推广“千企万人助残就业计划”等项目，选择一批已经形成一定市场规模、运行稳定的就业项目， 加大扶持力度，重点培育扶持一批具有本区特色的残疾人就业创业品牌项目。在各类市场主体和社会机构中遴选一批适宜残疾妇女就近就便或居家就业的手工制作类企业或机构，运用好“美丽工坊”项目，逐步打造成残疾妇女就业培训品牌，不断扩大本区残疾妇女就业规模。（区残联、区妇联按职责分工负责）</w:t>
      </w:r>
    </w:p>
    <w:p>
      <w:pPr>
        <w:pStyle w:val="2"/>
        <w:autoSpaceDE w:val="0"/>
        <w:autoSpaceDN w:val="0"/>
        <w:spacing w:line="580" w:lineRule="exact"/>
        <w:ind w:firstLine="640" w:firstLineChars="200"/>
        <w:rPr>
          <w:rFonts w:eastAsia="方正楷体_GBK"/>
          <w:snapToGrid w:val="0"/>
          <w:color w:val="000000" w:themeColor="text1"/>
          <w:kern w:val="0"/>
          <w:sz w:val="32"/>
          <w:szCs w:val="32"/>
          <w14:textFill>
            <w14:solidFill>
              <w14:schemeClr w14:val="tx1"/>
            </w14:solidFill>
          </w14:textFill>
        </w:rPr>
      </w:pPr>
      <w:r>
        <w:rPr>
          <w:rFonts w:hint="eastAsia" w:eastAsia="方正楷体_GBK"/>
          <w:snapToGrid w:val="0"/>
          <w:color w:val="000000" w:themeColor="text1"/>
          <w:kern w:val="0"/>
          <w:sz w:val="32"/>
          <w:szCs w:val="32"/>
          <w14:textFill>
            <w14:solidFill>
              <w14:schemeClr w14:val="tx1"/>
            </w14:solidFill>
          </w14:textFill>
        </w:rPr>
        <w:t>（五）实施就业困难残疾人就业帮扶行动。</w:t>
      </w:r>
    </w:p>
    <w:p>
      <w:pPr>
        <w:pStyle w:val="12"/>
        <w:tabs>
          <w:tab w:val="left" w:pos="1164"/>
        </w:tabs>
        <w:autoSpaceDE w:val="0"/>
        <w:autoSpaceDN w:val="0"/>
        <w:spacing w:line="580" w:lineRule="exact"/>
        <w:ind w:left="0" w:right="0" w:firstLine="596" w:firstLineChars="200"/>
        <w:rPr>
          <w:rFonts w:eastAsia="方正仿宋_GBK"/>
          <w:sz w:val="32"/>
          <w:szCs w:val="32"/>
        </w:rPr>
      </w:pPr>
      <w:r>
        <w:rPr>
          <w:rFonts w:eastAsia="方正仿宋_GBK"/>
          <w:spacing w:val="-11"/>
          <w:sz w:val="32"/>
          <w:szCs w:val="32"/>
        </w:rPr>
        <w:t xml:space="preserve">1. </w:t>
      </w:r>
      <w:r>
        <w:rPr>
          <w:rFonts w:hint="eastAsia" w:eastAsia="方正仿宋_GBK"/>
          <w:sz w:val="32"/>
          <w:szCs w:val="32"/>
        </w:rPr>
        <w:t>推动辅助性就业加快发展。依托“阳光家园”、“渝馨家园”（残疾人之家）、残疾人托养机构等普遍开展辅助性就业。充分挖掘本辖区资源优势，完善辅助性就业库，积极开展残疾人辅助性就业项目收集、开发、调配等工作。“十四五” 期间 ， 本区至少建立1个具有稳定就业劳动项目的辅助性就业机构。（区残联、区民政局及各镇（街道）按职责分工负责）</w:t>
      </w:r>
    </w:p>
    <w:p>
      <w:pPr>
        <w:pStyle w:val="12"/>
        <w:tabs>
          <w:tab w:val="left" w:pos="1164"/>
        </w:tabs>
        <w:autoSpaceDE w:val="0"/>
        <w:autoSpaceDN w:val="0"/>
        <w:spacing w:line="580" w:lineRule="exact"/>
        <w:ind w:left="0" w:right="0" w:firstLine="596" w:firstLineChars="200"/>
        <w:rPr>
          <w:rFonts w:ascii="方正仿宋_GBK" w:hAnsi="方正仿宋_GBK" w:eastAsia="方正仿宋_GBK" w:cs="方正仿宋_GBK"/>
          <w:color w:val="363436"/>
          <w:spacing w:val="20"/>
          <w:w w:val="105"/>
          <w:sz w:val="32"/>
          <w:szCs w:val="32"/>
        </w:rPr>
      </w:pPr>
      <w:r>
        <w:rPr>
          <w:rFonts w:hint="eastAsia" w:eastAsia="方正仿宋_GBK"/>
          <w:spacing w:val="-11"/>
          <w:sz w:val="32"/>
          <w:szCs w:val="32"/>
        </w:rPr>
        <w:t>2</w:t>
      </w:r>
      <w:r>
        <w:rPr>
          <w:rFonts w:eastAsia="方正仿宋_GBK"/>
          <w:spacing w:val="-11"/>
          <w:sz w:val="32"/>
          <w:szCs w:val="32"/>
        </w:rPr>
        <w:t xml:space="preserve">. </w:t>
      </w:r>
      <w:r>
        <w:rPr>
          <w:rFonts w:hint="eastAsia" w:eastAsia="方正仿宋_GBK"/>
          <w:sz w:val="32"/>
          <w:szCs w:val="32"/>
        </w:rPr>
        <w:t>加大适合残疾人就业的公益性岗位开发力度。将符合条件的就业困难残疾人全部纳入就业援助范围，统筹用好现有公益性岗位，优先安排符合条件的残疾人就业。（区农业农村委、区人力社保局、区残联及各镇（街道）按职责分工负责）</w:t>
      </w:r>
    </w:p>
    <w:p>
      <w:pPr>
        <w:pStyle w:val="2"/>
        <w:autoSpaceDE w:val="0"/>
        <w:autoSpaceDN w:val="0"/>
        <w:spacing w:line="580" w:lineRule="exact"/>
        <w:ind w:firstLine="640" w:firstLineChars="200"/>
        <w:rPr>
          <w:rFonts w:eastAsia="方正楷体_GBK"/>
          <w:snapToGrid w:val="0"/>
          <w:color w:val="000000" w:themeColor="text1"/>
          <w:kern w:val="0"/>
          <w:sz w:val="32"/>
          <w:szCs w:val="32"/>
          <w14:textFill>
            <w14:solidFill>
              <w14:schemeClr w14:val="tx1"/>
            </w14:solidFill>
          </w14:textFill>
        </w:rPr>
      </w:pPr>
      <w:r>
        <w:rPr>
          <w:rFonts w:hint="eastAsia" w:eastAsia="方正楷体_GBK"/>
          <w:snapToGrid w:val="0"/>
          <w:color w:val="000000" w:themeColor="text1"/>
          <w:kern w:val="0"/>
          <w:sz w:val="32"/>
          <w:szCs w:val="32"/>
          <w14:textFill>
            <w14:solidFill>
              <w14:schemeClr w14:val="tx1"/>
            </w14:solidFill>
          </w14:textFill>
        </w:rPr>
        <w:t>（六）实施农村残疾人就业帮扶行动。</w:t>
      </w:r>
    </w:p>
    <w:p>
      <w:pPr>
        <w:pStyle w:val="12"/>
        <w:tabs>
          <w:tab w:val="left" w:pos="1164"/>
        </w:tabs>
        <w:autoSpaceDE w:val="0"/>
        <w:autoSpaceDN w:val="0"/>
        <w:spacing w:line="580" w:lineRule="exact"/>
        <w:ind w:left="0" w:right="0" w:firstLine="596" w:firstLineChars="200"/>
        <w:rPr>
          <w:rFonts w:eastAsia="方正仿宋_GBK"/>
          <w:sz w:val="32"/>
          <w:szCs w:val="32"/>
        </w:rPr>
      </w:pPr>
      <w:r>
        <w:rPr>
          <w:rFonts w:eastAsia="方正仿宋_GBK"/>
          <w:spacing w:val="-11"/>
          <w:sz w:val="32"/>
          <w:szCs w:val="32"/>
        </w:rPr>
        <w:t xml:space="preserve">1. </w:t>
      </w:r>
      <w:r>
        <w:rPr>
          <w:rFonts w:hint="eastAsia" w:eastAsia="方正仿宋_GBK"/>
          <w:sz w:val="32"/>
          <w:szCs w:val="32"/>
        </w:rPr>
        <w:t>落实巩固拓展残疾人脱贫攻坚成果各项政策。推进农村残疾人劳力转移就业。落实各项农村残疾人或其家庭成员从事种植、养殖、加工、乡村旅游、农村电商、农村寄递物流等行业的扶持政策。对实现就业且正在享受低保待遇的本区户籍登记失业低保家庭人员，按照规定落实累计期限不超过1年的低保就业补贴，实现平稳过渡。（区人力社保局、区农业农村委、区残联、区财政局、区文旅委、区邮政分公司及各镇（街道）按职责分工负责）</w:t>
      </w:r>
    </w:p>
    <w:p>
      <w:pPr>
        <w:tabs>
          <w:tab w:val="left" w:pos="1174"/>
        </w:tabs>
        <w:autoSpaceDE w:val="0"/>
        <w:autoSpaceDN w:val="0"/>
        <w:spacing w:line="580" w:lineRule="exact"/>
        <w:ind w:firstLine="596" w:firstLineChars="200"/>
        <w:rPr>
          <w:rFonts w:eastAsia="方正仿宋_GBK"/>
          <w:sz w:val="32"/>
          <w:szCs w:val="32"/>
        </w:rPr>
      </w:pPr>
      <w:r>
        <w:rPr>
          <w:rFonts w:hint="eastAsia" w:eastAsia="方正仿宋_GBK"/>
          <w:spacing w:val="-11"/>
          <w:sz w:val="32"/>
          <w:szCs w:val="32"/>
        </w:rPr>
        <w:t>2</w:t>
      </w:r>
      <w:r>
        <w:rPr>
          <w:rFonts w:eastAsia="方正仿宋_GBK"/>
          <w:spacing w:val="-11"/>
          <w:sz w:val="32"/>
          <w:szCs w:val="32"/>
        </w:rPr>
        <w:t xml:space="preserve">. </w:t>
      </w:r>
      <w:r>
        <w:rPr>
          <w:rFonts w:hint="eastAsia" w:eastAsia="方正仿宋_GBK"/>
          <w:sz w:val="32"/>
          <w:szCs w:val="32"/>
        </w:rPr>
        <w:t>开展防止返贫动态监测。健全已脱贫残疾人就业帮扶机制，将防止返贫监测对象的残疾人家庭成员纳入就业创业扶持，建立跟踪访视机制，确保已脱贫残疾人“稳得住、有就业、逐步能致富”。帮扶项目和政策向残疾人就业倾斜。（区残联 、区人力社保局、区农业农村委及各镇（街道）按职责分工负责）</w:t>
      </w:r>
    </w:p>
    <w:p>
      <w:pPr>
        <w:pStyle w:val="2"/>
        <w:autoSpaceDE w:val="0"/>
        <w:autoSpaceDN w:val="0"/>
        <w:spacing w:line="580" w:lineRule="exact"/>
        <w:ind w:firstLine="640" w:firstLineChars="200"/>
        <w:rPr>
          <w:rFonts w:eastAsia="方正楷体_GBK"/>
          <w:snapToGrid w:val="0"/>
          <w:color w:val="000000" w:themeColor="text1"/>
          <w:kern w:val="0"/>
          <w:sz w:val="32"/>
          <w:szCs w:val="32"/>
          <w14:textFill>
            <w14:solidFill>
              <w14:schemeClr w14:val="tx1"/>
            </w14:solidFill>
          </w14:textFill>
        </w:rPr>
      </w:pPr>
      <w:r>
        <w:rPr>
          <w:rFonts w:hint="eastAsia" w:eastAsia="方正楷体_GBK"/>
          <w:snapToGrid w:val="0"/>
          <w:color w:val="000000" w:themeColor="text1"/>
          <w:kern w:val="0"/>
          <w:sz w:val="32"/>
          <w:szCs w:val="32"/>
          <w14:textFill>
            <w14:solidFill>
              <w14:schemeClr w14:val="tx1"/>
            </w14:solidFill>
          </w14:textFill>
        </w:rPr>
        <w:t>（七）实施残疾人大学生就业帮扶行动。</w:t>
      </w:r>
    </w:p>
    <w:p>
      <w:pPr>
        <w:tabs>
          <w:tab w:val="left" w:pos="1174"/>
        </w:tabs>
        <w:autoSpaceDE w:val="0"/>
        <w:autoSpaceDN w:val="0"/>
        <w:spacing w:line="580" w:lineRule="exact"/>
        <w:ind w:firstLine="596" w:firstLineChars="200"/>
        <w:rPr>
          <w:rFonts w:eastAsia="方正仿宋_GBK"/>
          <w:sz w:val="32"/>
          <w:szCs w:val="32"/>
        </w:rPr>
      </w:pPr>
      <w:r>
        <w:rPr>
          <w:rFonts w:eastAsia="方正仿宋_GBK"/>
          <w:spacing w:val="-11"/>
          <w:sz w:val="32"/>
          <w:szCs w:val="32"/>
        </w:rPr>
        <w:t xml:space="preserve">1. </w:t>
      </w:r>
      <w:r>
        <w:rPr>
          <w:rFonts w:hint="eastAsia" w:eastAsia="方正仿宋_GBK"/>
          <w:sz w:val="32"/>
          <w:szCs w:val="32"/>
        </w:rPr>
        <w:t>精准开展残疾人大学生就业服务。区教委、区人力社保局、区残联等部门加强协调配合，建立高效的信息交换、政策共享、分工合作的工作机制，准确掌握在校残疾人大学生数据，建立“一人一策”就业服务台账，开展“一对一”精准服务，确保本区残疾人高校毕业生建档率100%、就业服务率100%,年度有就业意愿的残疾人高校毕业生初次就业率不低于上一年度全国平均水平。（区残联、区教委、区人力社保局及各镇（街道）按职责分工负责）</w:t>
      </w:r>
    </w:p>
    <w:p>
      <w:pPr>
        <w:tabs>
          <w:tab w:val="left" w:pos="1199"/>
        </w:tabs>
        <w:autoSpaceDE w:val="0"/>
        <w:autoSpaceDN w:val="0"/>
        <w:spacing w:line="580" w:lineRule="exact"/>
        <w:ind w:firstLine="596" w:firstLineChars="200"/>
        <w:rPr>
          <w:rFonts w:eastAsia="方正仿宋_GBK"/>
          <w:sz w:val="32"/>
          <w:szCs w:val="32"/>
        </w:rPr>
      </w:pPr>
      <w:r>
        <w:rPr>
          <w:rFonts w:hint="eastAsia" w:eastAsia="方正仿宋_GBK"/>
          <w:spacing w:val="-11"/>
          <w:sz w:val="32"/>
          <w:szCs w:val="32"/>
        </w:rPr>
        <w:t>2</w:t>
      </w:r>
      <w:r>
        <w:rPr>
          <w:rFonts w:eastAsia="方正仿宋_GBK"/>
          <w:spacing w:val="-11"/>
          <w:sz w:val="32"/>
          <w:szCs w:val="32"/>
        </w:rPr>
        <w:t xml:space="preserve">. </w:t>
      </w:r>
      <w:r>
        <w:rPr>
          <w:rFonts w:hint="eastAsia" w:eastAsia="方正仿宋_GBK"/>
          <w:sz w:val="32"/>
          <w:szCs w:val="32"/>
        </w:rPr>
        <w:t>促进残疾人高校毕业生更高质量就业。每年组织本区残疾人高校毕业生积极参与各类线上线下就业服务和招聘活动。落实残疾人高校毕业生求职创业补贴政策。将残疾人高校毕业生作为重点对象纳入机关、事业单位带头安排残疾人就业行动和国有企业、民营企业安排残疾人就业行动。（区残联、区委组织部、区人力社保局、区国资委及各镇（街道）按职责分工负责）</w:t>
      </w:r>
    </w:p>
    <w:p>
      <w:pPr>
        <w:pStyle w:val="2"/>
        <w:autoSpaceDE w:val="0"/>
        <w:autoSpaceDN w:val="0"/>
        <w:spacing w:line="580" w:lineRule="exact"/>
        <w:ind w:firstLine="640" w:firstLineChars="200"/>
        <w:rPr>
          <w:rFonts w:eastAsia="方正楷体_GBK"/>
          <w:snapToGrid w:val="0"/>
          <w:color w:val="000000" w:themeColor="text1"/>
          <w:kern w:val="0"/>
          <w:sz w:val="32"/>
          <w:szCs w:val="32"/>
          <w14:textFill>
            <w14:solidFill>
              <w14:schemeClr w14:val="tx1"/>
            </w14:solidFill>
          </w14:textFill>
        </w:rPr>
      </w:pPr>
      <w:r>
        <w:rPr>
          <w:rFonts w:hint="eastAsia" w:eastAsia="方正楷体_GBK"/>
          <w:snapToGrid w:val="0"/>
          <w:color w:val="000000" w:themeColor="text1"/>
          <w:kern w:val="0"/>
          <w:sz w:val="32"/>
          <w:szCs w:val="32"/>
          <w14:textFill>
            <w14:solidFill>
              <w14:schemeClr w14:val="tx1"/>
            </w14:solidFill>
          </w14:textFill>
        </w:rPr>
        <w:t>（八）实施盲人按摩就业促进行动。</w:t>
      </w:r>
    </w:p>
    <w:p>
      <w:pPr>
        <w:tabs>
          <w:tab w:val="left" w:pos="1199"/>
        </w:tabs>
        <w:autoSpaceDE w:val="0"/>
        <w:autoSpaceDN w:val="0"/>
        <w:spacing w:line="580" w:lineRule="exact"/>
        <w:ind w:firstLine="596" w:firstLineChars="200"/>
        <w:rPr>
          <w:rFonts w:eastAsia="方正仿宋_GBK"/>
          <w:sz w:val="32"/>
          <w:szCs w:val="32"/>
        </w:rPr>
      </w:pPr>
      <w:r>
        <w:rPr>
          <w:rFonts w:eastAsia="方正仿宋_GBK"/>
          <w:spacing w:val="-11"/>
          <w:sz w:val="32"/>
          <w:szCs w:val="32"/>
        </w:rPr>
        <w:t xml:space="preserve">1. </w:t>
      </w:r>
      <w:r>
        <w:rPr>
          <w:rFonts w:hint="eastAsia" w:eastAsia="方正仿宋_GBK"/>
          <w:sz w:val="32"/>
          <w:szCs w:val="32"/>
        </w:rPr>
        <w:t>推动盲人按摩规范化建设。协调相关部门做好本区盲人按摩人员考试、证书年审、继续教育、职称评审、“德法相伴助盲提升”等工作。加强盲人保健按摩行业标准化建设，鼓励职业培训基地开设盲人按摩保健培训课程，对有就业意愿的盲人提供免费培训。发挥盲人保健按摩实训基地和各类培训资源作用，规范开展盲人保健按摩培训。（区残联、区卫健委及各镇（街道）按职责分工负责）</w:t>
      </w:r>
    </w:p>
    <w:p>
      <w:pPr>
        <w:tabs>
          <w:tab w:val="left" w:pos="1199"/>
        </w:tabs>
        <w:autoSpaceDE w:val="0"/>
        <w:autoSpaceDN w:val="0"/>
        <w:spacing w:line="580" w:lineRule="exact"/>
        <w:ind w:firstLine="596" w:firstLineChars="200"/>
        <w:rPr>
          <w:rFonts w:eastAsia="方正仿宋_GBK"/>
          <w:sz w:val="32"/>
          <w:szCs w:val="32"/>
        </w:rPr>
      </w:pPr>
      <w:r>
        <w:rPr>
          <w:rFonts w:hint="eastAsia" w:eastAsia="方正仿宋_GBK"/>
          <w:spacing w:val="-11"/>
          <w:sz w:val="32"/>
          <w:szCs w:val="32"/>
        </w:rPr>
        <w:t>2</w:t>
      </w:r>
      <w:r>
        <w:rPr>
          <w:rFonts w:eastAsia="方正仿宋_GBK"/>
          <w:spacing w:val="-11"/>
          <w:sz w:val="32"/>
          <w:szCs w:val="32"/>
        </w:rPr>
        <w:t xml:space="preserve">. </w:t>
      </w:r>
      <w:r>
        <w:rPr>
          <w:rFonts w:hint="eastAsia" w:eastAsia="方正仿宋_GBK"/>
          <w:sz w:val="32"/>
          <w:szCs w:val="32"/>
        </w:rPr>
        <w:t>大力扶持盲人按摩业发展。支持本区盲人按摩人员开办医疗按摩所。加强盲人医疗按摩机构建设，鼓励医院、社区卫生服务机构设置盲人按摩岗位，吸纳盲人医疗按摩人员就业。继续落实《沙坪坝区盲人按摩人员就业扶持办法( 2021—2025年）》，对符合条件的盲人按摩人员按规定给予扶持，促进盲人按摩人员就业稳定。（区残联、区卫健委、区财政局、区民政局、区人力社保局按职责分工负责）</w:t>
      </w:r>
    </w:p>
    <w:p>
      <w:pPr>
        <w:pStyle w:val="2"/>
        <w:autoSpaceDE w:val="0"/>
        <w:autoSpaceDN w:val="0"/>
        <w:spacing w:line="580" w:lineRule="exact"/>
        <w:ind w:firstLine="640" w:firstLineChars="200"/>
        <w:rPr>
          <w:rFonts w:eastAsia="方正楷体_GBK"/>
          <w:snapToGrid w:val="0"/>
          <w:color w:val="000000" w:themeColor="text1"/>
          <w:kern w:val="0"/>
          <w:sz w:val="32"/>
          <w:szCs w:val="32"/>
          <w14:textFill>
            <w14:solidFill>
              <w14:schemeClr w14:val="tx1"/>
            </w14:solidFill>
          </w14:textFill>
        </w:rPr>
      </w:pPr>
      <w:r>
        <w:rPr>
          <w:rFonts w:hint="eastAsia" w:eastAsia="方正楷体_GBK"/>
          <w:snapToGrid w:val="0"/>
          <w:color w:val="000000" w:themeColor="text1"/>
          <w:kern w:val="0"/>
          <w:sz w:val="32"/>
          <w:szCs w:val="32"/>
          <w14:textFill>
            <w14:solidFill>
              <w14:schemeClr w14:val="tx1"/>
            </w14:solidFill>
          </w14:textFill>
        </w:rPr>
        <w:t>（九）实施残疾人就业服务提升行动。</w:t>
      </w:r>
    </w:p>
    <w:p>
      <w:pPr>
        <w:tabs>
          <w:tab w:val="left" w:pos="1199"/>
        </w:tabs>
        <w:autoSpaceDE w:val="0"/>
        <w:autoSpaceDN w:val="0"/>
        <w:spacing w:line="580" w:lineRule="exact"/>
        <w:ind w:firstLine="596" w:firstLineChars="200"/>
        <w:rPr>
          <w:rFonts w:eastAsia="方正仿宋_GBK"/>
          <w:sz w:val="32"/>
          <w:szCs w:val="32"/>
        </w:rPr>
      </w:pPr>
      <w:r>
        <w:rPr>
          <w:rFonts w:eastAsia="方正仿宋_GBK"/>
          <w:spacing w:val="-11"/>
          <w:sz w:val="32"/>
          <w:szCs w:val="32"/>
        </w:rPr>
        <w:t xml:space="preserve">1. </w:t>
      </w:r>
      <w:r>
        <w:rPr>
          <w:rFonts w:hint="eastAsia" w:eastAsia="方正仿宋_GBK"/>
          <w:sz w:val="32"/>
          <w:szCs w:val="32"/>
        </w:rPr>
        <w:t>开展残疾人就业服务“四个一”活动。对全区范围内就业年龄段未就业残疾人至少进行1次基础信息核对，对其中有就业需求的残疾人至少组织1次职业能力评估、进行1次就业需求登记、开展1次就业服务。（区人力社保局、区残联及各镇（街道）按职责分工负责）</w:t>
      </w:r>
    </w:p>
    <w:p>
      <w:pPr>
        <w:tabs>
          <w:tab w:val="left" w:pos="1184"/>
        </w:tabs>
        <w:autoSpaceDE w:val="0"/>
        <w:autoSpaceDN w:val="0"/>
        <w:spacing w:line="580" w:lineRule="exact"/>
        <w:ind w:firstLine="596" w:firstLineChars="200"/>
        <w:rPr>
          <w:rFonts w:eastAsia="方正仿宋_GBK"/>
          <w:sz w:val="32"/>
          <w:szCs w:val="32"/>
        </w:rPr>
      </w:pPr>
      <w:r>
        <w:rPr>
          <w:rFonts w:hint="eastAsia" w:eastAsia="方正仿宋_GBK"/>
          <w:spacing w:val="-11"/>
          <w:sz w:val="32"/>
          <w:szCs w:val="32"/>
        </w:rPr>
        <w:t>2</w:t>
      </w:r>
      <w:r>
        <w:rPr>
          <w:rFonts w:eastAsia="方正仿宋_GBK"/>
          <w:spacing w:val="-11"/>
          <w:sz w:val="32"/>
          <w:szCs w:val="32"/>
        </w:rPr>
        <w:t xml:space="preserve">. </w:t>
      </w:r>
      <w:r>
        <w:rPr>
          <w:rFonts w:hint="eastAsia" w:eastAsia="方正仿宋_GBK"/>
          <w:sz w:val="32"/>
          <w:szCs w:val="32"/>
        </w:rPr>
        <w:t>加强就业服务标准化建设。公共就业服务机构应将残疾人就业纳入服务范围。区残疾人就业服务机构要进一步完善规范化建设，建立健全就业服务内容、标准、流程等规章制度，推动建立残疾人就业辅导员队伍。依托重要时间节点，举办残疾人就业创业成果展示交流活动。扶持一批助残就业社会服务机构、人力资源服务机构，按规定将残疾人就业创业服务纳入政府购买服务范围。（区人力社保局、区残联及各镇（街道）按职责分工负责）</w:t>
      </w:r>
    </w:p>
    <w:p>
      <w:pPr>
        <w:tabs>
          <w:tab w:val="left" w:pos="1184"/>
        </w:tabs>
        <w:autoSpaceDE w:val="0"/>
        <w:autoSpaceDN w:val="0"/>
        <w:spacing w:line="580" w:lineRule="exact"/>
        <w:ind w:firstLine="596" w:firstLineChars="200"/>
        <w:rPr>
          <w:rFonts w:eastAsia="方正仿宋_GBK"/>
          <w:sz w:val="32"/>
          <w:szCs w:val="32"/>
        </w:rPr>
      </w:pPr>
      <w:r>
        <w:rPr>
          <w:rFonts w:hint="eastAsia" w:eastAsia="方正仿宋_GBK"/>
          <w:spacing w:val="-11"/>
          <w:sz w:val="32"/>
          <w:szCs w:val="32"/>
        </w:rPr>
        <w:t>3</w:t>
      </w:r>
      <w:r>
        <w:rPr>
          <w:rFonts w:eastAsia="方正仿宋_GBK"/>
          <w:spacing w:val="-11"/>
          <w:sz w:val="32"/>
          <w:szCs w:val="32"/>
        </w:rPr>
        <w:t xml:space="preserve">. </w:t>
      </w:r>
      <w:r>
        <w:rPr>
          <w:rFonts w:hint="eastAsia" w:eastAsia="方正仿宋_GBK"/>
          <w:sz w:val="32"/>
          <w:szCs w:val="32"/>
        </w:rPr>
        <w:t>推进残疾人创业孵化基地建设。创建残疾人创业孵化基地，支持残疾人创办的企业入驻创业孵化基地创业，为在孵企业提供场地保障、政策咨询、项目交流、培训指导等创业服务。（区残联、区人力社保局按职责分工负责）</w:t>
      </w:r>
    </w:p>
    <w:p>
      <w:pPr>
        <w:pStyle w:val="2"/>
        <w:autoSpaceDE w:val="0"/>
        <w:autoSpaceDN w:val="0"/>
        <w:spacing w:line="580" w:lineRule="exact"/>
        <w:ind w:firstLine="640" w:firstLineChars="200"/>
        <w:rPr>
          <w:rFonts w:eastAsia="方正楷体_GBK"/>
          <w:snapToGrid w:val="0"/>
          <w:color w:val="000000" w:themeColor="text1"/>
          <w:kern w:val="0"/>
          <w:sz w:val="32"/>
          <w:szCs w:val="32"/>
          <w14:textFill>
            <w14:solidFill>
              <w14:schemeClr w14:val="tx1"/>
            </w14:solidFill>
          </w14:textFill>
        </w:rPr>
      </w:pPr>
      <w:r>
        <w:rPr>
          <w:rFonts w:hint="eastAsia" w:eastAsia="方正楷体_GBK"/>
          <w:snapToGrid w:val="0"/>
          <w:color w:val="000000" w:themeColor="text1"/>
          <w:kern w:val="0"/>
          <w:sz w:val="32"/>
          <w:szCs w:val="32"/>
          <w14:textFill>
            <w14:solidFill>
              <w14:schemeClr w14:val="tx1"/>
            </w14:solidFill>
          </w14:textFill>
        </w:rPr>
        <w:t>（十）实施残疾人职业技能提升行动。</w:t>
      </w:r>
    </w:p>
    <w:p>
      <w:pPr>
        <w:tabs>
          <w:tab w:val="left" w:pos="1184"/>
        </w:tabs>
        <w:autoSpaceDE w:val="0"/>
        <w:autoSpaceDN w:val="0"/>
        <w:spacing w:line="580" w:lineRule="exact"/>
        <w:ind w:firstLine="596" w:firstLineChars="200"/>
        <w:rPr>
          <w:rFonts w:eastAsia="方正仿宋_GBK"/>
          <w:sz w:val="32"/>
          <w:szCs w:val="32"/>
        </w:rPr>
      </w:pPr>
      <w:r>
        <w:rPr>
          <w:rFonts w:eastAsia="方正仿宋_GBK"/>
          <w:spacing w:val="-11"/>
          <w:sz w:val="32"/>
          <w:szCs w:val="32"/>
        </w:rPr>
        <w:t xml:space="preserve">1. </w:t>
      </w:r>
      <w:r>
        <w:rPr>
          <w:rFonts w:hint="eastAsia" w:eastAsia="方正仿宋_GBK"/>
          <w:sz w:val="32"/>
          <w:szCs w:val="32"/>
        </w:rPr>
        <w:t>加大残疾人职业培训供给。加强残疾人职业培训基地建设，“十四五”期间本区至少建立1家区级残疾人职业培训基地，积极开发就业创业培训项目。帮助具备初高中文化程度且有接受职业教育意愿和能力的青壮年残疾人接受中高等职业教育，按规定享受学生资助政策。（区教委、区残联及各镇（街道）按职责分工负责）</w:t>
      </w:r>
    </w:p>
    <w:p>
      <w:pPr>
        <w:tabs>
          <w:tab w:val="left" w:pos="1184"/>
        </w:tabs>
        <w:autoSpaceDE w:val="0"/>
        <w:autoSpaceDN w:val="0"/>
        <w:spacing w:line="580" w:lineRule="exact"/>
        <w:ind w:firstLine="596" w:firstLineChars="200"/>
        <w:rPr>
          <w:rFonts w:eastAsia="方正仿宋_GBK"/>
          <w:sz w:val="32"/>
          <w:szCs w:val="32"/>
        </w:rPr>
      </w:pPr>
      <w:r>
        <w:rPr>
          <w:rFonts w:hint="eastAsia" w:eastAsia="方正仿宋_GBK"/>
          <w:spacing w:val="-11"/>
          <w:sz w:val="32"/>
          <w:szCs w:val="32"/>
        </w:rPr>
        <w:t>2</w:t>
      </w:r>
      <w:r>
        <w:rPr>
          <w:rFonts w:eastAsia="方正仿宋_GBK"/>
          <w:spacing w:val="-11"/>
          <w:sz w:val="32"/>
          <w:szCs w:val="32"/>
        </w:rPr>
        <w:t xml:space="preserve">. </w:t>
      </w:r>
      <w:r>
        <w:rPr>
          <w:rFonts w:hint="eastAsia" w:eastAsia="方正仿宋_GBK"/>
          <w:sz w:val="32"/>
          <w:szCs w:val="32"/>
        </w:rPr>
        <w:t>创新培训方式和手段。以劳动力市场需求为导向，以促进就业为目标，探索推行“企业提出需求、机构承接服务、政府买单”精准培训模式，提升培训质量和效益。在组织传统培训项目的同时，要适应新业态发展，开展电子商务、网络直播、数字技能等培训。（区残联、区人力社保局、区财政局及各镇（街道）按职责分工负责）</w:t>
      </w:r>
    </w:p>
    <w:p>
      <w:pPr>
        <w:tabs>
          <w:tab w:val="left" w:pos="1184"/>
        </w:tabs>
        <w:autoSpaceDE w:val="0"/>
        <w:autoSpaceDN w:val="0"/>
        <w:spacing w:line="580" w:lineRule="exact"/>
        <w:ind w:firstLine="596" w:firstLineChars="200"/>
        <w:rPr>
          <w:rFonts w:eastAsia="方正仿宋_GBK"/>
          <w:sz w:val="32"/>
          <w:szCs w:val="32"/>
        </w:rPr>
      </w:pPr>
      <w:r>
        <w:rPr>
          <w:rFonts w:hint="eastAsia" w:eastAsia="方正仿宋_GBK"/>
          <w:spacing w:val="-11"/>
          <w:sz w:val="32"/>
          <w:szCs w:val="32"/>
        </w:rPr>
        <w:t>3</w:t>
      </w:r>
      <w:r>
        <w:rPr>
          <w:rFonts w:eastAsia="方正仿宋_GBK"/>
          <w:spacing w:val="-11"/>
          <w:sz w:val="32"/>
          <w:szCs w:val="32"/>
        </w:rPr>
        <w:t xml:space="preserve">. </w:t>
      </w:r>
      <w:r>
        <w:rPr>
          <w:rFonts w:hint="eastAsia" w:eastAsia="方正仿宋_GBK"/>
          <w:sz w:val="32"/>
          <w:szCs w:val="32"/>
        </w:rPr>
        <w:t>合理确定残疾人职业培训补贴标准。区残联应对符合条件的残疾人按规定给予培训费、生活费（含交通费）补贴。按照《“十四五＂残疾人职业技能提升计划》要求，结合残疾人培训实际，在公共培训标准基础上对残疾人职业技能培训补贴标准适当上浮。（区残联、区财政局、区人力社保局按职责分工负责）</w:t>
      </w:r>
    </w:p>
    <w:p>
      <w:pPr>
        <w:tabs>
          <w:tab w:val="left" w:pos="1184"/>
        </w:tabs>
        <w:autoSpaceDE w:val="0"/>
        <w:autoSpaceDN w:val="0"/>
        <w:spacing w:line="580" w:lineRule="exact"/>
        <w:ind w:firstLine="596" w:firstLineChars="200"/>
        <w:rPr>
          <w:rFonts w:eastAsia="方正仿宋_GBK"/>
          <w:sz w:val="32"/>
          <w:szCs w:val="32"/>
        </w:rPr>
      </w:pPr>
      <w:r>
        <w:rPr>
          <w:rFonts w:hint="eastAsia" w:eastAsia="方正仿宋_GBK"/>
          <w:spacing w:val="-11"/>
          <w:sz w:val="32"/>
          <w:szCs w:val="32"/>
        </w:rPr>
        <w:t>4</w:t>
      </w:r>
      <w:r>
        <w:rPr>
          <w:rFonts w:eastAsia="方正仿宋_GBK"/>
          <w:spacing w:val="-11"/>
          <w:sz w:val="32"/>
          <w:szCs w:val="32"/>
        </w:rPr>
        <w:t xml:space="preserve">. </w:t>
      </w:r>
      <w:r>
        <w:rPr>
          <w:rFonts w:hint="eastAsia" w:eastAsia="方正仿宋_GBK"/>
          <w:sz w:val="32"/>
          <w:szCs w:val="32"/>
        </w:rPr>
        <w:t>发挥职业技能大赛引领作用。积极组队参与各级、各类别残疾人职业技能竞赛和职业技能展示交流活动，培育、选拔残疾人职业技能骨干人才，支持符合条件的残疾人技能大师建立工作室。（区残联、区人力社保局按职责分工负责）</w:t>
      </w:r>
    </w:p>
    <w:p>
      <w:pPr>
        <w:pStyle w:val="2"/>
        <w:autoSpaceDE w:val="0"/>
        <w:autoSpaceDN w:val="0"/>
        <w:spacing w:line="58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二、保障措施</w:t>
      </w:r>
    </w:p>
    <w:p>
      <w:pPr>
        <w:pStyle w:val="2"/>
        <w:autoSpaceDE w:val="0"/>
        <w:autoSpaceDN w:val="0"/>
        <w:spacing w:line="580" w:lineRule="exact"/>
        <w:ind w:firstLine="640" w:firstLineChars="200"/>
        <w:rPr>
          <w:rFonts w:eastAsia="方正仿宋_GBK"/>
          <w:sz w:val="32"/>
          <w:szCs w:val="32"/>
        </w:rPr>
      </w:pPr>
      <w:r>
        <w:rPr>
          <w:rFonts w:hint="eastAsia" w:eastAsia="方正楷体_GBK"/>
          <w:snapToGrid w:val="0"/>
          <w:color w:val="000000" w:themeColor="text1"/>
          <w:kern w:val="0"/>
          <w:sz w:val="32"/>
          <w:szCs w:val="32"/>
          <w14:textFill>
            <w14:solidFill>
              <w14:schemeClr w14:val="tx1"/>
            </w14:solidFill>
          </w14:textFill>
        </w:rPr>
        <w:t>（一）加强政策保障。</w:t>
      </w:r>
      <w:r>
        <w:rPr>
          <w:rFonts w:hint="eastAsia" w:eastAsia="方正仿宋_GBK"/>
          <w:sz w:val="32"/>
          <w:szCs w:val="32"/>
        </w:rPr>
        <w:t>在现有各类残疾人就业创业帮扶政策措施的基础上，进一步配套完善促进残疾人就业创业政策措施，强化残疾人就业创业制度体系建设，加大政策保障力度，将用人单位按比例安排残疾人就业情况纳入劳动保障监察范围。（区人力社保局、区残联及各镇（街道）按职责分工负责）</w:t>
      </w:r>
    </w:p>
    <w:p>
      <w:pPr>
        <w:pStyle w:val="2"/>
        <w:autoSpaceDE w:val="0"/>
        <w:autoSpaceDN w:val="0"/>
        <w:spacing w:line="580" w:lineRule="exact"/>
        <w:ind w:firstLine="640" w:firstLineChars="200"/>
        <w:rPr>
          <w:rFonts w:eastAsia="方正仿宋_GBK"/>
          <w:sz w:val="32"/>
          <w:szCs w:val="32"/>
        </w:rPr>
      </w:pPr>
      <w:r>
        <w:rPr>
          <w:rFonts w:hint="eastAsia" w:eastAsia="方正楷体_GBK"/>
          <w:snapToGrid w:val="0"/>
          <w:color w:val="000000" w:themeColor="text1"/>
          <w:kern w:val="0"/>
          <w:sz w:val="32"/>
          <w:szCs w:val="32"/>
          <w14:textFill>
            <w14:solidFill>
              <w14:schemeClr w14:val="tx1"/>
            </w14:solidFill>
          </w14:textFill>
        </w:rPr>
        <w:t>（二）加大资金投入。</w:t>
      </w:r>
      <w:r>
        <w:rPr>
          <w:rFonts w:hint="eastAsia" w:eastAsia="方正仿宋_GBK"/>
          <w:sz w:val="32"/>
          <w:szCs w:val="32"/>
        </w:rPr>
        <w:t>按照相关政策规定，统筹用好各类残疾人就业创业扶持资金，保障残疾人就业培训、就业补贴奖励等相关资金投入，对各类就业帮扶、培训基地建设按规定给予扶持。研究制定超比例安排残疾人就业用人单位奖励办法。（区财政局、区人力社保局、区残联按职责分工负责）</w:t>
      </w:r>
    </w:p>
    <w:p>
      <w:pPr>
        <w:pStyle w:val="2"/>
        <w:autoSpaceDE w:val="0"/>
        <w:autoSpaceDN w:val="0"/>
        <w:spacing w:line="580" w:lineRule="exact"/>
        <w:ind w:firstLine="640" w:firstLineChars="200"/>
        <w:rPr>
          <w:rFonts w:eastAsia="方正仿宋_GBK"/>
          <w:sz w:val="32"/>
          <w:szCs w:val="32"/>
        </w:rPr>
      </w:pPr>
      <w:r>
        <w:rPr>
          <w:rFonts w:hint="eastAsia" w:eastAsia="方正楷体_GBK"/>
          <w:snapToGrid w:val="0"/>
          <w:color w:val="000000" w:themeColor="text1"/>
          <w:kern w:val="0"/>
          <w:sz w:val="32"/>
          <w:szCs w:val="32"/>
          <w14:textFill>
            <w14:solidFill>
              <w14:schemeClr w14:val="tx1"/>
            </w14:solidFill>
          </w14:textFill>
        </w:rPr>
        <w:t>（三）强化信息支持。</w:t>
      </w:r>
      <w:r>
        <w:rPr>
          <w:rFonts w:hint="eastAsia" w:eastAsia="方正仿宋_GBK"/>
          <w:sz w:val="32"/>
          <w:szCs w:val="32"/>
        </w:rPr>
        <w:t>依托“全国残联信息化服务平台”“全国残疾人按比例就业情况联网认证系统”和各类政务服务系统平台，实现残疾人就业数据互联互通。推动建立全区残疾人人力资源服务机构清单和残疾人就业创业服务载体目录。做好全国残疾人按比例就业情况联网认证“跨省通办”和“川渝通办”工作，按规定落实保障条件。（区发展改革委、区人力社保局、税务局、区市场监管局、区残联、区经信委及各镇（街道）按职责分工负责）</w:t>
      </w:r>
    </w:p>
    <w:p>
      <w:pPr>
        <w:pStyle w:val="2"/>
        <w:autoSpaceDE w:val="0"/>
        <w:autoSpaceDN w:val="0"/>
        <w:spacing w:line="580" w:lineRule="exact"/>
        <w:ind w:firstLine="640" w:firstLineChars="200"/>
        <w:rPr>
          <w:rFonts w:eastAsia="方正仿宋_GBK"/>
          <w:sz w:val="32"/>
          <w:szCs w:val="32"/>
        </w:rPr>
      </w:pPr>
      <w:r>
        <w:rPr>
          <w:rFonts w:hint="eastAsia" w:eastAsia="方正楷体_GBK"/>
          <w:snapToGrid w:val="0"/>
          <w:color w:val="000000" w:themeColor="text1"/>
          <w:kern w:val="0"/>
          <w:sz w:val="32"/>
          <w:szCs w:val="32"/>
          <w14:textFill>
            <w14:solidFill>
              <w14:schemeClr w14:val="tx1"/>
            </w14:solidFill>
          </w14:textFill>
        </w:rPr>
        <w:t>（四）广泛宣传动员。</w:t>
      </w:r>
      <w:r>
        <w:rPr>
          <w:rFonts w:hint="eastAsia" w:eastAsia="方正仿宋_GBK"/>
          <w:sz w:val="32"/>
          <w:szCs w:val="32"/>
        </w:rPr>
        <w:t>开展“残疾人就业宣传年”活动。充分利用就业援助月、全国助残日、国际残疾人日等重要时间节点，编制宣传方案，通过广播电视、报纸、网络和新媒体平台大力宣传残疾人就业创业扶持政策。对在促进本区残疾人就业工作中作出突出贡献的单位和个人，按照有关规定加大表彰宣传力度，扩大社会影响，形成理解、关心、支持残疾人就业创业的社会环境，持续营造全社会扶残助残的良好氛围。（区委宣传部、区人力社保局、区残联及各镇（街道）按职责分工负责）</w:t>
      </w:r>
    </w:p>
    <w:p>
      <w:pPr>
        <w:pStyle w:val="2"/>
        <w:autoSpaceDE w:val="0"/>
        <w:autoSpaceDN w:val="0"/>
        <w:spacing w:line="580" w:lineRule="exact"/>
        <w:ind w:firstLine="640" w:firstLineChars="200"/>
        <w:rPr>
          <w:rFonts w:eastAsia="方正黑体_GBK"/>
          <w:sz w:val="32"/>
          <w:szCs w:val="32"/>
        </w:rPr>
      </w:pPr>
      <w:r>
        <w:rPr>
          <w:rFonts w:hint="eastAsia" w:eastAsia="方正黑体_GBK"/>
          <w:sz w:val="32"/>
          <w:szCs w:val="32"/>
        </w:rPr>
        <w:t>三、监督落实</w:t>
      </w:r>
    </w:p>
    <w:p>
      <w:pPr>
        <w:pStyle w:val="2"/>
        <w:autoSpaceDE w:val="0"/>
        <w:autoSpaceDN w:val="0"/>
        <w:spacing w:line="580" w:lineRule="exact"/>
        <w:ind w:firstLine="640" w:firstLineChars="200"/>
        <w:rPr>
          <w:rFonts w:eastAsia="方正仿宋_GBK"/>
          <w:sz w:val="32"/>
          <w:szCs w:val="32"/>
        </w:rPr>
      </w:pPr>
      <w:r>
        <w:rPr>
          <w:rFonts w:hint="eastAsia" w:eastAsia="方正仿宋_GBK"/>
          <w:sz w:val="32"/>
          <w:szCs w:val="32"/>
        </w:rPr>
        <w:t>区级有关部门、各有关单位、各镇（街道）要充分认识就业对巩固拓展残疾人脱贫攻坚成果、扎实推进残疾人全面发展和共同富裕的关键作用及重大意义，切实增加责任感和使命感，推动各项工作落地落实。区政府残工委要按年度对实施情况进行监测和评估，及时发现和解决实施过程中出现的问题，每年11月30日前向市政府残工委报送方案落实情况，并在方案实施期间至少组织1次残疾人就业创业扶持政策落实情况和效果评估。2024年年底前，区政府残工委要对本方案落实情况进行总结评估。</w:t>
      </w:r>
    </w:p>
    <w:p>
      <w:pPr>
        <w:pStyle w:val="3"/>
      </w:pPr>
    </w:p>
    <w:p>
      <w:pPr>
        <w:spacing w:line="594" w:lineRule="exact"/>
        <w:ind w:firstLine="640" w:firstLineChars="200"/>
        <w:rPr>
          <w:rFonts w:ascii="方正仿宋_GBK" w:hAnsi="方正仿宋_GBK" w:eastAsia="方正仿宋_GBK" w:cs="方正仿宋_GBK"/>
          <w:sz w:val="32"/>
          <w:szCs w:val="32"/>
        </w:rPr>
      </w:pPr>
      <w:r>
        <w:rPr>
          <w:rFonts w:hint="eastAsia" w:eastAsia="方正仿宋_GBK"/>
          <w:sz w:val="32"/>
          <w:szCs w:val="32"/>
        </w:rPr>
        <w:t>附件：重庆市人民政府办公厅关于印发贯彻落实国务院办公厅促进残疾人就业三年行动方案（2022</w:t>
      </w:r>
      <w:r>
        <w:rPr>
          <w:rFonts w:hint="eastAsia" w:ascii="方正仿宋_GBK" w:hAnsi="方正仿宋_GBK" w:eastAsia="方正仿宋_GBK" w:cs="方正仿宋_GBK"/>
          <w:sz w:val="32"/>
          <w:szCs w:val="32"/>
        </w:rPr>
        <w:t>—</w:t>
      </w:r>
      <w:r>
        <w:rPr>
          <w:rFonts w:hint="eastAsia" w:eastAsia="方正仿宋_GBK"/>
          <w:sz w:val="32"/>
          <w:szCs w:val="32"/>
        </w:rPr>
        <w:t>2024年）重点任务分工的通知</w:t>
      </w:r>
      <w:r>
        <w:rPr>
          <w:rFonts w:hint="eastAsia" w:ascii="方正仿宋_GBK" w:hAnsi="方正仿宋_GBK" w:eastAsia="方正仿宋_GBK" w:cs="方正仿宋_GBK"/>
          <w:sz w:val="32"/>
          <w:szCs w:val="32"/>
        </w:rPr>
        <w:t>（渝府办发〔</w:t>
      </w:r>
      <w:r>
        <w:rPr>
          <w:rFonts w:hint="eastAsia" w:eastAsia="方正仿宋_GBK"/>
          <w:sz w:val="32"/>
          <w:szCs w:val="32"/>
        </w:rPr>
        <w:t>2022</w:t>
      </w:r>
      <w:r>
        <w:rPr>
          <w:rFonts w:hint="eastAsia" w:ascii="方正仿宋_GBK" w:hAnsi="方正仿宋_GBK" w:eastAsia="方正仿宋_GBK" w:cs="方正仿宋_GBK"/>
          <w:sz w:val="32"/>
          <w:szCs w:val="32"/>
        </w:rPr>
        <w:t>〕</w:t>
      </w:r>
      <w:r>
        <w:rPr>
          <w:rFonts w:hint="eastAsia" w:eastAsia="方正仿宋_GBK"/>
          <w:sz w:val="32"/>
          <w:szCs w:val="32"/>
        </w:rPr>
        <w:t>119</w:t>
      </w:r>
      <w:r>
        <w:rPr>
          <w:rFonts w:hint="eastAsia" w:ascii="方正仿宋_GBK" w:hAnsi="方正仿宋_GBK" w:eastAsia="方正仿宋_GBK"/>
          <w:sz w:val="32"/>
        </w:rPr>
        <w:t>号</w:t>
      </w:r>
      <w:r>
        <w:rPr>
          <w:rFonts w:hint="eastAsia" w:ascii="方正仿宋_GBK" w:hAnsi="方正仿宋_GBK" w:eastAsia="方正仿宋_GBK" w:cs="方正仿宋_GBK"/>
          <w:sz w:val="32"/>
          <w:szCs w:val="32"/>
        </w:rPr>
        <w:t>）</w:t>
      </w:r>
    </w:p>
    <w:p>
      <w:pPr>
        <w:spacing w:line="594" w:lineRule="exact"/>
        <w:ind w:firstLine="640" w:firstLineChars="200"/>
        <w:rPr>
          <w:rFonts w:ascii="方正仿宋_GBK" w:hAnsi="方正仿宋_GBK" w:eastAsia="方正仿宋_GBK" w:cs="方正仿宋_GBK"/>
          <w:sz w:val="32"/>
          <w:szCs w:val="32"/>
        </w:rPr>
      </w:pPr>
    </w:p>
    <w:p>
      <w:pPr>
        <w:spacing w:line="594" w:lineRule="exact"/>
        <w:ind w:firstLine="640" w:firstLineChars="200"/>
        <w:rPr>
          <w:rFonts w:ascii="方正仿宋_GBK" w:hAnsi="方正仿宋_GBK" w:eastAsia="方正仿宋_GBK" w:cs="方正仿宋_GBK"/>
          <w:sz w:val="32"/>
          <w:szCs w:val="32"/>
        </w:rPr>
      </w:pPr>
    </w:p>
    <w:p>
      <w:pPr>
        <w:spacing w:line="594" w:lineRule="exact"/>
        <w:ind w:firstLine="640" w:firstLineChars="200"/>
        <w:rPr>
          <w:rFonts w:ascii="方正仿宋_GBK" w:hAnsi="方正仿宋_GBK" w:eastAsia="方正仿宋_GBK" w:cs="方正仿宋_GBK"/>
          <w:sz w:val="32"/>
          <w:szCs w:val="32"/>
        </w:rPr>
      </w:pPr>
    </w:p>
    <w:p>
      <w:pPr>
        <w:spacing w:line="594" w:lineRule="exact"/>
        <w:ind w:firstLine="640" w:firstLineChars="200"/>
        <w:rPr>
          <w:rFonts w:ascii="方正仿宋_GBK" w:hAnsi="方正仿宋_GBK" w:eastAsia="方正仿宋_GBK" w:cs="方正仿宋_GBK"/>
          <w:sz w:val="32"/>
          <w:szCs w:val="32"/>
        </w:rPr>
      </w:pPr>
    </w:p>
    <w:p>
      <w:pPr>
        <w:spacing w:line="594" w:lineRule="exact"/>
        <w:rPr>
          <w:rFonts w:eastAsia="方正黑体_GBK"/>
          <w:spacing w:val="-8"/>
          <w:sz w:val="32"/>
          <w:szCs w:val="32"/>
        </w:rPr>
      </w:pPr>
      <w:r>
        <w:rPr>
          <w:rFonts w:hint="eastAsia" w:eastAsia="方正黑体_GBK"/>
          <w:spacing w:val="-8"/>
          <w:sz w:val="32"/>
          <w:szCs w:val="32"/>
        </w:rPr>
        <w:t>附件</w:t>
      </w:r>
    </w:p>
    <w:p>
      <w:pPr>
        <w:pStyle w:val="2"/>
      </w:pPr>
      <w:r>
        <w:drawing>
          <wp:inline distT="0" distB="0" distL="114300" distR="114300">
            <wp:extent cx="5720080" cy="7889875"/>
            <wp:effectExtent l="0" t="0" r="13970" b="15875"/>
            <wp:docPr id="2" name="图片 2" descr="00000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000001"/>
                    <pic:cNvPicPr>
                      <a:picLocks noChangeAspect="true"/>
                    </pic:cNvPicPr>
                  </pic:nvPicPr>
                  <pic:blipFill>
                    <a:blip r:embed="rId5"/>
                    <a:stretch>
                      <a:fillRect/>
                    </a:stretch>
                  </pic:blipFill>
                  <pic:spPr>
                    <a:xfrm>
                      <a:off x="0" y="0"/>
                      <a:ext cx="5720080" cy="7889875"/>
                    </a:xfrm>
                    <a:prstGeom prst="rect">
                      <a:avLst/>
                    </a:prstGeom>
                  </pic:spPr>
                </pic:pic>
              </a:graphicData>
            </a:graphic>
          </wp:inline>
        </w:drawing>
      </w:r>
    </w:p>
    <w:p>
      <w:pPr>
        <w:pStyle w:val="3"/>
        <w:spacing w:line="240" w:lineRule="auto"/>
      </w:pPr>
      <w:r>
        <w:rPr>
          <w:rFonts w:hint="eastAsia"/>
        </w:rPr>
        <w:drawing>
          <wp:inline distT="0" distB="0" distL="114300" distR="114300">
            <wp:extent cx="5720080" cy="8087995"/>
            <wp:effectExtent l="0" t="0" r="13970" b="8255"/>
            <wp:docPr id="3" name="图片 3" descr="00000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000002"/>
                    <pic:cNvPicPr>
                      <a:picLocks noChangeAspect="true"/>
                    </pic:cNvPicPr>
                  </pic:nvPicPr>
                  <pic:blipFill>
                    <a:blip r:embed="rId6"/>
                    <a:stretch>
                      <a:fillRect/>
                    </a:stretch>
                  </pic:blipFill>
                  <pic:spPr>
                    <a:xfrm>
                      <a:off x="0" y="0"/>
                      <a:ext cx="5720080" cy="8087995"/>
                    </a:xfrm>
                    <a:prstGeom prst="rect">
                      <a:avLst/>
                    </a:prstGeom>
                  </pic:spPr>
                </pic:pic>
              </a:graphicData>
            </a:graphic>
          </wp:inline>
        </w:drawing>
      </w:r>
    </w:p>
    <w:p>
      <w:pPr>
        <w:rPr>
          <w:rFonts w:eastAsia="方正仿宋_GBK"/>
        </w:rPr>
      </w:pPr>
    </w:p>
    <w:p>
      <w:pPr>
        <w:pStyle w:val="2"/>
      </w:pPr>
      <w:r>
        <w:rPr>
          <w:rFonts w:hint="eastAsia"/>
        </w:rPr>
        <w:drawing>
          <wp:inline distT="0" distB="0" distL="114300" distR="114300">
            <wp:extent cx="5720080" cy="8087995"/>
            <wp:effectExtent l="0" t="0" r="13970" b="8255"/>
            <wp:docPr id="4" name="图片 4" descr="00000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000003"/>
                    <pic:cNvPicPr>
                      <a:picLocks noChangeAspect="true"/>
                    </pic:cNvPicPr>
                  </pic:nvPicPr>
                  <pic:blipFill>
                    <a:blip r:embed="rId7"/>
                    <a:stretch>
                      <a:fillRect/>
                    </a:stretch>
                  </pic:blipFill>
                  <pic:spPr>
                    <a:xfrm>
                      <a:off x="0" y="0"/>
                      <a:ext cx="5720080" cy="8087995"/>
                    </a:xfrm>
                    <a:prstGeom prst="rect">
                      <a:avLst/>
                    </a:prstGeom>
                  </pic:spPr>
                </pic:pic>
              </a:graphicData>
            </a:graphic>
          </wp:inline>
        </w:drawing>
      </w:r>
    </w:p>
    <w:p>
      <w:pPr>
        <w:pStyle w:val="3"/>
        <w:spacing w:line="240" w:lineRule="auto"/>
      </w:pPr>
      <w:r>
        <w:rPr>
          <w:rFonts w:hint="eastAsia"/>
        </w:rPr>
        <w:drawing>
          <wp:inline distT="0" distB="0" distL="114300" distR="114300">
            <wp:extent cx="5720080" cy="8087995"/>
            <wp:effectExtent l="0" t="0" r="13970" b="8255"/>
            <wp:docPr id="5" name="图片 5" descr="00000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000004"/>
                    <pic:cNvPicPr>
                      <a:picLocks noChangeAspect="true"/>
                    </pic:cNvPicPr>
                  </pic:nvPicPr>
                  <pic:blipFill>
                    <a:blip r:embed="rId8"/>
                    <a:stretch>
                      <a:fillRect/>
                    </a:stretch>
                  </pic:blipFill>
                  <pic:spPr>
                    <a:xfrm>
                      <a:off x="0" y="0"/>
                      <a:ext cx="5720080" cy="8087995"/>
                    </a:xfrm>
                    <a:prstGeom prst="rect">
                      <a:avLst/>
                    </a:prstGeom>
                  </pic:spPr>
                </pic:pic>
              </a:graphicData>
            </a:graphic>
          </wp:inline>
        </w:drawing>
      </w:r>
    </w:p>
    <w:p/>
    <w:p>
      <w:pPr>
        <w:pStyle w:val="2"/>
      </w:pPr>
      <w:r>
        <w:rPr>
          <w:rFonts w:hint="eastAsia"/>
        </w:rPr>
        <w:drawing>
          <wp:inline distT="0" distB="0" distL="114300" distR="114300">
            <wp:extent cx="5720080" cy="8087995"/>
            <wp:effectExtent l="0" t="0" r="13970" b="8255"/>
            <wp:docPr id="6" name="图片 6" descr="00000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000005"/>
                    <pic:cNvPicPr>
                      <a:picLocks noChangeAspect="true"/>
                    </pic:cNvPicPr>
                  </pic:nvPicPr>
                  <pic:blipFill>
                    <a:blip r:embed="rId9"/>
                    <a:stretch>
                      <a:fillRect/>
                    </a:stretch>
                  </pic:blipFill>
                  <pic:spPr>
                    <a:xfrm>
                      <a:off x="0" y="0"/>
                      <a:ext cx="5720080" cy="8087995"/>
                    </a:xfrm>
                    <a:prstGeom prst="rect">
                      <a:avLst/>
                    </a:prstGeom>
                  </pic:spPr>
                </pic:pic>
              </a:graphicData>
            </a:graphic>
          </wp:inline>
        </w:drawing>
      </w:r>
    </w:p>
    <w:p>
      <w:pPr>
        <w:pStyle w:val="3"/>
        <w:spacing w:line="240" w:lineRule="auto"/>
      </w:pPr>
      <w:r>
        <w:rPr>
          <w:rFonts w:hint="eastAsia"/>
        </w:rPr>
        <w:drawing>
          <wp:inline distT="0" distB="0" distL="114300" distR="114300">
            <wp:extent cx="5720080" cy="8087995"/>
            <wp:effectExtent l="0" t="0" r="13970" b="8255"/>
            <wp:docPr id="7" name="图片 7" descr="00000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000006"/>
                    <pic:cNvPicPr>
                      <a:picLocks noChangeAspect="true"/>
                    </pic:cNvPicPr>
                  </pic:nvPicPr>
                  <pic:blipFill>
                    <a:blip r:embed="rId10"/>
                    <a:stretch>
                      <a:fillRect/>
                    </a:stretch>
                  </pic:blipFill>
                  <pic:spPr>
                    <a:xfrm>
                      <a:off x="0" y="0"/>
                      <a:ext cx="5720080" cy="8087995"/>
                    </a:xfrm>
                    <a:prstGeom prst="rect">
                      <a:avLst/>
                    </a:prstGeom>
                  </pic:spPr>
                </pic:pic>
              </a:graphicData>
            </a:graphic>
          </wp:inline>
        </w:drawing>
      </w:r>
    </w:p>
    <w:p/>
    <w:p>
      <w:pPr>
        <w:pStyle w:val="2"/>
      </w:pPr>
      <w:r>
        <w:rPr>
          <w:rFonts w:hint="eastAsia"/>
        </w:rPr>
        <w:drawing>
          <wp:inline distT="0" distB="0" distL="114300" distR="114300">
            <wp:extent cx="5720080" cy="8087995"/>
            <wp:effectExtent l="0" t="0" r="13970" b="8255"/>
            <wp:docPr id="8" name="图片 8" descr="00000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000007"/>
                    <pic:cNvPicPr>
                      <a:picLocks noChangeAspect="true"/>
                    </pic:cNvPicPr>
                  </pic:nvPicPr>
                  <pic:blipFill>
                    <a:blip r:embed="rId11"/>
                    <a:stretch>
                      <a:fillRect/>
                    </a:stretch>
                  </pic:blipFill>
                  <pic:spPr>
                    <a:xfrm>
                      <a:off x="0" y="0"/>
                      <a:ext cx="5720080" cy="8087995"/>
                    </a:xfrm>
                    <a:prstGeom prst="rect">
                      <a:avLst/>
                    </a:prstGeom>
                  </pic:spPr>
                </pic:pic>
              </a:graphicData>
            </a:graphic>
          </wp:inline>
        </w:drawing>
      </w:r>
    </w:p>
    <w:p>
      <w:pPr>
        <w:pStyle w:val="3"/>
        <w:spacing w:line="240" w:lineRule="auto"/>
      </w:pPr>
      <w:r>
        <w:rPr>
          <w:rFonts w:hint="eastAsia"/>
        </w:rPr>
        <w:drawing>
          <wp:inline distT="0" distB="0" distL="114300" distR="114300">
            <wp:extent cx="5720080" cy="8087995"/>
            <wp:effectExtent l="0" t="0" r="13970" b="8255"/>
            <wp:docPr id="9" name="图片 9" descr="00000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000008"/>
                    <pic:cNvPicPr>
                      <a:picLocks noChangeAspect="true"/>
                    </pic:cNvPicPr>
                  </pic:nvPicPr>
                  <pic:blipFill>
                    <a:blip r:embed="rId12"/>
                    <a:stretch>
                      <a:fillRect/>
                    </a:stretch>
                  </pic:blipFill>
                  <pic:spPr>
                    <a:xfrm>
                      <a:off x="0" y="0"/>
                      <a:ext cx="5720080" cy="8087995"/>
                    </a:xfrm>
                    <a:prstGeom prst="rect">
                      <a:avLst/>
                    </a:prstGeom>
                  </pic:spPr>
                </pic:pic>
              </a:graphicData>
            </a:graphic>
          </wp:inline>
        </w:drawing>
      </w:r>
    </w:p>
    <w:p/>
    <w:p>
      <w:pPr>
        <w:pStyle w:val="2"/>
      </w:pPr>
      <w:r>
        <w:rPr>
          <w:rFonts w:hint="eastAsia"/>
        </w:rPr>
        <w:drawing>
          <wp:inline distT="0" distB="0" distL="114300" distR="114300">
            <wp:extent cx="5720080" cy="8087995"/>
            <wp:effectExtent l="0" t="0" r="13970" b="8255"/>
            <wp:docPr id="10" name="图片 10" descr="00000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000009"/>
                    <pic:cNvPicPr>
                      <a:picLocks noChangeAspect="true"/>
                    </pic:cNvPicPr>
                  </pic:nvPicPr>
                  <pic:blipFill>
                    <a:blip r:embed="rId13"/>
                    <a:stretch>
                      <a:fillRect/>
                    </a:stretch>
                  </pic:blipFill>
                  <pic:spPr>
                    <a:xfrm>
                      <a:off x="0" y="0"/>
                      <a:ext cx="5720080" cy="8087995"/>
                    </a:xfrm>
                    <a:prstGeom prst="rect">
                      <a:avLst/>
                    </a:prstGeom>
                  </pic:spPr>
                </pic:pic>
              </a:graphicData>
            </a:graphic>
          </wp:inline>
        </w:drawing>
      </w:r>
    </w:p>
    <w:p>
      <w:pPr>
        <w:pStyle w:val="3"/>
        <w:spacing w:line="240" w:lineRule="auto"/>
      </w:pPr>
      <w:r>
        <w:rPr>
          <w:rFonts w:hint="eastAsia"/>
        </w:rPr>
        <w:drawing>
          <wp:inline distT="0" distB="0" distL="114300" distR="114300">
            <wp:extent cx="5720080" cy="8087995"/>
            <wp:effectExtent l="0" t="0" r="13970" b="8255"/>
            <wp:docPr id="11" name="图片 11" descr="0000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000010"/>
                    <pic:cNvPicPr>
                      <a:picLocks noChangeAspect="true"/>
                    </pic:cNvPicPr>
                  </pic:nvPicPr>
                  <pic:blipFill>
                    <a:blip r:embed="rId14"/>
                    <a:stretch>
                      <a:fillRect/>
                    </a:stretch>
                  </pic:blipFill>
                  <pic:spPr>
                    <a:xfrm>
                      <a:off x="0" y="0"/>
                      <a:ext cx="5720080" cy="8087995"/>
                    </a:xfrm>
                    <a:prstGeom prst="rect">
                      <a:avLst/>
                    </a:prstGeom>
                  </pic:spPr>
                </pic:pic>
              </a:graphicData>
            </a:graphic>
          </wp:inline>
        </w:drawing>
      </w:r>
    </w:p>
    <w:p/>
    <w:p>
      <w:pPr>
        <w:pStyle w:val="2"/>
      </w:pPr>
      <w:r>
        <w:rPr>
          <w:rFonts w:hint="eastAsia"/>
        </w:rPr>
        <w:drawing>
          <wp:inline distT="0" distB="0" distL="114300" distR="114300">
            <wp:extent cx="5720080" cy="8087995"/>
            <wp:effectExtent l="0" t="0" r="13970" b="8255"/>
            <wp:docPr id="12" name="图片 12" descr="0000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000011"/>
                    <pic:cNvPicPr>
                      <a:picLocks noChangeAspect="true"/>
                    </pic:cNvPicPr>
                  </pic:nvPicPr>
                  <pic:blipFill>
                    <a:blip r:embed="rId15"/>
                    <a:stretch>
                      <a:fillRect/>
                    </a:stretch>
                  </pic:blipFill>
                  <pic:spPr>
                    <a:xfrm>
                      <a:off x="0" y="0"/>
                      <a:ext cx="5720080" cy="8087995"/>
                    </a:xfrm>
                    <a:prstGeom prst="rect">
                      <a:avLst/>
                    </a:prstGeom>
                  </pic:spPr>
                </pic:pic>
              </a:graphicData>
            </a:graphic>
          </wp:inline>
        </w:drawing>
      </w:r>
    </w:p>
    <w:sectPr>
      <w:footerReference r:id="rId3" w:type="default"/>
      <w:pgSz w:w="11906" w:h="16838"/>
      <w:pgMar w:top="1984" w:right="1446" w:bottom="1644" w:left="1446"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仿宋_GBK">
    <w:panose1 w:val="02000000000000000000"/>
    <w:charset w:val="86"/>
    <w:family w:val="script"/>
    <w:pitch w:val="default"/>
    <w:sig w:usb0="00000001" w:usb1="08000000" w:usb2="00000000" w:usb3="00000000" w:csb0="00040000" w:csb1="00000000"/>
  </w:font>
  <w:font w:name="方正小标宋_GBK">
    <w:panose1 w:val="02000000000000000000"/>
    <w:charset w:val="86"/>
    <w:family w:val="script"/>
    <w:pitch w:val="default"/>
    <w:sig w:usb0="00000001" w:usb1="08000000" w:usb2="00000000" w:usb3="00000000" w:csb0="00040000" w:csb1="00000000"/>
  </w:font>
  <w:font w:name="方正楷体_GBK">
    <w:panose1 w:val="02000000000000000000"/>
    <w:charset w:val="86"/>
    <w:family w:val="script"/>
    <w:pitch w:val="default"/>
    <w:sig w:usb0="00000001" w:usb1="08000000" w:usb2="00000000" w:usb3="00000000" w:csb0="00040000" w:csb1="00000000"/>
  </w:font>
  <w:font w:name="方正黑体_GBK">
    <w:panose1 w:val="02000000000000000000"/>
    <w:charset w:val="86"/>
    <w:family w:val="script"/>
    <w:pitch w:val="default"/>
    <w:sig w:usb0="00000001" w:usb1="08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sz w:val="28"/>
                              <w:szCs w:val="28"/>
                            </w:rPr>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Pr>
                              <w:sz w:val="28"/>
                              <w:szCs w:val="28"/>
                            </w:rPr>
                            <w:t>- 1 -</w:t>
                          </w:r>
                          <w:r>
                            <w:rPr>
                              <w:rFonts w:hint="eastAsia"/>
                              <w:sz w:val="28"/>
                              <w:szCs w:val="28"/>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zSVju&#10;0AAAAAUBAAAPAAAAAAAAAAEAIAAAADgAAABkcnMvZG93bnJldi54bWxQSwECFAAUAAAACACHTuJA&#10;OOeXwRMCAAAZBAAADgAAAAAAAAABACAAAAA1AQAAZHJzL2Uyb0RvYy54bWxQSwUGAAAAAAYABgBZ&#10;AQAAugUAAAAA&#10;">
              <v:fill on="f" focussize="0,0"/>
              <v:stroke on="f" weight="0.5pt"/>
              <v:imagedata o:title=""/>
              <o:lock v:ext="edit" aspectratio="f"/>
              <v:textbox inset="0mm,0mm,0mm,0mm" style="mso-fit-shape-to-text:t;">
                <w:txbxContent>
                  <w:p>
                    <w:pPr>
                      <w:pStyle w:val="7"/>
                      <w:rPr>
                        <w:sz w:val="28"/>
                        <w:szCs w:val="28"/>
                      </w:rPr>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Pr>
                        <w:sz w:val="28"/>
                        <w:szCs w:val="28"/>
                      </w:rPr>
                      <w:t>- 1 -</w:t>
                    </w:r>
                    <w:r>
                      <w:rPr>
                        <w:rFonts w:hint="eastAsia"/>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hkODk2MjQ5NmEwYzg4NjM0ODY1YTQ0ZGE5Yjc3YmYifQ=="/>
  </w:docVars>
  <w:rsids>
    <w:rsidRoot w:val="73054CAE"/>
    <w:rsid w:val="000A0080"/>
    <w:rsid w:val="002252B8"/>
    <w:rsid w:val="003B569F"/>
    <w:rsid w:val="00D43BBF"/>
    <w:rsid w:val="01687703"/>
    <w:rsid w:val="05CC0260"/>
    <w:rsid w:val="05E80E12"/>
    <w:rsid w:val="06686735"/>
    <w:rsid w:val="07E06245"/>
    <w:rsid w:val="0B15704E"/>
    <w:rsid w:val="0D31309F"/>
    <w:rsid w:val="0E5365FD"/>
    <w:rsid w:val="0F0F7559"/>
    <w:rsid w:val="10991687"/>
    <w:rsid w:val="13693592"/>
    <w:rsid w:val="16443E43"/>
    <w:rsid w:val="18985E50"/>
    <w:rsid w:val="1A13608B"/>
    <w:rsid w:val="1AB05F4B"/>
    <w:rsid w:val="1C940F54"/>
    <w:rsid w:val="1ED403D1"/>
    <w:rsid w:val="22EF6BE3"/>
    <w:rsid w:val="2AC06C6F"/>
    <w:rsid w:val="2B0438C9"/>
    <w:rsid w:val="2BDD04E6"/>
    <w:rsid w:val="2BE23A8A"/>
    <w:rsid w:val="2CEF46B1"/>
    <w:rsid w:val="2F4A02C4"/>
    <w:rsid w:val="30295295"/>
    <w:rsid w:val="30DC4F4C"/>
    <w:rsid w:val="310F0D50"/>
    <w:rsid w:val="3337290D"/>
    <w:rsid w:val="33735A4C"/>
    <w:rsid w:val="36640D4C"/>
    <w:rsid w:val="36E903C3"/>
    <w:rsid w:val="37BF2ED1"/>
    <w:rsid w:val="3A23599A"/>
    <w:rsid w:val="3A6D30B9"/>
    <w:rsid w:val="3C28373B"/>
    <w:rsid w:val="3D3303AB"/>
    <w:rsid w:val="407C2036"/>
    <w:rsid w:val="427033A7"/>
    <w:rsid w:val="43A35581"/>
    <w:rsid w:val="45876549"/>
    <w:rsid w:val="45B47303"/>
    <w:rsid w:val="460F7F15"/>
    <w:rsid w:val="467D7EA1"/>
    <w:rsid w:val="47D70585"/>
    <w:rsid w:val="48F641CA"/>
    <w:rsid w:val="4CE235D0"/>
    <w:rsid w:val="52EC506B"/>
    <w:rsid w:val="571E029C"/>
    <w:rsid w:val="58F4226E"/>
    <w:rsid w:val="5B3752F1"/>
    <w:rsid w:val="5CB52971"/>
    <w:rsid w:val="62D20643"/>
    <w:rsid w:val="64250A40"/>
    <w:rsid w:val="66676D2D"/>
    <w:rsid w:val="69FD7C09"/>
    <w:rsid w:val="6A447FD1"/>
    <w:rsid w:val="6A8032A9"/>
    <w:rsid w:val="717504BC"/>
    <w:rsid w:val="71F61520"/>
    <w:rsid w:val="73054CAE"/>
    <w:rsid w:val="734B7734"/>
    <w:rsid w:val="76C00027"/>
    <w:rsid w:val="777C3234"/>
    <w:rsid w:val="778C3E77"/>
    <w:rsid w:val="7AEC5358"/>
    <w:rsid w:val="7D6962A9"/>
    <w:rsid w:val="9FBF0C17"/>
    <w:rsid w:val="CFAEE2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9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tabs>
        <w:tab w:val="left" w:pos="1260"/>
      </w:tabs>
      <w:ind w:left="1260" w:hanging="180"/>
      <w:outlineLvl w:val="0"/>
    </w:pPr>
    <w:rPr>
      <w:sz w:val="30"/>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style>
  <w:style w:type="paragraph" w:styleId="3">
    <w:name w:val="toc 5"/>
    <w:basedOn w:val="1"/>
    <w:next w:val="1"/>
    <w:qFormat/>
    <w:uiPriority w:val="99"/>
    <w:pPr>
      <w:spacing w:line="594" w:lineRule="exact"/>
      <w:jc w:val="left"/>
    </w:pPr>
    <w:rPr>
      <w:rFonts w:eastAsia="方正仿宋_GBK"/>
      <w:szCs w:val="32"/>
    </w:rPr>
  </w:style>
  <w:style w:type="paragraph" w:styleId="5">
    <w:name w:val="Date"/>
    <w:basedOn w:val="1"/>
    <w:next w:val="1"/>
    <w:link w:val="13"/>
    <w:qFormat/>
    <w:uiPriority w:val="0"/>
    <w:pPr>
      <w:ind w:left="100" w:leftChars="2500"/>
    </w:pPr>
  </w:style>
  <w:style w:type="paragraph" w:styleId="6">
    <w:name w:val="Balloon Text"/>
    <w:basedOn w:val="1"/>
    <w:link w:val="14"/>
    <w:qFormat/>
    <w:uiPriority w:val="0"/>
    <w:rPr>
      <w:sz w:val="18"/>
      <w:szCs w:val="18"/>
    </w:rPr>
  </w:style>
  <w:style w:type="paragraph" w:styleId="7">
    <w:name w:val="footer"/>
    <w:basedOn w:val="1"/>
    <w:next w:val="8"/>
    <w:qFormat/>
    <w:uiPriority w:val="0"/>
    <w:pPr>
      <w:tabs>
        <w:tab w:val="center" w:pos="4153"/>
        <w:tab w:val="right" w:pos="8306"/>
      </w:tabs>
      <w:snapToGrid w:val="0"/>
      <w:jc w:val="left"/>
    </w:pPr>
    <w:rPr>
      <w:sz w:val="18"/>
    </w:rPr>
  </w:style>
  <w:style w:type="paragraph" w:customStyle="1" w:styleId="8">
    <w:name w:val="索引 51"/>
    <w:basedOn w:val="1"/>
    <w:next w:val="1"/>
    <w:qFormat/>
    <w:uiPriority w:val="0"/>
    <w:pPr>
      <w:ind w:left="1680"/>
    </w:p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List Paragraph"/>
    <w:basedOn w:val="1"/>
    <w:qFormat/>
    <w:uiPriority w:val="1"/>
    <w:pPr>
      <w:ind w:left="104" w:right="104" w:firstLine="622"/>
    </w:pPr>
  </w:style>
  <w:style w:type="character" w:customStyle="1" w:styleId="13">
    <w:name w:val="日期 Char"/>
    <w:basedOn w:val="11"/>
    <w:link w:val="5"/>
    <w:qFormat/>
    <w:uiPriority w:val="0"/>
    <w:rPr>
      <w:kern w:val="2"/>
      <w:sz w:val="21"/>
      <w:szCs w:val="24"/>
    </w:rPr>
  </w:style>
  <w:style w:type="character" w:customStyle="1" w:styleId="14">
    <w:name w:val="批注框文本 Char"/>
    <w:basedOn w:val="11"/>
    <w:link w:val="6"/>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沙区残联</Company>
  <Pages>22</Pages>
  <Words>5742</Words>
  <Characters>306</Characters>
  <Lines>2</Lines>
  <Paragraphs>12</Paragraphs>
  <TotalTime>13</TotalTime>
  <ScaleCrop>false</ScaleCrop>
  <LinksUpToDate>false</LinksUpToDate>
  <CharactersWithSpaces>6036</CharactersWithSpaces>
  <Application>WPS Office_11.8.2.9958_F1E327BC-269C-435d-A152-05C5408002CA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2021-05-18T00:17:00Z</dcterms:created>
  <dc:creator>h</dc:creator>
  <cp:lastModifiedBy>guest</cp:lastModifiedBy>
  <dcterms:modified xsi:type="dcterms:W3CDTF">2023-09-13T16:00:50Z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2052-11.8.2.9958</vt:lpwstr>
  </property>
  <property fmtid="{D5CDD505-2E9C-101B-9397-08002B2CF9AE}" pid="3" name="ICV">
    <vt:lpwstr>F4AE4A06C8644D5BA220B680A8D01612</vt:lpwstr>
  </property>
</Properties>
</file>