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64" w:rightChars="-130" w:firstLine="0" w:firstLineChars="0"/>
        <w:rPr>
          <w:b/>
          <w:bCs/>
          <w:color w:val="000000"/>
          <w:spacing w:val="40"/>
          <w:w w:val="90"/>
          <w:sz w:val="56"/>
          <w:szCs w:val="56"/>
        </w:rPr>
      </w:pPr>
      <w:bookmarkStart w:id="0" w:name="_Toc28917"/>
      <w:bookmarkStart w:id="1" w:name="_Toc5389"/>
      <w:r>
        <w:rPr>
          <w:b/>
          <w:bCs/>
          <w:color w:val="000000"/>
          <w:spacing w:val="40"/>
          <w:w w:val="90"/>
          <w:sz w:val="56"/>
          <w:szCs w:val="56"/>
        </w:rPr>
        <w:t>重庆市沙坪坝区地质灾害防治规划</w:t>
      </w:r>
    </w:p>
    <w:p>
      <w:pPr>
        <w:spacing w:line="560" w:lineRule="exact"/>
        <w:ind w:firstLine="883"/>
        <w:jc w:val="center"/>
        <w:rPr>
          <w:b/>
          <w:bCs/>
          <w:color w:val="000000"/>
          <w:sz w:val="44"/>
          <w:szCs w:val="44"/>
        </w:rPr>
      </w:pPr>
    </w:p>
    <w:p>
      <w:pPr>
        <w:ind w:left="-280" w:leftChars="-100" w:right="-364" w:rightChars="-130" w:firstLine="0" w:firstLineChars="0"/>
        <w:jc w:val="center"/>
        <w:rPr>
          <w:b/>
          <w:bCs/>
          <w:color w:val="000000"/>
          <w:sz w:val="32"/>
        </w:rPr>
      </w:pPr>
      <w:r>
        <w:rPr>
          <w:b/>
          <w:bCs/>
          <w:color w:val="000000"/>
          <w:sz w:val="44"/>
          <w:szCs w:val="44"/>
        </w:rPr>
        <w:t>（20</w:t>
      </w:r>
      <w:r>
        <w:rPr>
          <w:rFonts w:hint="eastAsia"/>
          <w:b/>
          <w:bCs/>
          <w:color w:val="000000"/>
          <w:sz w:val="44"/>
          <w:szCs w:val="44"/>
        </w:rPr>
        <w:t>20</w:t>
      </w:r>
      <w:r>
        <w:rPr>
          <w:b/>
          <w:bCs/>
          <w:color w:val="000000"/>
          <w:sz w:val="44"/>
          <w:szCs w:val="44"/>
        </w:rPr>
        <w:t>-20</w:t>
      </w:r>
      <w:r>
        <w:rPr>
          <w:rFonts w:hint="eastAsia"/>
          <w:b/>
          <w:bCs/>
          <w:color w:val="000000"/>
          <w:sz w:val="44"/>
          <w:szCs w:val="44"/>
        </w:rPr>
        <w:t>23）</w:t>
      </w:r>
    </w:p>
    <w:p>
      <w:pPr>
        <w:spacing w:line="560" w:lineRule="exact"/>
        <w:ind w:firstLine="64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2880" w:firstLineChars="900"/>
        <w:rPr>
          <w:color w:val="000000"/>
          <w:sz w:val="32"/>
        </w:rPr>
      </w:pPr>
    </w:p>
    <w:p>
      <w:pPr>
        <w:spacing w:line="560" w:lineRule="exact"/>
        <w:ind w:firstLine="803"/>
        <w:jc w:val="center"/>
        <w:rPr>
          <w:b/>
          <w:bCs/>
          <w:color w:val="000000"/>
          <w:sz w:val="40"/>
        </w:rPr>
      </w:pPr>
    </w:p>
    <w:p>
      <w:pPr>
        <w:spacing w:line="500" w:lineRule="exact"/>
        <w:ind w:firstLine="0" w:firstLineChars="0"/>
        <w:jc w:val="center"/>
        <w:rPr>
          <w:b/>
          <w:bCs/>
          <w:color w:val="000000"/>
          <w:sz w:val="36"/>
          <w:szCs w:val="36"/>
        </w:rPr>
      </w:pPr>
      <w:r>
        <w:rPr>
          <w:rFonts w:hint="eastAsia"/>
          <w:b/>
          <w:bCs/>
          <w:color w:val="000000"/>
          <w:sz w:val="36"/>
          <w:szCs w:val="36"/>
        </w:rPr>
        <w:t>重庆市沙坪坝区规划和自然资源局</w:t>
      </w:r>
    </w:p>
    <w:p>
      <w:pPr>
        <w:spacing w:line="500" w:lineRule="exact"/>
        <w:ind w:firstLine="0" w:firstLineChars="0"/>
        <w:jc w:val="center"/>
        <w:rPr>
          <w:b/>
          <w:bCs/>
          <w:color w:val="000000"/>
          <w:sz w:val="36"/>
          <w:szCs w:val="36"/>
        </w:rPr>
      </w:pPr>
      <w:r>
        <w:rPr>
          <w:b/>
          <w:bCs/>
          <w:color w:val="000000"/>
          <w:sz w:val="36"/>
          <w:szCs w:val="36"/>
        </w:rPr>
        <w:t>二</w:t>
      </w:r>
      <w:r>
        <w:rPr>
          <w:rFonts w:hint="eastAsia"/>
          <w:b/>
          <w:bCs/>
          <w:color w:val="000000"/>
          <w:sz w:val="36"/>
          <w:szCs w:val="36"/>
        </w:rPr>
        <w:t>〇二〇</w:t>
      </w:r>
      <w:r>
        <w:rPr>
          <w:b/>
          <w:bCs/>
          <w:color w:val="000000"/>
          <w:sz w:val="36"/>
          <w:szCs w:val="36"/>
        </w:rPr>
        <w:t>年</w:t>
      </w:r>
      <w:r>
        <w:rPr>
          <w:rFonts w:hint="eastAsia"/>
          <w:b/>
          <w:bCs/>
          <w:color w:val="000000"/>
          <w:sz w:val="36"/>
          <w:szCs w:val="36"/>
        </w:rPr>
        <w:t>六</w:t>
      </w:r>
      <w:r>
        <w:rPr>
          <w:b/>
          <w:bCs/>
          <w:color w:val="000000"/>
          <w:sz w:val="36"/>
          <w:szCs w:val="36"/>
        </w:rPr>
        <w:t>月</w:t>
      </w:r>
    </w:p>
    <w:p>
      <w:pPr>
        <w:ind w:firstLine="1400" w:firstLineChars="500"/>
        <w:rPr>
          <w:rFonts w:ascii="宋体" w:hAnsi="宋体"/>
          <w:color w:val="000000"/>
          <w:szCs w:val="28"/>
        </w:rPr>
      </w:pPr>
    </w:p>
    <w:p>
      <w:pPr>
        <w:ind w:firstLine="1400" w:firstLineChars="500"/>
        <w:rPr>
          <w:rFonts w:ascii="宋体" w:hAnsi="宋体"/>
          <w:color w:val="000000"/>
        </w:rPr>
        <w:sectPr>
          <w:headerReference r:id="rId7" w:type="first"/>
          <w:footerReference r:id="rId10" w:type="first"/>
          <w:headerReference r:id="rId5" w:type="default"/>
          <w:footerReference r:id="rId8" w:type="default"/>
          <w:headerReference r:id="rId6" w:type="even"/>
          <w:footerReference r:id="rId9" w:type="even"/>
          <w:type w:val="nextColumn"/>
          <w:pgSz w:w="11906" w:h="16838"/>
          <w:pgMar w:top="2098" w:right="1531" w:bottom="1985" w:left="1531" w:header="851" w:footer="992" w:gutter="0"/>
          <w:cols w:space="720" w:num="1"/>
          <w:docGrid w:type="lines" w:linePitch="381" w:charSpace="0"/>
        </w:sectPr>
      </w:pPr>
    </w:p>
    <w:p>
      <w:pPr>
        <w:ind w:firstLine="560"/>
        <w:rPr>
          <w:color w:val="000000"/>
        </w:rPr>
      </w:pPr>
    </w:p>
    <w:p>
      <w:pPr>
        <w:pStyle w:val="17"/>
        <w:adjustRightInd/>
        <w:snapToGrid/>
        <w:jc w:val="center"/>
        <w:rPr>
          <w:b/>
          <w:bCs/>
          <w:color w:val="000000"/>
          <w:spacing w:val="40"/>
          <w:sz w:val="44"/>
          <w:szCs w:val="44"/>
        </w:rPr>
      </w:pPr>
      <w:r>
        <w:rPr>
          <w:rFonts w:hint="eastAsia"/>
          <w:b/>
          <w:bCs/>
          <w:color w:val="000000"/>
          <w:spacing w:val="40"/>
          <w:sz w:val="44"/>
          <w:szCs w:val="44"/>
        </w:rPr>
        <w:t>重庆市沙坪坝区地质灾害</w:t>
      </w:r>
    </w:p>
    <w:p>
      <w:pPr>
        <w:pStyle w:val="17"/>
        <w:adjustRightInd/>
        <w:snapToGrid/>
        <w:jc w:val="center"/>
        <w:rPr>
          <w:b/>
          <w:color w:val="000000"/>
          <w:sz w:val="32"/>
          <w:szCs w:val="32"/>
        </w:rPr>
      </w:pPr>
      <w:r>
        <w:rPr>
          <w:rFonts w:hint="eastAsia"/>
          <w:b/>
          <w:bCs/>
          <w:color w:val="000000"/>
          <w:spacing w:val="40"/>
          <w:sz w:val="44"/>
          <w:szCs w:val="44"/>
        </w:rPr>
        <w:t>防治规划</w:t>
      </w:r>
      <w:r>
        <w:rPr>
          <w:rFonts w:hint="eastAsia"/>
          <w:b/>
          <w:color w:val="000000"/>
          <w:sz w:val="32"/>
          <w:szCs w:val="32"/>
        </w:rPr>
        <w:t>（2020-2023）</w:t>
      </w:r>
    </w:p>
    <w:p>
      <w:pPr>
        <w:spacing w:line="500" w:lineRule="exact"/>
        <w:ind w:firstLine="0" w:firstLineChars="0"/>
        <w:jc w:val="center"/>
        <w:rPr>
          <w:rFonts w:ascii="宋体" w:hAnsi="宋体"/>
          <w:b/>
          <w:bCs/>
          <w:color w:val="000000"/>
          <w:spacing w:val="40"/>
          <w:sz w:val="44"/>
          <w:szCs w:val="44"/>
        </w:rPr>
      </w:pPr>
    </w:p>
    <w:p>
      <w:pPr>
        <w:spacing w:line="500" w:lineRule="exact"/>
        <w:ind w:firstLine="0" w:firstLineChars="0"/>
        <w:jc w:val="center"/>
        <w:rPr>
          <w:rFonts w:ascii="宋体" w:hAnsi="宋体"/>
          <w:b/>
          <w:bCs/>
          <w:color w:val="000000"/>
          <w:spacing w:val="40"/>
          <w:sz w:val="44"/>
          <w:szCs w:val="44"/>
        </w:rPr>
      </w:pPr>
    </w:p>
    <w:p>
      <w:pPr>
        <w:ind w:firstLine="0" w:firstLineChars="0"/>
        <w:jc w:val="center"/>
        <w:rPr>
          <w:rFonts w:ascii="宋体" w:hAnsi="宋体"/>
          <w:b/>
          <w:color w:val="000000"/>
          <w:sz w:val="32"/>
          <w:szCs w:val="32"/>
        </w:rPr>
      </w:pPr>
      <w:r>
        <w:rPr>
          <w:rFonts w:hint="eastAsia" w:ascii="宋体" w:hAnsi="宋体"/>
          <w:b/>
          <w:color w:val="000000"/>
          <w:sz w:val="32"/>
          <w:szCs w:val="32"/>
        </w:rPr>
        <w:t>规划编制工作组</w:t>
      </w:r>
    </w:p>
    <w:p>
      <w:pPr>
        <w:ind w:firstLine="0" w:firstLineChars="0"/>
        <w:jc w:val="center"/>
        <w:rPr>
          <w:rFonts w:ascii="宋体" w:hAnsi="宋体"/>
          <w:b/>
          <w:color w:val="000000"/>
          <w:sz w:val="32"/>
          <w:szCs w:val="32"/>
        </w:rPr>
      </w:pPr>
    </w:p>
    <w:p>
      <w:pPr>
        <w:ind w:firstLine="0" w:firstLineChars="0"/>
        <w:jc w:val="center"/>
        <w:rPr>
          <w:rFonts w:ascii="宋体" w:hAnsi="宋体"/>
          <w:b/>
          <w:color w:val="000000"/>
          <w:sz w:val="32"/>
          <w:szCs w:val="32"/>
        </w:rPr>
      </w:pPr>
    </w:p>
    <w:p>
      <w:pPr>
        <w:ind w:firstLine="0" w:firstLineChars="0"/>
        <w:rPr>
          <w:rFonts w:ascii="宋体" w:hAnsi="宋体"/>
          <w:color w:val="000000"/>
          <w:szCs w:val="28"/>
        </w:rPr>
      </w:pPr>
      <w:r>
        <w:rPr>
          <w:rFonts w:hint="eastAsia" w:ascii="宋体" w:hAnsi="宋体"/>
          <w:color w:val="000000"/>
          <w:szCs w:val="28"/>
        </w:rPr>
        <w:t>组  长：  李  青 （区规划和自然资源局  局长）</w:t>
      </w:r>
    </w:p>
    <w:p>
      <w:pPr>
        <w:ind w:firstLine="0" w:firstLineChars="0"/>
        <w:rPr>
          <w:rFonts w:ascii="宋体" w:hAnsi="宋体"/>
          <w:color w:val="000000"/>
          <w:szCs w:val="28"/>
        </w:rPr>
      </w:pPr>
    </w:p>
    <w:p>
      <w:pPr>
        <w:ind w:firstLine="0" w:firstLineChars="0"/>
        <w:rPr>
          <w:rFonts w:ascii="宋体" w:hAnsi="宋体"/>
          <w:color w:val="000000"/>
          <w:szCs w:val="28"/>
        </w:rPr>
      </w:pPr>
      <w:r>
        <w:rPr>
          <w:rFonts w:hint="eastAsia" w:ascii="宋体" w:hAnsi="宋体"/>
          <w:color w:val="000000"/>
          <w:szCs w:val="28"/>
        </w:rPr>
        <w:t>副组长：  李  颢 （区规划和自然资源局  副局长）</w:t>
      </w:r>
    </w:p>
    <w:p>
      <w:pPr>
        <w:ind w:firstLine="0" w:firstLineChars="0"/>
        <w:rPr>
          <w:rFonts w:ascii="宋体" w:hAnsi="宋体"/>
          <w:color w:val="000000"/>
          <w:szCs w:val="28"/>
        </w:rPr>
      </w:pPr>
      <w:r>
        <w:rPr>
          <w:rFonts w:hint="eastAsia" w:ascii="宋体" w:hAnsi="宋体"/>
          <w:color w:val="000000"/>
          <w:szCs w:val="28"/>
        </w:rPr>
        <w:t>副组长：  沈艳丽 （区规划和自然资源局  副局长）</w:t>
      </w:r>
    </w:p>
    <w:p>
      <w:pPr>
        <w:ind w:firstLine="0" w:firstLineChars="0"/>
        <w:rPr>
          <w:rFonts w:ascii="宋体" w:hAnsi="宋体"/>
          <w:color w:val="000000"/>
          <w:szCs w:val="28"/>
        </w:rPr>
      </w:pPr>
    </w:p>
    <w:p>
      <w:pPr>
        <w:ind w:firstLine="0" w:firstLineChars="0"/>
        <w:rPr>
          <w:rFonts w:ascii="宋体" w:hAnsi="宋体"/>
          <w:color w:val="000000"/>
          <w:szCs w:val="28"/>
        </w:rPr>
      </w:pPr>
      <w:r>
        <w:rPr>
          <w:rFonts w:hint="eastAsia" w:ascii="宋体" w:hAnsi="宋体"/>
          <w:color w:val="000000"/>
          <w:szCs w:val="28"/>
        </w:rPr>
        <w:t xml:space="preserve">  </w:t>
      </w:r>
    </w:p>
    <w:p>
      <w:pPr>
        <w:ind w:firstLine="0" w:firstLineChars="0"/>
        <w:rPr>
          <w:rFonts w:ascii="宋体" w:hAnsi="宋体"/>
          <w:color w:val="000000"/>
          <w:szCs w:val="28"/>
        </w:rPr>
      </w:pPr>
      <w:r>
        <w:rPr>
          <w:rFonts w:hint="eastAsia" w:ascii="宋体" w:hAnsi="宋体"/>
          <w:color w:val="000000"/>
          <w:szCs w:val="28"/>
        </w:rPr>
        <w:t>成  员：  王卫东（区规划和自然资源局   地质矿产科科长）</w:t>
      </w:r>
    </w:p>
    <w:p>
      <w:pPr>
        <w:ind w:firstLine="1400" w:firstLineChars="500"/>
        <w:rPr>
          <w:rFonts w:ascii="宋体" w:hAnsi="宋体"/>
          <w:color w:val="000000"/>
          <w:szCs w:val="28"/>
        </w:rPr>
      </w:pPr>
      <w:r>
        <w:rPr>
          <w:rFonts w:hint="eastAsia" w:ascii="宋体" w:hAnsi="宋体"/>
          <w:color w:val="000000"/>
          <w:szCs w:val="28"/>
        </w:rPr>
        <w:t>王  科（区规划和自然资源局   地环站站长）</w:t>
      </w:r>
    </w:p>
    <w:p>
      <w:pPr>
        <w:ind w:firstLine="0" w:firstLineChars="0"/>
        <w:rPr>
          <w:rFonts w:ascii="宋体" w:hAnsi="宋体"/>
          <w:color w:val="000000"/>
          <w:szCs w:val="28"/>
        </w:rPr>
      </w:pPr>
      <w:r>
        <w:rPr>
          <w:rFonts w:hint="eastAsia" w:ascii="宋体" w:hAnsi="宋体"/>
          <w:color w:val="000000"/>
          <w:szCs w:val="28"/>
        </w:rPr>
        <w:t xml:space="preserve">          韩蕾笑（区规划和自然资源局   规划编制科科长）</w:t>
      </w:r>
    </w:p>
    <w:p>
      <w:pPr>
        <w:ind w:firstLine="0" w:firstLineChars="0"/>
        <w:rPr>
          <w:rFonts w:ascii="宋体" w:hAnsi="宋体"/>
          <w:color w:val="000000"/>
          <w:szCs w:val="28"/>
        </w:rPr>
      </w:pPr>
      <w:r>
        <w:rPr>
          <w:rFonts w:hint="eastAsia" w:ascii="宋体" w:hAnsi="宋体"/>
          <w:color w:val="000000"/>
          <w:szCs w:val="28"/>
        </w:rPr>
        <w:t xml:space="preserve">          余先华（区规划和自然资源局   地环站高级工程师）</w:t>
      </w:r>
    </w:p>
    <w:p>
      <w:pPr>
        <w:ind w:firstLine="1400" w:firstLineChars="500"/>
        <w:rPr>
          <w:rFonts w:ascii="宋体" w:hAnsi="宋体"/>
          <w:color w:val="000000"/>
          <w:szCs w:val="28"/>
        </w:rPr>
      </w:pPr>
      <w:r>
        <w:rPr>
          <w:rFonts w:hint="eastAsia" w:ascii="宋体" w:hAnsi="宋体"/>
          <w:color w:val="000000"/>
          <w:szCs w:val="28"/>
        </w:rPr>
        <w:t>杨  鸿（区规划和自然资源局   地环站工程师）</w:t>
      </w:r>
    </w:p>
    <w:p>
      <w:pPr>
        <w:ind w:firstLine="0" w:firstLineChars="0"/>
        <w:rPr>
          <w:rFonts w:ascii="宋体" w:hAnsi="宋体"/>
          <w:color w:val="000000"/>
          <w:szCs w:val="28"/>
        </w:rPr>
      </w:pPr>
      <w:r>
        <w:rPr>
          <w:rFonts w:hint="eastAsia" w:ascii="宋体" w:hAnsi="宋体"/>
          <w:color w:val="000000"/>
          <w:szCs w:val="28"/>
        </w:rPr>
        <w:t xml:space="preserve">          石炳喜（区规划和自然资源局   地环站）</w:t>
      </w:r>
    </w:p>
    <w:p>
      <w:pPr>
        <w:ind w:firstLine="0" w:firstLineChars="0"/>
        <w:rPr>
          <w:rFonts w:ascii="宋体" w:hAnsi="宋体"/>
          <w:color w:val="000000"/>
          <w:szCs w:val="28"/>
        </w:rPr>
      </w:pPr>
      <w:r>
        <w:rPr>
          <w:rFonts w:hint="eastAsia" w:ascii="宋体" w:hAnsi="宋体"/>
          <w:color w:val="000000"/>
          <w:szCs w:val="28"/>
        </w:rPr>
        <w:t xml:space="preserve">          卢丙清（重庆市地勘局南江水文地质工程地质队  高级工程师）</w:t>
      </w:r>
    </w:p>
    <w:p>
      <w:pPr>
        <w:ind w:firstLine="0" w:firstLineChars="0"/>
        <w:rPr>
          <w:rFonts w:ascii="宋体" w:hAnsi="宋体"/>
          <w:color w:val="000000"/>
          <w:szCs w:val="28"/>
        </w:rPr>
      </w:pPr>
      <w:r>
        <w:rPr>
          <w:rFonts w:hint="eastAsia" w:ascii="宋体" w:hAnsi="宋体"/>
          <w:color w:val="000000"/>
          <w:szCs w:val="28"/>
        </w:rPr>
        <w:t xml:space="preserve">          李庆华（重庆市地勘局南江水文地质工程地质队  高级工程师）</w:t>
      </w:r>
    </w:p>
    <w:p>
      <w:pPr>
        <w:ind w:firstLine="0" w:firstLineChars="0"/>
        <w:rPr>
          <w:rFonts w:ascii="宋体" w:hAnsi="宋体"/>
          <w:color w:val="000000"/>
          <w:szCs w:val="28"/>
        </w:rPr>
      </w:pPr>
      <w:r>
        <w:rPr>
          <w:rFonts w:hint="eastAsia" w:ascii="宋体" w:hAnsi="宋体"/>
          <w:color w:val="000000"/>
          <w:szCs w:val="28"/>
        </w:rPr>
        <w:t xml:space="preserve">          姚万林（重庆市地勘局南江水文地质工程地质队  工程师）</w:t>
      </w:r>
    </w:p>
    <w:p>
      <w:pPr>
        <w:ind w:firstLine="1400" w:firstLineChars="500"/>
        <w:rPr>
          <w:rFonts w:ascii="宋体" w:hAnsi="宋体"/>
          <w:color w:val="000000"/>
          <w:szCs w:val="28"/>
        </w:rPr>
      </w:pPr>
      <w:r>
        <w:rPr>
          <w:rFonts w:hint="eastAsia" w:ascii="宋体" w:hAnsi="宋体"/>
          <w:color w:val="000000"/>
          <w:szCs w:val="28"/>
        </w:rPr>
        <w:t>李跃明（重庆市地勘局南江水文地质工程地质队  工程师）</w:t>
      </w:r>
    </w:p>
    <w:p>
      <w:pPr>
        <w:ind w:firstLine="0" w:firstLineChars="0"/>
        <w:rPr>
          <w:rFonts w:ascii="宋体" w:hAnsi="宋体"/>
          <w:color w:val="000000"/>
          <w:szCs w:val="28"/>
        </w:rPr>
      </w:pPr>
    </w:p>
    <w:p>
      <w:pPr>
        <w:ind w:firstLine="0" w:firstLineChars="0"/>
        <w:rPr>
          <w:rFonts w:ascii="宋体" w:hAnsi="宋体"/>
          <w:color w:val="000000"/>
          <w:szCs w:val="28"/>
        </w:rPr>
      </w:pPr>
    </w:p>
    <w:p>
      <w:pPr>
        <w:spacing w:line="360" w:lineRule="auto"/>
        <w:ind w:firstLine="0" w:firstLineChars="0"/>
        <w:jc w:val="center"/>
        <w:rPr>
          <w:bCs/>
          <w:color w:val="000000"/>
          <w:sz w:val="36"/>
          <w:szCs w:val="36"/>
        </w:rPr>
      </w:pPr>
      <w:r>
        <w:rPr>
          <w:bCs/>
          <w:color w:val="000000"/>
          <w:sz w:val="36"/>
          <w:szCs w:val="36"/>
        </w:rPr>
        <w:t>重庆市沙坪坝区</w:t>
      </w:r>
      <w:r>
        <w:rPr>
          <w:rFonts w:hint="eastAsia"/>
          <w:bCs/>
          <w:color w:val="000000"/>
          <w:sz w:val="36"/>
          <w:szCs w:val="36"/>
        </w:rPr>
        <w:t>规划和自然资源局</w:t>
      </w:r>
    </w:p>
    <w:p>
      <w:pPr>
        <w:spacing w:line="360" w:lineRule="auto"/>
        <w:ind w:firstLine="0" w:firstLineChars="0"/>
        <w:jc w:val="center"/>
        <w:rPr>
          <w:bCs/>
          <w:color w:val="000000"/>
          <w:sz w:val="36"/>
          <w:szCs w:val="36"/>
        </w:rPr>
      </w:pPr>
      <w:r>
        <w:rPr>
          <w:bCs/>
          <w:color w:val="000000"/>
          <w:sz w:val="36"/>
          <w:szCs w:val="36"/>
        </w:rPr>
        <w:t>二O</w:t>
      </w:r>
      <w:r>
        <w:rPr>
          <w:rFonts w:hint="eastAsia"/>
          <w:bCs/>
          <w:color w:val="000000"/>
          <w:sz w:val="36"/>
          <w:szCs w:val="36"/>
        </w:rPr>
        <w:t>二零</w:t>
      </w:r>
      <w:r>
        <w:rPr>
          <w:bCs/>
          <w:color w:val="000000"/>
          <w:sz w:val="36"/>
          <w:szCs w:val="36"/>
        </w:rPr>
        <w:t>年</w:t>
      </w:r>
      <w:r>
        <w:rPr>
          <w:rFonts w:hint="eastAsia"/>
          <w:bCs/>
          <w:color w:val="000000"/>
          <w:sz w:val="36"/>
          <w:szCs w:val="36"/>
        </w:rPr>
        <w:t>五</w:t>
      </w:r>
      <w:r>
        <w:rPr>
          <w:bCs/>
          <w:color w:val="000000"/>
          <w:sz w:val="36"/>
          <w:szCs w:val="36"/>
        </w:rPr>
        <w:t>月</w:t>
      </w:r>
    </w:p>
    <w:p>
      <w:pPr>
        <w:spacing w:line="360" w:lineRule="auto"/>
        <w:ind w:firstLine="0" w:firstLineChars="0"/>
        <w:jc w:val="center"/>
        <w:rPr>
          <w:bCs/>
          <w:sz w:val="36"/>
          <w:szCs w:val="36"/>
        </w:rPr>
      </w:pPr>
    </w:p>
    <w:p>
      <w:pPr>
        <w:spacing w:line="500" w:lineRule="exact"/>
        <w:ind w:firstLine="0" w:firstLineChars="0"/>
        <w:jc w:val="center"/>
        <w:rPr>
          <w:b/>
          <w:bCs/>
          <w:color w:val="000000"/>
          <w:sz w:val="36"/>
          <w:szCs w:val="36"/>
        </w:rPr>
      </w:pPr>
      <w:r>
        <w:rPr>
          <w:rFonts w:hint="eastAsia"/>
          <w:b/>
          <w:bCs/>
          <w:color w:val="000000"/>
          <w:sz w:val="36"/>
          <w:szCs w:val="36"/>
        </w:rPr>
        <w:t>重庆市沙坪坝区地质灾害防治规划</w:t>
      </w:r>
    </w:p>
    <w:p>
      <w:pPr>
        <w:spacing w:line="500" w:lineRule="exact"/>
        <w:ind w:firstLine="0" w:firstLineChars="0"/>
        <w:jc w:val="center"/>
        <w:rPr>
          <w:color w:val="000000"/>
          <w:sz w:val="36"/>
          <w:szCs w:val="36"/>
        </w:rPr>
      </w:pPr>
      <w:r>
        <w:rPr>
          <w:rFonts w:hint="eastAsia"/>
          <w:color w:val="000000"/>
          <w:sz w:val="36"/>
          <w:szCs w:val="36"/>
        </w:rPr>
        <w:t>（2020-2023）</w:t>
      </w:r>
    </w:p>
    <w:p>
      <w:pPr>
        <w:ind w:firstLine="0" w:firstLineChars="0"/>
        <w:jc w:val="center"/>
        <w:rPr>
          <w:color w:val="000000"/>
          <w:sz w:val="32"/>
          <w:szCs w:val="32"/>
        </w:rPr>
      </w:pPr>
      <w:r>
        <w:rPr>
          <w:color w:val="000000"/>
          <w:sz w:val="32"/>
          <w:szCs w:val="32"/>
        </w:rPr>
        <w:t>内  审  意  见</w:t>
      </w:r>
    </w:p>
    <w:p>
      <w:pPr>
        <w:ind w:firstLine="560"/>
        <w:rPr>
          <w:color w:val="000000"/>
        </w:rPr>
      </w:pPr>
      <w:r>
        <w:rPr>
          <w:color w:val="000000"/>
        </w:rPr>
        <w:t>201</w:t>
      </w:r>
      <w:r>
        <w:rPr>
          <w:rFonts w:hint="eastAsia"/>
          <w:color w:val="000000"/>
        </w:rPr>
        <w:t>8年9月</w:t>
      </w:r>
      <w:r>
        <w:rPr>
          <w:color w:val="000000"/>
        </w:rPr>
        <w:t>，</w:t>
      </w:r>
      <w:r>
        <w:rPr>
          <w:rFonts w:hint="eastAsia"/>
          <w:color w:val="000000"/>
        </w:rPr>
        <w:t>重庆市地勘局南江水文地质工程地质队</w:t>
      </w:r>
      <w:r>
        <w:rPr>
          <w:color w:val="000000"/>
        </w:rPr>
        <w:t>受重庆市沙坪坝区国土资源管理分局委托承担了</w:t>
      </w:r>
      <w:r>
        <w:rPr>
          <w:rFonts w:hint="eastAsia"/>
          <w:color w:val="000000"/>
        </w:rPr>
        <w:t>编制《重庆市沙坪坝区地质灾害防治规划》</w:t>
      </w:r>
      <w:r>
        <w:rPr>
          <w:color w:val="000000"/>
        </w:rPr>
        <w:t>报告</w:t>
      </w:r>
      <w:r>
        <w:rPr>
          <w:rFonts w:hint="eastAsia"/>
          <w:color w:val="000000"/>
        </w:rPr>
        <w:t>（下称《规划》）</w:t>
      </w:r>
      <w:r>
        <w:rPr>
          <w:color w:val="000000"/>
        </w:rPr>
        <w:t>。项目组按要求在20</w:t>
      </w:r>
      <w:r>
        <w:rPr>
          <w:rFonts w:hint="eastAsia"/>
          <w:color w:val="000000"/>
        </w:rPr>
        <w:t>18</w:t>
      </w:r>
      <w:r>
        <w:rPr>
          <w:color w:val="000000"/>
        </w:rPr>
        <w:t>年</w:t>
      </w:r>
      <w:r>
        <w:rPr>
          <w:rFonts w:hint="eastAsia"/>
          <w:color w:val="000000"/>
        </w:rPr>
        <w:t>8</w:t>
      </w:r>
      <w:r>
        <w:rPr>
          <w:color w:val="000000"/>
        </w:rPr>
        <w:t>月～201</w:t>
      </w:r>
      <w:r>
        <w:rPr>
          <w:rFonts w:hint="eastAsia"/>
          <w:color w:val="000000"/>
        </w:rPr>
        <w:t>8</w:t>
      </w:r>
      <w:r>
        <w:rPr>
          <w:color w:val="000000"/>
        </w:rPr>
        <w:t>年</w:t>
      </w:r>
      <w:r>
        <w:rPr>
          <w:rFonts w:hint="eastAsia"/>
          <w:color w:val="000000"/>
        </w:rPr>
        <w:t>11初</w:t>
      </w:r>
      <w:r>
        <w:rPr>
          <w:color w:val="000000"/>
        </w:rPr>
        <w:t>完成了资料收集及野外工作，201</w:t>
      </w:r>
      <w:r>
        <w:rPr>
          <w:rFonts w:hint="eastAsia"/>
          <w:color w:val="000000"/>
        </w:rPr>
        <w:t>8</w:t>
      </w:r>
      <w:r>
        <w:rPr>
          <w:color w:val="000000"/>
        </w:rPr>
        <w:t>年</w:t>
      </w:r>
      <w:r>
        <w:rPr>
          <w:rFonts w:hint="eastAsia"/>
          <w:color w:val="000000"/>
        </w:rPr>
        <w:t>12</w:t>
      </w:r>
      <w:r>
        <w:rPr>
          <w:color w:val="000000"/>
        </w:rPr>
        <w:t>月</w:t>
      </w:r>
      <w:r>
        <w:rPr>
          <w:rFonts w:hint="eastAsia"/>
          <w:color w:val="000000"/>
        </w:rPr>
        <w:t>10</w:t>
      </w:r>
      <w:r>
        <w:rPr>
          <w:color w:val="000000"/>
        </w:rPr>
        <w:t>日完成了成果报告的编制。201</w:t>
      </w:r>
      <w:r>
        <w:rPr>
          <w:rFonts w:hint="eastAsia"/>
          <w:color w:val="000000"/>
        </w:rPr>
        <w:t>8</w:t>
      </w:r>
      <w:r>
        <w:rPr>
          <w:color w:val="000000"/>
        </w:rPr>
        <w:t>年</w:t>
      </w:r>
      <w:r>
        <w:rPr>
          <w:rFonts w:hint="eastAsia"/>
          <w:color w:val="000000"/>
        </w:rPr>
        <w:t>12</w:t>
      </w:r>
      <w:r>
        <w:rPr>
          <w:color w:val="000000"/>
        </w:rPr>
        <w:t>月</w:t>
      </w:r>
      <w:r>
        <w:rPr>
          <w:rFonts w:hint="eastAsia"/>
          <w:color w:val="000000"/>
        </w:rPr>
        <w:t>15</w:t>
      </w:r>
      <w:r>
        <w:rPr>
          <w:color w:val="000000"/>
        </w:rPr>
        <w:t>日，由</w:t>
      </w:r>
      <w:r>
        <w:rPr>
          <w:rFonts w:hint="eastAsia"/>
          <w:color w:val="000000"/>
        </w:rPr>
        <w:t>重庆市地勘局南江水文地质工程地质队</w:t>
      </w:r>
      <w:r>
        <w:rPr>
          <w:color w:val="000000"/>
        </w:rPr>
        <w:t>总工</w:t>
      </w:r>
      <w:r>
        <w:rPr>
          <w:rFonts w:hint="eastAsia"/>
          <w:color w:val="000000"/>
        </w:rPr>
        <w:t>办</w:t>
      </w:r>
      <w:r>
        <w:rPr>
          <w:color w:val="000000"/>
        </w:rPr>
        <w:t>组织有关技术人员按照项目技术要求对成果进行了认真审查，</w:t>
      </w:r>
      <w:r>
        <w:rPr>
          <w:rFonts w:hint="eastAsia"/>
          <w:color w:val="000000"/>
        </w:rPr>
        <w:t>2020年4月完成相关内容修改，</w:t>
      </w:r>
      <w:r>
        <w:rPr>
          <w:color w:val="000000"/>
        </w:rPr>
        <w:t>意见如下：</w:t>
      </w:r>
    </w:p>
    <w:p>
      <w:pPr>
        <w:ind w:firstLine="560"/>
      </w:pPr>
      <w:r>
        <w:t>1、详细的野外调查和收集了区内大量资料的基础上编制的成果内容丰富、论点明确、图件清晰。</w:t>
      </w:r>
      <w:r>
        <w:rPr>
          <w:rFonts w:hint="eastAsia"/>
        </w:rPr>
        <w:t>根据现场调查和前期资料，沙坪坝区共分布有地质灾害点206处（其中划入高新区范围地灾隐患点30处）。</w:t>
      </w:r>
    </w:p>
    <w:p>
      <w:pPr>
        <w:ind w:firstLine="560"/>
        <w:rPr>
          <w:color w:val="000000"/>
        </w:rPr>
      </w:pPr>
      <w:bookmarkStart w:id="2" w:name="_Toc27464"/>
      <w:bookmarkStart w:id="3" w:name="_Toc19270"/>
      <w:bookmarkStart w:id="4" w:name="_Toc8457"/>
      <w:r>
        <w:rPr>
          <w:color w:val="000000"/>
        </w:rPr>
        <w:t>2、</w:t>
      </w:r>
      <w:r>
        <w:rPr>
          <w:rFonts w:hint="eastAsia"/>
          <w:color w:val="000000"/>
        </w:rPr>
        <w:t>该规划报告编制背景、地质灾害发育现状及防治工作形势等分析全面、透彻</w:t>
      </w:r>
      <w:r>
        <w:rPr>
          <w:color w:val="000000"/>
        </w:rPr>
        <w:t>。对区县地质灾害防治工作现状了解充分，评价得当；对区内自然地理与地质环境的综合分析与收集齐备，评述有据；对沙坪坝区的地质环境条件，地质灾害的类型、数量、规模、危害、分布规律、稳定性和发展趋势等地质灾害特征的统计分析数据准确，提出的防治建议措施切合实际，具有较强的指导意义。</w:t>
      </w:r>
    </w:p>
    <w:p>
      <w:pPr>
        <w:ind w:firstLine="560"/>
        <w:rPr>
          <w:color w:val="000000"/>
        </w:rPr>
      </w:pPr>
      <w:r>
        <w:rPr>
          <w:color w:val="000000"/>
        </w:rPr>
        <w:t>3</w:t>
      </w:r>
      <w:r>
        <w:rPr>
          <w:rFonts w:hint="eastAsia"/>
          <w:color w:val="000000"/>
        </w:rPr>
        <w:t>、该规划</w:t>
      </w:r>
      <w:r>
        <w:rPr>
          <w:color w:val="000000"/>
        </w:rPr>
        <w:t>根据沙坪坝区地质灾害发育现状，地质环境条件和人类工程活动情况，将区内地质灾害</w:t>
      </w:r>
      <w:r>
        <w:rPr>
          <w:rFonts w:hint="eastAsia"/>
          <w:color w:val="000000"/>
        </w:rPr>
        <w:t>进行了</w:t>
      </w:r>
      <w:r>
        <w:rPr>
          <w:color w:val="000000"/>
        </w:rPr>
        <w:t>易发程度</w:t>
      </w:r>
      <w:r>
        <w:rPr>
          <w:rFonts w:hint="eastAsia"/>
          <w:color w:val="000000"/>
        </w:rPr>
        <w:t>和地质灾害防治分区</w:t>
      </w:r>
      <w:r>
        <w:rPr>
          <w:color w:val="000000"/>
        </w:rPr>
        <w:t>，对减灾防灾规划和地质环境的合理开发利用规划具有重要意义。</w:t>
      </w:r>
    </w:p>
    <w:p>
      <w:pPr>
        <w:ind w:firstLine="560"/>
        <w:rPr>
          <w:color w:val="000000"/>
        </w:rPr>
      </w:pPr>
      <w:r>
        <w:rPr>
          <w:color w:val="000000"/>
        </w:rPr>
        <w:t>4</w:t>
      </w:r>
      <w:r>
        <w:rPr>
          <w:rFonts w:hint="eastAsia"/>
          <w:color w:val="000000"/>
        </w:rPr>
        <w:t>、</w:t>
      </w:r>
      <w:r>
        <w:rPr>
          <w:color w:val="000000"/>
        </w:rPr>
        <w:t>报告根据收集和实际调查的丰富资料，</w:t>
      </w:r>
      <w:r>
        <w:rPr>
          <w:rFonts w:hint="eastAsia"/>
          <w:color w:val="000000"/>
        </w:rPr>
        <w:t>地质灾害防治项目罗列全面，工程措施建议合理；报告里提及的经费估算及资金保障措施可行，防治规划实施的保障措施合理、可行。</w:t>
      </w:r>
      <w:r>
        <w:rPr>
          <w:color w:val="000000"/>
        </w:rPr>
        <w:t>该成果</w:t>
      </w:r>
      <w:r>
        <w:rPr>
          <w:rFonts w:hint="eastAsia"/>
          <w:color w:val="000000"/>
        </w:rPr>
        <w:t>报告</w:t>
      </w:r>
      <w:r>
        <w:rPr>
          <w:color w:val="000000"/>
        </w:rPr>
        <w:t>对地方政府防灾减灾及进一步加强地质灾害防治工作，有着重要的指导作用。</w:t>
      </w:r>
    </w:p>
    <w:p>
      <w:pPr>
        <w:ind w:firstLine="560"/>
        <w:rPr>
          <w:color w:val="000000"/>
        </w:rPr>
      </w:pPr>
      <w:r>
        <w:rPr>
          <w:color w:val="000000"/>
        </w:rPr>
        <w:t>报告通过内部评审，按本次评审提出的意见补充修改后，同意送交</w:t>
      </w:r>
      <w:r>
        <w:rPr>
          <w:rFonts w:hint="eastAsia"/>
          <w:color w:val="000000"/>
        </w:rPr>
        <w:t>相关部门</w:t>
      </w:r>
      <w:r>
        <w:rPr>
          <w:color w:val="000000"/>
        </w:rPr>
        <w:t>审查、验收。</w:t>
      </w:r>
      <w:r>
        <w:rPr>
          <w:rFonts w:hint="eastAsia"/>
          <w:color w:val="000000"/>
        </w:rPr>
        <w:t xml:space="preserve">                     </w:t>
      </w:r>
    </w:p>
    <w:p>
      <w:pPr>
        <w:ind w:firstLine="560"/>
        <w:jc w:val="right"/>
        <w:rPr>
          <w:color w:val="000000"/>
        </w:rPr>
      </w:pPr>
      <w:r>
        <w:rPr>
          <w:rFonts w:hint="eastAsia"/>
          <w:color w:val="000000"/>
          <w:szCs w:val="28"/>
        </w:rPr>
        <w:t>重庆市地勘局南江水文地质工程地质队</w:t>
      </w:r>
    </w:p>
    <w:p>
      <w:pPr>
        <w:ind w:right="560" w:firstLine="560"/>
        <w:jc w:val="right"/>
        <w:rPr>
          <w:color w:val="000000"/>
        </w:rPr>
      </w:pPr>
      <w:r>
        <w:rPr>
          <w:rFonts w:hint="eastAsia"/>
          <w:color w:val="000000"/>
        </w:rPr>
        <w:t>2020.5</w:t>
      </w:r>
    </w:p>
    <w:bookmarkEnd w:id="0"/>
    <w:bookmarkEnd w:id="1"/>
    <w:bookmarkEnd w:id="2"/>
    <w:bookmarkEnd w:id="3"/>
    <w:bookmarkEnd w:id="4"/>
    <w:p>
      <w:pPr>
        <w:pStyle w:val="4"/>
        <w:rPr>
          <w:color w:val="000000"/>
        </w:rPr>
      </w:pPr>
      <w:bookmarkStart w:id="5" w:name="_Toc52368877"/>
      <w:bookmarkStart w:id="6" w:name="_Toc193701748"/>
      <w:bookmarkStart w:id="7" w:name="_Toc65987369"/>
      <w:bookmarkStart w:id="8" w:name="_Toc298832054"/>
      <w:bookmarkStart w:id="9" w:name="_Toc92983336"/>
      <w:r>
        <w:rPr>
          <w:color w:val="000000"/>
        </w:rPr>
        <w:t>目  录</w:t>
      </w:r>
    </w:p>
    <w:p>
      <w:pPr>
        <w:ind w:firstLine="560"/>
        <w:rPr>
          <w:rFonts w:ascii="宋体" w:hAnsi="宋体"/>
          <w:bCs/>
          <w:color w:val="000000"/>
          <w:szCs w:val="28"/>
        </w:rPr>
      </w:pPr>
      <w:r>
        <w:rPr>
          <w:rFonts w:hint="eastAsia" w:ascii="宋体" w:hAnsi="宋体"/>
          <w:color w:val="000000"/>
          <w:szCs w:val="28"/>
        </w:rPr>
        <w:t xml:space="preserve"> </w:t>
      </w:r>
      <w:r>
        <w:rPr>
          <w:rFonts w:ascii="宋体" w:hAnsi="宋体"/>
          <w:bCs/>
          <w:color w:val="000000"/>
          <w:szCs w:val="28"/>
        </w:rPr>
        <w:fldChar w:fldCharType="begin"/>
      </w:r>
      <w:r>
        <w:rPr>
          <w:rFonts w:ascii="宋体" w:hAnsi="宋体"/>
          <w:bCs/>
          <w:color w:val="000000"/>
          <w:szCs w:val="28"/>
        </w:rPr>
        <w:instrText xml:space="preserve"> TOC \o "1-4" \h \z \u </w:instrText>
      </w:r>
      <w:r>
        <w:rPr>
          <w:rFonts w:ascii="宋体" w:hAnsi="宋体"/>
          <w:bCs/>
          <w:color w:val="000000"/>
          <w:szCs w:val="28"/>
        </w:rPr>
        <w:fldChar w:fldCharType="separate"/>
      </w:r>
    </w:p>
    <w:p>
      <w:pPr>
        <w:pStyle w:val="16"/>
        <w:tabs>
          <w:tab w:val="right" w:leader="dot" w:pos="9071"/>
          <w:tab w:val="clear" w:pos="9072"/>
        </w:tabs>
        <w:ind w:firstLine="643"/>
      </w:pPr>
      <w:r>
        <w:fldChar w:fldCharType="begin"/>
      </w:r>
      <w:r>
        <w:instrText xml:space="preserve"> HYPERLINK \l "_Toc29716" </w:instrText>
      </w:r>
      <w:r>
        <w:fldChar w:fldCharType="separate"/>
      </w:r>
      <w:r>
        <w:rPr>
          <w:bCs w:val="0"/>
        </w:rPr>
        <w:t>第一章  前    言</w:t>
      </w:r>
      <w:r>
        <w:tab/>
      </w:r>
      <w:r>
        <w:fldChar w:fldCharType="end"/>
      </w:r>
    </w:p>
    <w:p>
      <w:pPr>
        <w:pStyle w:val="16"/>
        <w:tabs>
          <w:tab w:val="right" w:leader="dot" w:pos="9071"/>
          <w:tab w:val="clear" w:pos="9072"/>
        </w:tabs>
        <w:ind w:firstLine="643"/>
      </w:pPr>
      <w:r>
        <w:fldChar w:fldCharType="begin"/>
      </w:r>
      <w:r>
        <w:instrText xml:space="preserve"> HYPERLINK \l "_Toc29921" </w:instrText>
      </w:r>
      <w:r>
        <w:fldChar w:fldCharType="separate"/>
      </w:r>
      <w:r>
        <w:t>第二章  规划背景</w:t>
      </w:r>
      <w:r>
        <w:rPr>
          <w:rFonts w:hint="eastAsia"/>
        </w:rPr>
        <w:t>及趋势预测</w:t>
      </w:r>
      <w:r>
        <w:tab/>
      </w:r>
      <w:r>
        <w:fldChar w:fldCharType="end"/>
      </w:r>
    </w:p>
    <w:p>
      <w:pPr>
        <w:pStyle w:val="25"/>
        <w:tabs>
          <w:tab w:val="right" w:leader="dot" w:pos="9071"/>
          <w:tab w:val="clear" w:pos="9061"/>
        </w:tabs>
        <w:rPr>
          <w:color w:val="000000"/>
        </w:rPr>
      </w:pPr>
      <w:r>
        <w:fldChar w:fldCharType="begin"/>
      </w:r>
      <w:r>
        <w:instrText xml:space="preserve"> HYPERLINK \l "_Toc4189" </w:instrText>
      </w:r>
      <w:r>
        <w:fldChar w:fldCharType="separate"/>
      </w:r>
      <w:r>
        <w:rPr>
          <w:rFonts w:ascii="Times New Roman" w:hAnsi="Times New Roman" w:eastAsia="宋体"/>
          <w:color w:val="000000"/>
        </w:rPr>
        <w:t xml:space="preserve">第一节  </w:t>
      </w:r>
      <w:r>
        <w:rPr>
          <w:rFonts w:hint="eastAsia" w:ascii="Times New Roman" w:hAnsi="Times New Roman" w:eastAsia="宋体"/>
          <w:color w:val="000000"/>
        </w:rPr>
        <w:t>沙坪坝区十三五发展目标</w:t>
      </w:r>
      <w:r>
        <w:rPr>
          <w:color w:val="000000"/>
        </w:rPr>
        <w:tab/>
      </w:r>
      <w:r>
        <w:rPr>
          <w:color w:val="000000"/>
        </w:rPr>
        <w:fldChar w:fldCharType="begin"/>
      </w:r>
      <w:r>
        <w:rPr>
          <w:color w:val="000000"/>
        </w:rPr>
        <w:instrText xml:space="preserve"> PAGEREF _Toc4189 </w:instrText>
      </w:r>
      <w:r>
        <w:rPr>
          <w:color w:val="000000"/>
        </w:rPr>
        <w:fldChar w:fldCharType="separate"/>
      </w:r>
      <w:r>
        <w:rPr>
          <w:color w:val="000000"/>
        </w:rPr>
        <w:t>2</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"_Toc305" </w:instrText>
      </w:r>
      <w:r>
        <w:fldChar w:fldCharType="separate"/>
      </w:r>
      <w:r>
        <w:rPr>
          <w:rFonts w:ascii="Times New Roman" w:hAnsi="Times New Roman" w:eastAsia="宋体"/>
          <w:color w:val="000000"/>
        </w:rPr>
        <w:t>第</w:t>
      </w:r>
      <w:r>
        <w:rPr>
          <w:rFonts w:hint="eastAsia" w:ascii="Times New Roman" w:hAnsi="Times New Roman" w:eastAsia="宋体"/>
          <w:color w:val="000000"/>
        </w:rPr>
        <w:t>二</w:t>
      </w:r>
      <w:r>
        <w:rPr>
          <w:rFonts w:ascii="Times New Roman" w:hAnsi="Times New Roman" w:eastAsia="宋体"/>
          <w:color w:val="000000"/>
        </w:rPr>
        <w:t xml:space="preserve">节  </w:t>
      </w:r>
      <w:r>
        <w:rPr>
          <w:rFonts w:hint="eastAsia" w:ascii="Times New Roman" w:hAnsi="Times New Roman" w:eastAsia="宋体"/>
          <w:color w:val="000000"/>
        </w:rPr>
        <w:t>上</w:t>
      </w:r>
      <w:r>
        <w:rPr>
          <w:rFonts w:hint="eastAsia" w:ascii="Times New Roman" w:eastAsia="宋体"/>
          <w:color w:val="000000"/>
        </w:rPr>
        <w:t>一轮规划</w:t>
      </w:r>
      <w:r>
        <w:rPr>
          <w:rFonts w:ascii="Times New Roman" w:hAnsi="Times New Roman" w:eastAsia="宋体"/>
          <w:color w:val="000000"/>
        </w:rPr>
        <w:t>地质灾害防治</w:t>
      </w:r>
      <w:r>
        <w:rPr>
          <w:rFonts w:hint="eastAsia" w:ascii="Times New Roman" w:hAnsi="Times New Roman" w:eastAsia="宋体"/>
          <w:color w:val="000000"/>
        </w:rPr>
        <w:t>回顾</w:t>
      </w:r>
      <w:r>
        <w:rPr>
          <w:color w:val="000000"/>
        </w:rPr>
        <w:tab/>
      </w:r>
      <w:r>
        <w:rPr>
          <w:color w:val="000000"/>
        </w:rPr>
        <w:fldChar w:fldCharType="begin"/>
      </w:r>
      <w:r>
        <w:rPr>
          <w:color w:val="000000"/>
        </w:rPr>
        <w:instrText xml:space="preserve"> PAGEREF _Toc305 </w:instrText>
      </w:r>
      <w:r>
        <w:rPr>
          <w:color w:val="000000"/>
        </w:rPr>
        <w:fldChar w:fldCharType="separate"/>
      </w:r>
      <w:r>
        <w:rPr>
          <w:color w:val="000000"/>
        </w:rPr>
        <w:t>3</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"_Toc19980" </w:instrText>
      </w:r>
      <w:r>
        <w:fldChar w:fldCharType="separate"/>
      </w:r>
      <w:r>
        <w:rPr>
          <w:rFonts w:ascii="Times New Roman" w:hAnsi="Times New Roman" w:eastAsia="宋体"/>
          <w:color w:val="000000"/>
        </w:rPr>
        <w:t>第</w:t>
      </w:r>
      <w:r>
        <w:rPr>
          <w:rFonts w:hint="eastAsia" w:ascii="Times New Roman" w:hAnsi="Times New Roman" w:eastAsia="宋体"/>
          <w:color w:val="000000"/>
        </w:rPr>
        <w:t>三</w:t>
      </w:r>
      <w:r>
        <w:rPr>
          <w:rFonts w:ascii="Times New Roman" w:hAnsi="Times New Roman" w:eastAsia="宋体"/>
          <w:color w:val="000000"/>
        </w:rPr>
        <w:t xml:space="preserve">节 </w:t>
      </w:r>
      <w:r>
        <w:rPr>
          <w:rFonts w:hint="eastAsia" w:ascii="Times New Roman" w:hAnsi="Times New Roman" w:eastAsia="宋体"/>
          <w:color w:val="000000"/>
        </w:rPr>
        <w:t xml:space="preserve"> 规划期内地质灾害防治形势</w:t>
      </w:r>
      <w:r>
        <w:rPr>
          <w:color w:val="000000"/>
        </w:rPr>
        <w:tab/>
      </w:r>
      <w:r>
        <w:rPr>
          <w:color w:val="000000"/>
        </w:rPr>
        <w:fldChar w:fldCharType="begin"/>
      </w:r>
      <w:r>
        <w:rPr>
          <w:color w:val="000000"/>
        </w:rPr>
        <w:instrText xml:space="preserve"> PAGEREF _Toc19980 </w:instrText>
      </w:r>
      <w:r>
        <w:rPr>
          <w:color w:val="000000"/>
        </w:rPr>
        <w:fldChar w:fldCharType="separate"/>
      </w:r>
      <w:r>
        <w:rPr>
          <w:color w:val="000000"/>
        </w:rPr>
        <w:t>6</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"_Toc3560" </w:instrText>
      </w:r>
      <w:r>
        <w:fldChar w:fldCharType="separate"/>
      </w:r>
      <w:r>
        <w:rPr>
          <w:rFonts w:hint="eastAsia"/>
        </w:rPr>
        <w:t>第三章 地质环境条件</w:t>
      </w:r>
      <w:r>
        <w:tab/>
      </w:r>
      <w:r>
        <w:fldChar w:fldCharType="end"/>
      </w:r>
    </w:p>
    <w:p>
      <w:pPr>
        <w:pStyle w:val="25"/>
        <w:tabs>
          <w:tab w:val="right" w:leader="dot" w:pos="9071"/>
          <w:tab w:val="clear" w:pos="9061"/>
        </w:tabs>
        <w:rPr>
          <w:color w:val="000000"/>
        </w:rPr>
      </w:pPr>
      <w:r>
        <w:fldChar w:fldCharType="begin"/>
      </w:r>
      <w:r>
        <w:instrText xml:space="preserve"> HYPERLINK \l "_Toc3517" </w:instrText>
      </w:r>
      <w:r>
        <w:fldChar w:fldCharType="separate"/>
      </w:r>
      <w:r>
        <w:rPr>
          <w:rFonts w:ascii="Times New Roman" w:hAnsi="Times New Roman" w:eastAsia="宋体"/>
          <w:bCs/>
          <w:color w:val="000000"/>
        </w:rPr>
        <w:t>第</w:t>
      </w:r>
      <w:r>
        <w:rPr>
          <w:rFonts w:hint="eastAsia" w:ascii="Times New Roman" w:hAnsi="Times New Roman" w:eastAsia="宋体"/>
          <w:bCs/>
          <w:color w:val="000000"/>
        </w:rPr>
        <w:t>一节 自然地理</w:t>
      </w:r>
      <w:r>
        <w:rPr>
          <w:color w:val="000000"/>
        </w:rPr>
        <w:tab/>
      </w:r>
      <w:r>
        <w:rPr>
          <w:color w:val="000000"/>
        </w:rPr>
        <w:fldChar w:fldCharType="begin"/>
      </w:r>
      <w:r>
        <w:rPr>
          <w:color w:val="000000"/>
        </w:rPr>
        <w:instrText xml:space="preserve"> PAGEREF _Toc3517 </w:instrText>
      </w:r>
      <w:r>
        <w:rPr>
          <w:color w:val="000000"/>
        </w:rPr>
        <w:fldChar w:fldCharType="separate"/>
      </w:r>
      <w:r>
        <w:rPr>
          <w:color w:val="000000"/>
        </w:rPr>
        <w:t>8</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"_Toc30705" </w:instrText>
      </w:r>
      <w:r>
        <w:fldChar w:fldCharType="separate"/>
      </w:r>
      <w:r>
        <w:rPr>
          <w:rFonts w:ascii="Times New Roman" w:hAnsi="Times New Roman" w:eastAsia="宋体"/>
          <w:color w:val="000000"/>
        </w:rPr>
        <w:t>第二节  地质灾害发育现状</w:t>
      </w:r>
      <w:r>
        <w:rPr>
          <w:color w:val="000000"/>
        </w:rPr>
        <w:tab/>
      </w:r>
      <w:r>
        <w:rPr>
          <w:color w:val="000000"/>
        </w:rPr>
        <w:fldChar w:fldCharType="begin"/>
      </w:r>
      <w:r>
        <w:rPr>
          <w:color w:val="000000"/>
        </w:rPr>
        <w:instrText xml:space="preserve"> PAGEREF _Toc30705 </w:instrText>
      </w:r>
      <w:r>
        <w:rPr>
          <w:color w:val="000000"/>
        </w:rPr>
        <w:fldChar w:fldCharType="separate"/>
      </w:r>
      <w:r>
        <w:rPr>
          <w:color w:val="000000"/>
        </w:rPr>
        <w:t>8</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"_Toc17512" </w:instrText>
      </w:r>
      <w:r>
        <w:fldChar w:fldCharType="separate"/>
      </w:r>
      <w:r>
        <w:t>第</w:t>
      </w:r>
      <w:r>
        <w:rPr>
          <w:rFonts w:hint="eastAsia"/>
        </w:rPr>
        <w:t>四章</w:t>
      </w:r>
      <w:r>
        <w:t xml:space="preserve">  地质灾害易发程度分区</w:t>
      </w:r>
      <w:r>
        <w:tab/>
      </w:r>
      <w:r>
        <w:fldChar w:fldCharType="end"/>
      </w:r>
    </w:p>
    <w:p>
      <w:pPr>
        <w:pStyle w:val="16"/>
        <w:tabs>
          <w:tab w:val="right" w:leader="dot" w:pos="9071"/>
          <w:tab w:val="clear" w:pos="9072"/>
        </w:tabs>
        <w:ind w:firstLine="643"/>
      </w:pPr>
      <w:r>
        <w:fldChar w:fldCharType="begin"/>
      </w:r>
      <w:r>
        <w:instrText xml:space="preserve"> HYPERLINK \l "_Toc9530" </w:instrText>
      </w:r>
      <w:r>
        <w:fldChar w:fldCharType="separate"/>
      </w:r>
      <w:r>
        <w:rPr>
          <w:bCs w:val="0"/>
        </w:rPr>
        <w:t>第</w:t>
      </w:r>
      <w:r>
        <w:rPr>
          <w:rFonts w:hint="eastAsia"/>
          <w:bCs w:val="0"/>
        </w:rPr>
        <w:t>五</w:t>
      </w:r>
      <w:r>
        <w:rPr>
          <w:bCs w:val="0"/>
        </w:rPr>
        <w:t>章  地质灾害防治分区</w:t>
      </w:r>
      <w:r>
        <w:tab/>
      </w:r>
      <w:r>
        <w:fldChar w:fldCharType="end"/>
      </w:r>
    </w:p>
    <w:p>
      <w:pPr>
        <w:pStyle w:val="25"/>
        <w:tabs>
          <w:tab w:val="right" w:leader="dot" w:pos="9071"/>
          <w:tab w:val="clear" w:pos="9061"/>
        </w:tabs>
        <w:rPr>
          <w:color w:val="000000"/>
        </w:rPr>
      </w:pPr>
      <w:r>
        <w:fldChar w:fldCharType="begin"/>
      </w:r>
      <w:r>
        <w:instrText xml:space="preserve"> HYPERLINK \l "_Toc14800" </w:instrText>
      </w:r>
      <w:r>
        <w:fldChar w:fldCharType="separate"/>
      </w:r>
      <w:r>
        <w:rPr>
          <w:rFonts w:hint="eastAsia" w:ascii="Times New Roman" w:hAnsi="Times New Roman" w:eastAsia="宋体"/>
          <w:color w:val="000000"/>
        </w:rPr>
        <w:t xml:space="preserve">第一节  </w:t>
      </w:r>
      <w:r>
        <w:rPr>
          <w:rFonts w:ascii="Times New Roman" w:hAnsi="Times New Roman" w:eastAsia="宋体"/>
          <w:color w:val="000000"/>
        </w:rPr>
        <w:t>地质灾害防治</w:t>
      </w:r>
      <w:r>
        <w:rPr>
          <w:rFonts w:hint="eastAsia" w:ascii="Times New Roman" w:hAnsi="Times New Roman" w:eastAsia="宋体"/>
          <w:color w:val="000000"/>
        </w:rPr>
        <w:t>分区</w:t>
      </w:r>
      <w:r>
        <w:rPr>
          <w:rFonts w:ascii="Times New Roman" w:hAnsi="Times New Roman" w:eastAsia="宋体"/>
          <w:color w:val="000000"/>
        </w:rPr>
        <w:t>原则</w:t>
      </w:r>
      <w:r>
        <w:rPr>
          <w:color w:val="000000"/>
        </w:rPr>
        <w:tab/>
      </w:r>
      <w:r>
        <w:rPr>
          <w:color w:val="000000"/>
        </w:rPr>
        <w:fldChar w:fldCharType="begin"/>
      </w:r>
      <w:r>
        <w:rPr>
          <w:color w:val="000000"/>
        </w:rPr>
        <w:instrText xml:space="preserve"> PAGEREF _Toc14800 </w:instrText>
      </w:r>
      <w:r>
        <w:rPr>
          <w:color w:val="000000"/>
        </w:rPr>
        <w:fldChar w:fldCharType="separate"/>
      </w:r>
      <w:r>
        <w:rPr>
          <w:color w:val="000000"/>
        </w:rPr>
        <w:t>16</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"_Toc31194" </w:instrText>
      </w:r>
      <w:r>
        <w:fldChar w:fldCharType="separate"/>
      </w:r>
      <w:r>
        <w:rPr>
          <w:rFonts w:hint="eastAsia" w:ascii="Times New Roman" w:hAnsi="Times New Roman" w:eastAsia="宋体"/>
          <w:color w:val="000000"/>
        </w:rPr>
        <w:t xml:space="preserve">第二节   </w:t>
      </w:r>
      <w:r>
        <w:rPr>
          <w:rFonts w:ascii="Times New Roman" w:hAnsi="Times New Roman" w:eastAsia="宋体"/>
          <w:color w:val="000000"/>
        </w:rPr>
        <w:t>地质灾害防治分区及防治重点</w:t>
      </w:r>
      <w:r>
        <w:rPr>
          <w:color w:val="000000"/>
        </w:rPr>
        <w:tab/>
      </w:r>
      <w:r>
        <w:rPr>
          <w:color w:val="000000"/>
        </w:rPr>
        <w:fldChar w:fldCharType="begin"/>
      </w:r>
      <w:r>
        <w:rPr>
          <w:color w:val="000000"/>
        </w:rPr>
        <w:instrText xml:space="preserve"> PAGEREF _Toc31194 </w:instrText>
      </w:r>
      <w:r>
        <w:rPr>
          <w:color w:val="000000"/>
        </w:rPr>
        <w:fldChar w:fldCharType="separate"/>
      </w:r>
      <w:r>
        <w:rPr>
          <w:color w:val="000000"/>
        </w:rPr>
        <w:t>16</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"_Toc6024" </w:instrText>
      </w:r>
      <w:r>
        <w:fldChar w:fldCharType="separate"/>
      </w:r>
      <w:r>
        <w:rPr>
          <w:bCs w:val="0"/>
        </w:rPr>
        <w:t>第</w:t>
      </w:r>
      <w:r>
        <w:rPr>
          <w:rFonts w:hint="eastAsia"/>
          <w:bCs w:val="0"/>
        </w:rPr>
        <w:t>六</w:t>
      </w:r>
      <w:r>
        <w:rPr>
          <w:bCs w:val="0"/>
        </w:rPr>
        <w:t>章  防治规划的指导思想、基本原则及规划目标</w:t>
      </w:r>
      <w:r>
        <w:tab/>
      </w:r>
      <w:r>
        <w:fldChar w:fldCharType="end"/>
      </w:r>
    </w:p>
    <w:p>
      <w:pPr>
        <w:pStyle w:val="25"/>
        <w:tabs>
          <w:tab w:val="right" w:leader="dot" w:pos="9071"/>
          <w:tab w:val="clear" w:pos="9061"/>
        </w:tabs>
        <w:rPr>
          <w:color w:val="000000"/>
        </w:rPr>
      </w:pPr>
      <w:r>
        <w:fldChar w:fldCharType="begin"/>
      </w:r>
      <w:r>
        <w:instrText xml:space="preserve"> HYPERLINK \l "_Toc24458" </w:instrText>
      </w:r>
      <w:r>
        <w:fldChar w:fldCharType="separate"/>
      </w:r>
      <w:r>
        <w:rPr>
          <w:rFonts w:ascii="Times New Roman" w:hAnsi="Times New Roman" w:eastAsia="宋体"/>
          <w:color w:val="000000"/>
        </w:rPr>
        <w:t>第一节  指导思想</w:t>
      </w:r>
      <w:r>
        <w:rPr>
          <w:color w:val="000000"/>
        </w:rPr>
        <w:tab/>
      </w:r>
      <w:r>
        <w:rPr>
          <w:color w:val="000000"/>
        </w:rPr>
        <w:fldChar w:fldCharType="begin"/>
      </w:r>
      <w:r>
        <w:rPr>
          <w:color w:val="000000"/>
        </w:rPr>
        <w:instrText xml:space="preserve"> PAGEREF _Toc24458 </w:instrText>
      </w:r>
      <w:r>
        <w:rPr>
          <w:color w:val="000000"/>
        </w:rPr>
        <w:fldChar w:fldCharType="separate"/>
      </w:r>
      <w:r>
        <w:rPr>
          <w:color w:val="000000"/>
        </w:rPr>
        <w:t>18</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"_Toc13583" </w:instrText>
      </w:r>
      <w:r>
        <w:fldChar w:fldCharType="separate"/>
      </w:r>
      <w:r>
        <w:rPr>
          <w:rFonts w:ascii="Times New Roman" w:hAnsi="Times New Roman" w:eastAsia="宋体"/>
          <w:color w:val="000000"/>
        </w:rPr>
        <w:t>第二节  基本原则</w:t>
      </w:r>
      <w:r>
        <w:rPr>
          <w:color w:val="000000"/>
        </w:rPr>
        <w:tab/>
      </w:r>
      <w:r>
        <w:rPr>
          <w:color w:val="000000"/>
        </w:rPr>
        <w:fldChar w:fldCharType="begin"/>
      </w:r>
      <w:r>
        <w:rPr>
          <w:color w:val="000000"/>
        </w:rPr>
        <w:instrText xml:space="preserve"> PAGEREF _Toc13583 </w:instrText>
      </w:r>
      <w:r>
        <w:rPr>
          <w:color w:val="000000"/>
        </w:rPr>
        <w:fldChar w:fldCharType="separate"/>
      </w:r>
      <w:r>
        <w:rPr>
          <w:color w:val="000000"/>
        </w:rPr>
        <w:t>18</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"_Toc14801" </w:instrText>
      </w:r>
      <w:r>
        <w:fldChar w:fldCharType="separate"/>
      </w:r>
      <w:r>
        <w:rPr>
          <w:rFonts w:ascii="Times New Roman" w:hAnsi="Times New Roman" w:eastAsia="宋体"/>
          <w:color w:val="000000"/>
        </w:rPr>
        <w:t>第三节  规划目标</w:t>
      </w:r>
      <w:r>
        <w:rPr>
          <w:color w:val="000000"/>
        </w:rPr>
        <w:tab/>
      </w:r>
      <w:r>
        <w:rPr>
          <w:color w:val="000000"/>
        </w:rPr>
        <w:fldChar w:fldCharType="begin"/>
      </w:r>
      <w:r>
        <w:rPr>
          <w:color w:val="000000"/>
        </w:rPr>
        <w:instrText xml:space="preserve"> PAGEREF _Toc14801 </w:instrText>
      </w:r>
      <w:r>
        <w:rPr>
          <w:color w:val="000000"/>
        </w:rPr>
        <w:fldChar w:fldCharType="separate"/>
      </w:r>
      <w:r>
        <w:rPr>
          <w:color w:val="000000"/>
        </w:rPr>
        <w:t>19</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"_Toc12748" </w:instrText>
      </w:r>
      <w:r>
        <w:fldChar w:fldCharType="separate"/>
      </w:r>
      <w:r>
        <w:rPr>
          <w:bCs w:val="0"/>
        </w:rPr>
        <w:t>第</w:t>
      </w:r>
      <w:r>
        <w:rPr>
          <w:rFonts w:hint="eastAsia"/>
          <w:bCs w:val="0"/>
        </w:rPr>
        <w:t>七</w:t>
      </w:r>
      <w:r>
        <w:rPr>
          <w:bCs w:val="0"/>
        </w:rPr>
        <w:t>章  地质灾害防治</w:t>
      </w:r>
      <w:r>
        <w:rPr>
          <w:rFonts w:hint="eastAsia"/>
          <w:bCs w:val="0"/>
        </w:rPr>
        <w:t>任务</w:t>
      </w:r>
      <w:r>
        <w:tab/>
      </w:r>
      <w:r>
        <w:fldChar w:fldCharType="end"/>
      </w:r>
    </w:p>
    <w:p>
      <w:pPr>
        <w:pStyle w:val="25"/>
        <w:tabs>
          <w:tab w:val="right" w:leader="dot" w:pos="9071"/>
          <w:tab w:val="clear" w:pos="9061"/>
        </w:tabs>
        <w:rPr>
          <w:color w:val="000000"/>
        </w:rPr>
      </w:pPr>
      <w:r>
        <w:fldChar w:fldCharType="begin"/>
      </w:r>
      <w:r>
        <w:instrText xml:space="preserve"> HYPERLINK \l "_Toc13450" </w:instrText>
      </w:r>
      <w:r>
        <w:fldChar w:fldCharType="separate"/>
      </w:r>
      <w:r>
        <w:rPr>
          <w:rFonts w:ascii="Times New Roman" w:hAnsi="Times New Roman" w:eastAsia="宋体"/>
          <w:color w:val="000000"/>
        </w:rPr>
        <w:t>第一节  地质灾害调查</w:t>
      </w:r>
      <w:r>
        <w:rPr>
          <w:rFonts w:hint="eastAsia" w:ascii="Times New Roman" w:hAnsi="Times New Roman" w:eastAsia="宋体"/>
          <w:color w:val="000000"/>
        </w:rPr>
        <w:t>评价</w:t>
      </w:r>
      <w:r>
        <w:rPr>
          <w:color w:val="000000"/>
        </w:rPr>
        <w:tab/>
      </w:r>
      <w:r>
        <w:rPr>
          <w:color w:val="000000"/>
        </w:rPr>
        <w:fldChar w:fldCharType="begin"/>
      </w:r>
      <w:r>
        <w:rPr>
          <w:color w:val="000000"/>
        </w:rPr>
        <w:instrText xml:space="preserve"> PAGEREF _Toc13450 </w:instrText>
      </w:r>
      <w:r>
        <w:rPr>
          <w:color w:val="000000"/>
        </w:rPr>
        <w:fldChar w:fldCharType="separate"/>
      </w:r>
      <w:r>
        <w:rPr>
          <w:color w:val="000000"/>
        </w:rPr>
        <w:t>22</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"_Toc13300" </w:instrText>
      </w:r>
      <w:r>
        <w:fldChar w:fldCharType="separate"/>
      </w:r>
      <w:r>
        <w:rPr>
          <w:rFonts w:ascii="Times New Roman" w:hAnsi="Times New Roman" w:eastAsia="宋体"/>
          <w:color w:val="000000"/>
        </w:rPr>
        <w:t>第二节  监测预警</w:t>
      </w:r>
      <w:r>
        <w:rPr>
          <w:color w:val="000000"/>
        </w:rPr>
        <w:tab/>
      </w:r>
      <w:r>
        <w:rPr>
          <w:color w:val="000000"/>
        </w:rPr>
        <w:fldChar w:fldCharType="begin"/>
      </w:r>
      <w:r>
        <w:rPr>
          <w:color w:val="000000"/>
        </w:rPr>
        <w:instrText xml:space="preserve"> PAGEREF _Toc13300 </w:instrText>
      </w:r>
      <w:r>
        <w:rPr>
          <w:color w:val="000000"/>
        </w:rPr>
        <w:fldChar w:fldCharType="separate"/>
      </w:r>
      <w:r>
        <w:rPr>
          <w:color w:val="000000"/>
        </w:rPr>
        <w:t>23</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"_Toc1972" </w:instrText>
      </w:r>
      <w:r>
        <w:fldChar w:fldCharType="separate"/>
      </w:r>
      <w:r>
        <w:rPr>
          <w:rFonts w:hint="eastAsia" w:ascii="Times New Roman" w:hAnsi="Times New Roman" w:eastAsia="宋体"/>
          <w:bCs/>
          <w:color w:val="000000"/>
        </w:rPr>
        <w:t>第三节 地质灾害综合防治</w:t>
      </w:r>
      <w:r>
        <w:rPr>
          <w:color w:val="000000"/>
        </w:rPr>
        <w:tab/>
      </w:r>
      <w:r>
        <w:rPr>
          <w:color w:val="000000"/>
        </w:rPr>
        <w:fldChar w:fldCharType="begin"/>
      </w:r>
      <w:r>
        <w:rPr>
          <w:color w:val="000000"/>
        </w:rPr>
        <w:instrText xml:space="preserve"> PAGEREF _Toc1972 </w:instrText>
      </w:r>
      <w:r>
        <w:rPr>
          <w:color w:val="000000"/>
        </w:rPr>
        <w:fldChar w:fldCharType="separate"/>
      </w:r>
      <w:r>
        <w:rPr>
          <w:color w:val="000000"/>
        </w:rPr>
        <w:t>27</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"_Toc7078" </w:instrText>
      </w:r>
      <w:r>
        <w:fldChar w:fldCharType="separate"/>
      </w:r>
      <w:r>
        <w:rPr>
          <w:rFonts w:ascii="Times New Roman" w:hAnsi="Times New Roman" w:eastAsia="宋体"/>
          <w:color w:val="000000"/>
        </w:rPr>
        <w:t>第</w:t>
      </w:r>
      <w:r>
        <w:rPr>
          <w:rFonts w:hint="eastAsia" w:ascii="Times New Roman" w:hAnsi="Times New Roman" w:eastAsia="宋体"/>
          <w:color w:val="000000"/>
        </w:rPr>
        <w:t>四</w:t>
      </w:r>
      <w:r>
        <w:rPr>
          <w:rFonts w:ascii="Times New Roman" w:hAnsi="Times New Roman" w:eastAsia="宋体"/>
          <w:color w:val="000000"/>
        </w:rPr>
        <w:t xml:space="preserve">节  </w:t>
      </w:r>
      <w:r>
        <w:rPr>
          <w:rFonts w:hint="eastAsia" w:ascii="Times New Roman" w:hAnsi="Times New Roman" w:eastAsia="宋体"/>
          <w:color w:val="000000"/>
        </w:rPr>
        <w:t>科普</w:t>
      </w:r>
      <w:r>
        <w:rPr>
          <w:rFonts w:ascii="Times New Roman" w:hAnsi="Times New Roman" w:eastAsia="宋体"/>
          <w:color w:val="000000"/>
        </w:rPr>
        <w:t>宣传培训</w:t>
      </w:r>
      <w:r>
        <w:rPr>
          <w:color w:val="000000"/>
        </w:rPr>
        <w:tab/>
      </w:r>
      <w:r>
        <w:rPr>
          <w:color w:val="000000"/>
        </w:rPr>
        <w:fldChar w:fldCharType="begin"/>
      </w:r>
      <w:r>
        <w:rPr>
          <w:color w:val="000000"/>
        </w:rPr>
        <w:instrText xml:space="preserve"> PAGEREF _Toc7078 </w:instrText>
      </w:r>
      <w:r>
        <w:rPr>
          <w:color w:val="000000"/>
        </w:rPr>
        <w:fldChar w:fldCharType="separate"/>
      </w:r>
      <w:r>
        <w:rPr>
          <w:color w:val="000000"/>
        </w:rPr>
        <w:t>29</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"_Toc25262" </w:instrText>
      </w:r>
      <w:r>
        <w:fldChar w:fldCharType="separate"/>
      </w:r>
      <w:r>
        <w:rPr>
          <w:rFonts w:ascii="Times New Roman" w:hAnsi="Times New Roman" w:eastAsia="宋体"/>
          <w:color w:val="000000"/>
        </w:rPr>
        <w:t>第</w:t>
      </w:r>
      <w:r>
        <w:rPr>
          <w:rFonts w:hint="eastAsia" w:ascii="Times New Roman" w:hAnsi="Times New Roman" w:eastAsia="宋体"/>
          <w:color w:val="000000"/>
        </w:rPr>
        <w:t>五</w:t>
      </w:r>
      <w:r>
        <w:rPr>
          <w:rFonts w:ascii="Times New Roman" w:hAnsi="Times New Roman" w:eastAsia="宋体"/>
          <w:color w:val="000000"/>
        </w:rPr>
        <w:t>节  应急</w:t>
      </w:r>
      <w:r>
        <w:rPr>
          <w:rFonts w:hint="eastAsia" w:ascii="Times New Roman" w:hAnsi="Times New Roman" w:eastAsia="宋体"/>
          <w:color w:val="000000"/>
        </w:rPr>
        <w:t>体系建设</w:t>
      </w:r>
      <w:r>
        <w:rPr>
          <w:color w:val="000000"/>
        </w:rPr>
        <w:tab/>
      </w:r>
      <w:r>
        <w:rPr>
          <w:color w:val="000000"/>
        </w:rPr>
        <w:fldChar w:fldCharType="begin"/>
      </w:r>
      <w:r>
        <w:rPr>
          <w:color w:val="000000"/>
        </w:rPr>
        <w:instrText xml:space="preserve"> PAGEREF _Toc25262 </w:instrText>
      </w:r>
      <w:r>
        <w:rPr>
          <w:color w:val="000000"/>
        </w:rPr>
        <w:fldChar w:fldCharType="separate"/>
      </w:r>
      <w:r>
        <w:rPr>
          <w:color w:val="000000"/>
        </w:rPr>
        <w:t>30</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"_Toc13234" </w:instrText>
      </w:r>
      <w:r>
        <w:fldChar w:fldCharType="separate"/>
      </w:r>
      <w:r>
        <w:rPr>
          <w:rFonts w:hint="eastAsia" w:ascii="Times New Roman" w:hAnsi="Times New Roman" w:eastAsia="宋体"/>
          <w:bCs/>
          <w:color w:val="000000"/>
        </w:rPr>
        <w:t>第六节 培训交流及地灾演练</w:t>
      </w:r>
      <w:r>
        <w:rPr>
          <w:color w:val="000000"/>
        </w:rPr>
        <w:tab/>
      </w:r>
      <w:r>
        <w:rPr>
          <w:color w:val="000000"/>
        </w:rPr>
        <w:fldChar w:fldCharType="begin"/>
      </w:r>
      <w:r>
        <w:rPr>
          <w:color w:val="000000"/>
        </w:rPr>
        <w:instrText xml:space="preserve"> PAGEREF _Toc13234 </w:instrText>
      </w:r>
      <w:r>
        <w:rPr>
          <w:color w:val="000000"/>
        </w:rPr>
        <w:fldChar w:fldCharType="separate"/>
      </w:r>
      <w:r>
        <w:rPr>
          <w:color w:val="000000"/>
        </w:rPr>
        <w:t>32</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"_Toc577" </w:instrText>
      </w:r>
      <w:r>
        <w:fldChar w:fldCharType="separate"/>
      </w:r>
      <w:r>
        <w:rPr>
          <w:szCs w:val="24"/>
        </w:rPr>
        <w:t>第</w:t>
      </w:r>
      <w:r>
        <w:rPr>
          <w:rFonts w:hint="eastAsia"/>
          <w:szCs w:val="24"/>
        </w:rPr>
        <w:t>八</w:t>
      </w:r>
      <w:r>
        <w:rPr>
          <w:szCs w:val="24"/>
        </w:rPr>
        <w:t>章  经费估算及筹措</w:t>
      </w:r>
      <w:r>
        <w:tab/>
      </w:r>
      <w:r>
        <w:fldChar w:fldCharType="end"/>
      </w:r>
    </w:p>
    <w:p>
      <w:pPr>
        <w:pStyle w:val="25"/>
        <w:tabs>
          <w:tab w:val="right" w:leader="dot" w:pos="9071"/>
          <w:tab w:val="clear" w:pos="9061"/>
        </w:tabs>
        <w:rPr>
          <w:color w:val="000000"/>
        </w:rPr>
      </w:pPr>
      <w:r>
        <w:fldChar w:fldCharType="begin"/>
      </w:r>
      <w:r>
        <w:instrText xml:space="preserve"> HYPERLINK \l "_Toc30195" </w:instrText>
      </w:r>
      <w:r>
        <w:fldChar w:fldCharType="separate"/>
      </w:r>
      <w:r>
        <w:rPr>
          <w:rFonts w:ascii="Times New Roman" w:hAnsi="Times New Roman" w:eastAsia="宋体"/>
          <w:color w:val="000000"/>
        </w:rPr>
        <w:t>第一节  估算依据</w:t>
      </w:r>
      <w:r>
        <w:rPr>
          <w:color w:val="000000"/>
        </w:rPr>
        <w:tab/>
      </w:r>
      <w:r>
        <w:rPr>
          <w:color w:val="000000"/>
        </w:rPr>
        <w:fldChar w:fldCharType="begin"/>
      </w:r>
      <w:r>
        <w:rPr>
          <w:color w:val="000000"/>
        </w:rPr>
        <w:instrText xml:space="preserve"> PAGEREF _Toc30195 </w:instrText>
      </w:r>
      <w:r>
        <w:rPr>
          <w:color w:val="000000"/>
        </w:rPr>
        <w:fldChar w:fldCharType="separate"/>
      </w:r>
      <w:r>
        <w:rPr>
          <w:color w:val="000000"/>
        </w:rPr>
        <w:t>35</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"_Toc20530" </w:instrText>
      </w:r>
      <w:r>
        <w:fldChar w:fldCharType="separate"/>
      </w:r>
      <w:r>
        <w:rPr>
          <w:rFonts w:ascii="Times New Roman" w:hAnsi="Times New Roman" w:eastAsia="宋体"/>
          <w:color w:val="000000"/>
        </w:rPr>
        <w:t>第二节  经费估算</w:t>
      </w:r>
      <w:r>
        <w:rPr>
          <w:color w:val="000000"/>
        </w:rPr>
        <w:tab/>
      </w:r>
      <w:r>
        <w:rPr>
          <w:color w:val="000000"/>
        </w:rPr>
        <w:fldChar w:fldCharType="begin"/>
      </w:r>
      <w:r>
        <w:rPr>
          <w:color w:val="000000"/>
        </w:rPr>
        <w:instrText xml:space="preserve"> PAGEREF _Toc20530 </w:instrText>
      </w:r>
      <w:r>
        <w:rPr>
          <w:color w:val="000000"/>
        </w:rPr>
        <w:fldChar w:fldCharType="separate"/>
      </w:r>
      <w:r>
        <w:rPr>
          <w:color w:val="000000"/>
        </w:rPr>
        <w:t>35</w:t>
      </w:r>
      <w:r>
        <w:rPr>
          <w:color w:val="000000"/>
        </w:rPr>
        <w:fldChar w:fldCharType="end"/>
      </w:r>
      <w:r>
        <w:rPr>
          <w:color w:val="000000"/>
        </w:rPr>
        <w:fldChar w:fldCharType="end"/>
      </w:r>
    </w:p>
    <w:p>
      <w:pPr>
        <w:pStyle w:val="25"/>
        <w:tabs>
          <w:tab w:val="right" w:leader="dot" w:pos="9071"/>
          <w:tab w:val="clear" w:pos="9061"/>
        </w:tabs>
        <w:rPr>
          <w:color w:val="000000"/>
        </w:rPr>
      </w:pPr>
      <w:r>
        <w:fldChar w:fldCharType="begin"/>
      </w:r>
      <w:r>
        <w:instrText xml:space="preserve"> HYPERLINK \l "_Toc26403" </w:instrText>
      </w:r>
      <w:r>
        <w:fldChar w:fldCharType="separate"/>
      </w:r>
      <w:r>
        <w:rPr>
          <w:rFonts w:hint="eastAsia" w:ascii="Times New Roman" w:hAnsi="Times New Roman" w:eastAsia="宋体"/>
          <w:bCs/>
          <w:color w:val="000000"/>
        </w:rPr>
        <w:t>第三节</w:t>
      </w:r>
      <w:r>
        <w:rPr>
          <w:rFonts w:hint="eastAsia" w:ascii="Times New Roman" w:hAnsi="Times New Roman"/>
          <w:bCs/>
          <w:color w:val="000000"/>
        </w:rPr>
        <w:t xml:space="preserve">  </w:t>
      </w:r>
      <w:r>
        <w:rPr>
          <w:rFonts w:hint="eastAsia" w:ascii="Times New Roman" w:hAnsi="Times New Roman" w:eastAsia="宋体"/>
          <w:bCs/>
          <w:color w:val="000000"/>
        </w:rPr>
        <w:t>资金筹措</w:t>
      </w:r>
      <w:r>
        <w:rPr>
          <w:color w:val="000000"/>
        </w:rPr>
        <w:tab/>
      </w:r>
      <w:r>
        <w:rPr>
          <w:color w:val="000000"/>
        </w:rPr>
        <w:fldChar w:fldCharType="begin"/>
      </w:r>
      <w:r>
        <w:rPr>
          <w:color w:val="000000"/>
        </w:rPr>
        <w:instrText xml:space="preserve"> PAGEREF _Toc26403 </w:instrText>
      </w:r>
      <w:r>
        <w:rPr>
          <w:color w:val="000000"/>
        </w:rPr>
        <w:fldChar w:fldCharType="separate"/>
      </w:r>
      <w:r>
        <w:rPr>
          <w:color w:val="000000"/>
        </w:rPr>
        <w:t>38</w:t>
      </w:r>
      <w:r>
        <w:rPr>
          <w:color w:val="000000"/>
        </w:rPr>
        <w:fldChar w:fldCharType="end"/>
      </w:r>
      <w:r>
        <w:rPr>
          <w:color w:val="000000"/>
        </w:rPr>
        <w:fldChar w:fldCharType="end"/>
      </w:r>
    </w:p>
    <w:p>
      <w:pPr>
        <w:pStyle w:val="16"/>
        <w:tabs>
          <w:tab w:val="right" w:leader="dot" w:pos="9071"/>
          <w:tab w:val="clear" w:pos="9072"/>
        </w:tabs>
        <w:ind w:firstLine="643"/>
      </w:pPr>
      <w:r>
        <w:fldChar w:fldCharType="begin"/>
      </w:r>
      <w:r>
        <w:instrText xml:space="preserve"> HYPERLINK \l "_Toc8243" </w:instrText>
      </w:r>
      <w:r>
        <w:fldChar w:fldCharType="separate"/>
      </w:r>
      <w:r>
        <w:rPr>
          <w:bCs w:val="0"/>
        </w:rPr>
        <w:t>第</w:t>
      </w:r>
      <w:r>
        <w:rPr>
          <w:rFonts w:hint="eastAsia"/>
          <w:bCs w:val="0"/>
        </w:rPr>
        <w:t>九</w:t>
      </w:r>
      <w:r>
        <w:rPr>
          <w:bCs w:val="0"/>
        </w:rPr>
        <w:t>章  防治规划实施的保障措施</w:t>
      </w:r>
      <w:r>
        <w:tab/>
      </w:r>
      <w:r>
        <w:fldChar w:fldCharType="end"/>
      </w:r>
    </w:p>
    <w:p>
      <w:pPr>
        <w:pStyle w:val="16"/>
        <w:tabs>
          <w:tab w:val="right" w:leader="dot" w:pos="9071"/>
          <w:tab w:val="clear" w:pos="9072"/>
        </w:tabs>
        <w:ind w:firstLine="643"/>
        <w:rPr>
          <w:rFonts w:ascii="宋体" w:hAnsi="宋体"/>
          <w:bCs w:val="0"/>
          <w:sz w:val="28"/>
          <w:szCs w:val="28"/>
        </w:rPr>
      </w:pPr>
      <w:r>
        <w:rPr>
          <w:rFonts w:ascii="宋体" w:hAnsi="宋体"/>
          <w:bCs w:val="0"/>
          <w:szCs w:val="28"/>
        </w:rPr>
        <w:fldChar w:fldCharType="end"/>
      </w:r>
    </w:p>
    <w:p>
      <w:pPr>
        <w:ind w:firstLine="560"/>
        <w:rPr>
          <w:color w:val="000000"/>
          <w:szCs w:val="28"/>
        </w:rPr>
      </w:pPr>
    </w:p>
    <w:p>
      <w:pPr>
        <w:ind w:firstLine="560"/>
        <w:rPr>
          <w:color w:val="000000"/>
        </w:rPr>
      </w:pPr>
    </w:p>
    <w:p>
      <w:pPr>
        <w:ind w:firstLine="643"/>
        <w:rPr>
          <w:b/>
          <w:bCs/>
          <w:color w:val="000000"/>
          <w:sz w:val="32"/>
        </w:rPr>
      </w:pPr>
      <w:r>
        <w:rPr>
          <w:b/>
          <w:bCs/>
          <w:color w:val="000000"/>
          <w:sz w:val="32"/>
        </w:rPr>
        <w:t>附表：</w:t>
      </w:r>
    </w:p>
    <w:p>
      <w:pPr>
        <w:numPr>
          <w:ilvl w:val="0"/>
          <w:numId w:val="1"/>
        </w:numPr>
        <w:spacing w:line="360" w:lineRule="auto"/>
        <w:ind w:firstLine="560"/>
        <w:rPr>
          <w:color w:val="000000"/>
        </w:rPr>
      </w:pPr>
      <w:r>
        <w:rPr>
          <w:rFonts w:hint="eastAsia"/>
          <w:color w:val="000000"/>
        </w:rPr>
        <w:t>重庆市</w:t>
      </w:r>
      <w:r>
        <w:rPr>
          <w:color w:val="000000"/>
        </w:rPr>
        <w:t>沙坪坝区地质灾害点分布</w:t>
      </w:r>
      <w:r>
        <w:rPr>
          <w:rFonts w:hint="eastAsia"/>
          <w:color w:val="000000"/>
        </w:rPr>
        <w:t>统计</w:t>
      </w:r>
      <w:r>
        <w:rPr>
          <w:color w:val="000000"/>
        </w:rPr>
        <w:t>表</w:t>
      </w:r>
    </w:p>
    <w:p>
      <w:pPr>
        <w:numPr>
          <w:ilvl w:val="0"/>
          <w:numId w:val="1"/>
        </w:numPr>
        <w:spacing w:line="360" w:lineRule="auto"/>
        <w:ind w:firstLine="560"/>
        <w:rPr>
          <w:color w:val="000000"/>
        </w:rPr>
      </w:pPr>
      <w:r>
        <w:rPr>
          <w:rFonts w:hint="eastAsia"/>
          <w:color w:val="000000"/>
        </w:rPr>
        <w:t>重庆市</w:t>
      </w:r>
      <w:r>
        <w:rPr>
          <w:color w:val="000000"/>
        </w:rPr>
        <w:t>沙坪坝区地质灾害防治分区划分表</w:t>
      </w:r>
    </w:p>
    <w:p>
      <w:pPr>
        <w:numPr>
          <w:ilvl w:val="0"/>
          <w:numId w:val="1"/>
        </w:numPr>
        <w:spacing w:line="360" w:lineRule="auto"/>
        <w:ind w:firstLine="560"/>
        <w:rPr>
          <w:color w:val="000000"/>
          <w:szCs w:val="28"/>
        </w:rPr>
      </w:pPr>
      <w:r>
        <w:rPr>
          <w:rFonts w:hint="eastAsia"/>
          <w:color w:val="000000"/>
        </w:rPr>
        <w:t>2019年重庆市沙坪坝区地灾汇总一览表</w:t>
      </w:r>
    </w:p>
    <w:p>
      <w:pPr>
        <w:numPr>
          <w:ilvl w:val="0"/>
          <w:numId w:val="1"/>
        </w:numPr>
        <w:spacing w:line="360" w:lineRule="auto"/>
        <w:ind w:firstLine="560"/>
        <w:rPr>
          <w:color w:val="000000"/>
        </w:rPr>
      </w:pPr>
      <w:r>
        <w:rPr>
          <w:rFonts w:hint="eastAsia"/>
          <w:color w:val="000000"/>
        </w:rPr>
        <w:t>沙坪坝区道路地质灾害分布及风险等级表</w:t>
      </w:r>
    </w:p>
    <w:p>
      <w:pPr>
        <w:spacing w:line="360" w:lineRule="auto"/>
        <w:ind w:firstLine="643"/>
        <w:rPr>
          <w:b/>
          <w:bCs/>
          <w:color w:val="000000"/>
          <w:sz w:val="32"/>
        </w:rPr>
      </w:pPr>
      <w:r>
        <w:rPr>
          <w:b/>
          <w:bCs/>
          <w:color w:val="000000"/>
          <w:sz w:val="32"/>
        </w:rPr>
        <w:t>附图：</w:t>
      </w:r>
    </w:p>
    <w:p>
      <w:pPr>
        <w:numPr>
          <w:ilvl w:val="0"/>
          <w:numId w:val="2"/>
        </w:numPr>
        <w:spacing w:line="360" w:lineRule="auto"/>
        <w:ind w:firstLine="560"/>
        <w:rPr>
          <w:color w:val="000000"/>
        </w:rPr>
      </w:pPr>
      <w:r>
        <w:rPr>
          <w:rFonts w:hint="eastAsia"/>
          <w:color w:val="000000"/>
        </w:rPr>
        <w:t>重庆市沙坪坝区地质灾害点分布图            1：50000</w:t>
      </w:r>
    </w:p>
    <w:p>
      <w:pPr>
        <w:numPr>
          <w:ilvl w:val="0"/>
          <w:numId w:val="2"/>
        </w:numPr>
        <w:spacing w:line="360" w:lineRule="auto"/>
        <w:ind w:firstLine="560"/>
        <w:rPr>
          <w:color w:val="000000"/>
        </w:rPr>
      </w:pPr>
      <w:r>
        <w:rPr>
          <w:rFonts w:hint="eastAsia"/>
          <w:color w:val="000000"/>
        </w:rPr>
        <w:t>重庆市沙坪坝区地质灾害易发程度分区图　　  1：50000</w:t>
      </w:r>
    </w:p>
    <w:p>
      <w:pPr>
        <w:numPr>
          <w:ilvl w:val="0"/>
          <w:numId w:val="2"/>
        </w:numPr>
        <w:spacing w:line="360" w:lineRule="auto"/>
        <w:ind w:firstLine="560"/>
        <w:rPr>
          <w:color w:val="000000"/>
        </w:rPr>
      </w:pPr>
      <w:r>
        <w:rPr>
          <w:rFonts w:hint="eastAsia"/>
          <w:color w:val="000000"/>
        </w:rPr>
        <w:t>重庆市沙坪坝区地质灾害防治分区图          1：50000</w:t>
      </w:r>
    </w:p>
    <w:p>
      <w:pPr>
        <w:spacing w:line="360" w:lineRule="auto"/>
        <w:ind w:firstLine="560"/>
        <w:rPr>
          <w:color w:val="000000"/>
        </w:rPr>
      </w:pPr>
    </w:p>
    <w:p>
      <w:pPr>
        <w:ind w:firstLine="560"/>
        <w:rPr>
          <w:color w:val="000000"/>
        </w:rPr>
        <w:sectPr>
          <w:headerReference r:id="rId11" w:type="default"/>
          <w:footerReference r:id="rId12" w:type="default"/>
          <w:pgSz w:w="11906" w:h="16838"/>
          <w:pgMar w:top="1418" w:right="1134" w:bottom="1418" w:left="1701" w:header="851" w:footer="992" w:gutter="0"/>
          <w:cols w:space="720" w:num="1"/>
          <w:docGrid w:linePitch="312" w:charSpace="0"/>
        </w:sectPr>
      </w:pPr>
      <w:bookmarkStart w:id="10" w:name="_Toc62098844"/>
      <w:bookmarkStart w:id="11" w:name="_Toc92983318"/>
      <w:bookmarkStart w:id="12" w:name="_Toc62098845"/>
    </w:p>
    <w:p>
      <w:pPr>
        <w:pStyle w:val="4"/>
        <w:spacing w:before="0" w:after="0" w:line="360" w:lineRule="auto"/>
        <w:rPr>
          <w:rFonts w:ascii="Times New Roman" w:hAnsi="Times New Roman"/>
          <w:bCs w:val="0"/>
          <w:color w:val="000000"/>
        </w:rPr>
      </w:pPr>
      <w:bookmarkStart w:id="13" w:name="_Toc29716"/>
      <w:r>
        <w:rPr>
          <w:rFonts w:ascii="Times New Roman" w:hAnsi="Times New Roman"/>
          <w:bCs w:val="0"/>
          <w:color w:val="000000"/>
        </w:rPr>
        <w:t>第一章  前    言</w:t>
      </w:r>
      <w:bookmarkEnd w:id="10"/>
      <w:bookmarkEnd w:id="11"/>
      <w:bookmarkEnd w:id="13"/>
    </w:p>
    <w:bookmarkEnd w:id="12"/>
    <w:p>
      <w:pPr>
        <w:keepNext/>
        <w:keepLines/>
        <w:ind w:firstLine="560"/>
        <w:rPr>
          <w:color w:val="000000"/>
        </w:rPr>
      </w:pPr>
      <w:r>
        <w:rPr>
          <w:color w:val="000000"/>
        </w:rPr>
        <w:t>为科学规划地质灾害防治工作，保护地质环境，避免和减轻地质灾害造成的损失，维护沙坪坝区人民生命财产安全，提高生活质量，保障经济和社会的可持续发展，重庆市</w:t>
      </w:r>
      <w:r>
        <w:rPr>
          <w:rFonts w:hint="eastAsia"/>
          <w:color w:val="000000"/>
        </w:rPr>
        <w:t>沙坪坝区规划和自然资源局组织编制了《重庆市沙坪坝区地质灾害防治规划》（2020-2023）。本规划是未来五年沙坪坝区地质灾害防治工作发展的蓝图，是政府履行公共服务职能，指导防灾减灾工作，利用公共财政资源，制定防灾减灾政策的重要依据。</w:t>
      </w:r>
    </w:p>
    <w:p>
      <w:pPr>
        <w:ind w:firstLine="560"/>
        <w:rPr>
          <w:color w:val="000000"/>
        </w:rPr>
      </w:pPr>
      <w:r>
        <w:rPr>
          <w:rFonts w:hint="eastAsia"/>
          <w:color w:val="000000"/>
        </w:rPr>
        <w:t>该规划主要依据根据《重庆市人民政府关于贯彻落实国务院关于加强地质灾害防治工作决定的实施意见(渝府发</w:t>
      </w:r>
      <w:r>
        <w:rPr>
          <w:rFonts w:hint="eastAsia" w:ascii="微软雅黑" w:hAnsi="微软雅黑" w:eastAsia="微软雅黑" w:cs="微软雅黑"/>
          <w:color w:val="000000"/>
          <w:sz w:val="24"/>
          <w:shd w:val="clear" w:color="auto" w:fill="FFFFFF"/>
        </w:rPr>
        <w:t>〔</w:t>
      </w:r>
      <w:r>
        <w:rPr>
          <w:rFonts w:hint="eastAsia"/>
          <w:color w:val="000000"/>
        </w:rPr>
        <w:t>2012</w:t>
      </w:r>
      <w:r>
        <w:rPr>
          <w:rFonts w:hint="eastAsia" w:ascii="微软雅黑" w:hAnsi="微软雅黑" w:eastAsia="微软雅黑" w:cs="微软雅黑"/>
          <w:color w:val="000000"/>
          <w:sz w:val="24"/>
          <w:shd w:val="clear" w:color="auto" w:fill="FFFFFF"/>
        </w:rPr>
        <w:t>〕</w:t>
      </w:r>
      <w:r>
        <w:rPr>
          <w:rFonts w:hint="eastAsia"/>
          <w:color w:val="000000"/>
        </w:rPr>
        <w:t>53)》、《重庆市地质灾害综合防治体系建设方案（2019-2023 》、《重庆市沙坪坝区国民经济和社会发展第十三个五年规划纲要》（沙坪坝府发〔2016〕6号），结合沙坪坝区实际，特制订本规划。</w:t>
      </w:r>
    </w:p>
    <w:p>
      <w:pPr>
        <w:ind w:firstLine="560"/>
        <w:rPr>
          <w:color w:val="000000"/>
        </w:rPr>
      </w:pPr>
      <w:r>
        <w:rPr>
          <w:rFonts w:hint="eastAsia"/>
          <w:color w:val="000000"/>
        </w:rPr>
        <w:t>规划主要针</w:t>
      </w:r>
      <w:r>
        <w:rPr>
          <w:color w:val="000000"/>
        </w:rPr>
        <w:t>《重庆市地质灾害防治条例》规定的地质灾害，</w:t>
      </w:r>
      <w:r>
        <w:rPr>
          <w:rFonts w:hint="eastAsia"/>
          <w:color w:val="000000"/>
        </w:rPr>
        <w:t>包括因自然因素或人为活动引发的，危害人民生命和财产安全的山体崩塌、滑坡、泥石流、地面塌陷、地裂缝、地面沉降等与地质作用有关的灾害并包括纳入三峡库区后续规划的地质灾害点。该规划基准年为2019年，规划期限为2020～2023年。</w:t>
      </w:r>
    </w:p>
    <w:p>
      <w:pPr>
        <w:ind w:firstLine="560"/>
        <w:rPr>
          <w:color w:val="000000"/>
        </w:rPr>
      </w:pPr>
      <w:r>
        <w:rPr>
          <w:color w:val="000000"/>
        </w:rPr>
        <w:t>本防治规划为动态规划，</w:t>
      </w:r>
      <w:r>
        <w:rPr>
          <w:rFonts w:hint="eastAsia"/>
          <w:color w:val="000000"/>
        </w:rPr>
        <w:t>对新发生的地质灾害点应首先建立群测群防监测，再根据具体情况对</w:t>
      </w:r>
      <w:r>
        <w:rPr>
          <w:color w:val="000000"/>
        </w:rPr>
        <w:t>一些危害性大</w:t>
      </w:r>
      <w:r>
        <w:rPr>
          <w:rFonts w:hint="eastAsia"/>
          <w:color w:val="000000"/>
        </w:rPr>
        <w:t>、</w:t>
      </w:r>
      <w:r>
        <w:rPr>
          <w:color w:val="000000"/>
        </w:rPr>
        <w:t>稳定性差的</w:t>
      </w:r>
      <w:r>
        <w:rPr>
          <w:rFonts w:hint="eastAsia"/>
          <w:color w:val="000000"/>
        </w:rPr>
        <w:t>地质</w:t>
      </w:r>
      <w:r>
        <w:rPr>
          <w:color w:val="000000"/>
        </w:rPr>
        <w:t>灾害点应采取</w:t>
      </w:r>
      <w:r>
        <w:rPr>
          <w:rFonts w:hint="eastAsia"/>
          <w:color w:val="000000"/>
        </w:rPr>
        <w:t>群测群防、专业监测、</w:t>
      </w:r>
      <w:r>
        <w:rPr>
          <w:color w:val="000000"/>
        </w:rPr>
        <w:t>搬迁避让、</w:t>
      </w:r>
      <w:r>
        <w:rPr>
          <w:rFonts w:hint="eastAsia"/>
          <w:color w:val="000000"/>
        </w:rPr>
        <w:t>应急排危、工程治理</w:t>
      </w:r>
      <w:r>
        <w:rPr>
          <w:color w:val="000000"/>
        </w:rPr>
        <w:t>等应急处理措施。</w:t>
      </w:r>
    </w:p>
    <w:p>
      <w:pPr>
        <w:pStyle w:val="4"/>
        <w:rPr>
          <w:color w:val="000000"/>
        </w:rPr>
        <w:sectPr>
          <w:headerReference r:id="rId13" w:type="default"/>
          <w:footerReference r:id="rId14" w:type="default"/>
          <w:pgSz w:w="11906" w:h="16838"/>
          <w:pgMar w:top="1418" w:right="1701" w:bottom="1418" w:left="1260" w:header="851" w:footer="992" w:gutter="0"/>
          <w:pgNumType w:start="1"/>
          <w:cols w:space="720" w:num="1"/>
          <w:docGrid w:type="lines" w:linePitch="312" w:charSpace="0"/>
        </w:sectPr>
      </w:pPr>
      <w:bookmarkStart w:id="14" w:name="_Toc92983335"/>
    </w:p>
    <w:p>
      <w:pPr>
        <w:pStyle w:val="4"/>
        <w:rPr>
          <w:color w:val="000000"/>
        </w:rPr>
      </w:pPr>
      <w:bookmarkStart w:id="15" w:name="_Toc29921"/>
      <w:r>
        <w:rPr>
          <w:color w:val="000000"/>
        </w:rPr>
        <w:t xml:space="preserve">第二章  </w:t>
      </w:r>
      <w:bookmarkStart w:id="16" w:name="_Hlt121106011"/>
      <w:bookmarkEnd w:id="16"/>
      <w:r>
        <w:rPr>
          <w:color w:val="000000"/>
        </w:rPr>
        <w:t>规划背景</w:t>
      </w:r>
      <w:bookmarkEnd w:id="14"/>
      <w:r>
        <w:rPr>
          <w:rFonts w:hint="eastAsia"/>
          <w:color w:val="000000"/>
        </w:rPr>
        <w:t>及趋势预测</w:t>
      </w:r>
      <w:bookmarkEnd w:id="15"/>
    </w:p>
    <w:p>
      <w:pPr>
        <w:pStyle w:val="5"/>
        <w:spacing w:line="396" w:lineRule="auto"/>
        <w:rPr>
          <w:rFonts w:ascii="Times New Roman" w:hAnsi="Times New Roman"/>
          <w:color w:val="000000"/>
          <w:sz w:val="30"/>
          <w:szCs w:val="30"/>
        </w:rPr>
      </w:pPr>
      <w:bookmarkStart w:id="17" w:name="_Hlt81024247"/>
      <w:bookmarkEnd w:id="17"/>
      <w:bookmarkStart w:id="18" w:name="_Toc4189"/>
      <w:r>
        <w:rPr>
          <w:rFonts w:ascii="Times New Roman" w:hAnsi="Times New Roman"/>
          <w:color w:val="000000"/>
          <w:sz w:val="30"/>
          <w:szCs w:val="30"/>
        </w:rPr>
        <w:t xml:space="preserve">第一节  </w:t>
      </w:r>
      <w:r>
        <w:rPr>
          <w:rFonts w:hint="eastAsia" w:ascii="Times New Roman" w:hAnsi="Times New Roman"/>
          <w:color w:val="000000"/>
          <w:sz w:val="30"/>
          <w:szCs w:val="30"/>
        </w:rPr>
        <w:t>沙坪坝区十三五发展目标</w:t>
      </w:r>
      <w:bookmarkEnd w:id="18"/>
    </w:p>
    <w:p>
      <w:pPr>
        <w:ind w:firstLine="560"/>
        <w:rPr>
          <w:color w:val="000000"/>
        </w:rPr>
      </w:pPr>
      <w:bookmarkStart w:id="19" w:name="_Hlt85360153"/>
      <w:bookmarkEnd w:id="19"/>
      <w:r>
        <w:rPr>
          <w:rFonts w:hint="eastAsia"/>
          <w:color w:val="000000"/>
        </w:rPr>
        <w:t>根据</w:t>
      </w:r>
      <w:r>
        <w:rPr>
          <w:color w:val="000000"/>
        </w:rPr>
        <w:t>《重庆市沙坪坝区国民经济与社会发展第十</w:t>
      </w:r>
      <w:r>
        <w:rPr>
          <w:rFonts w:hint="eastAsia"/>
          <w:color w:val="000000"/>
        </w:rPr>
        <w:t>三</w:t>
      </w:r>
      <w:r>
        <w:rPr>
          <w:color w:val="000000"/>
        </w:rPr>
        <w:t>个五年规划纲要》</w:t>
      </w:r>
      <w:r>
        <w:rPr>
          <w:rFonts w:hint="eastAsia"/>
          <w:color w:val="000000"/>
        </w:rPr>
        <w:t>的</w:t>
      </w:r>
      <w:r>
        <w:rPr>
          <w:color w:val="000000"/>
        </w:rPr>
        <w:t>指导思想和基本要求，坚持和完善沙坪坝区经过多年探索形成的发展思路，综合考虑外部环境变量和内部发展条件，“十三五”发展目标是：</w:t>
      </w:r>
    </w:p>
    <w:p>
      <w:pPr>
        <w:ind w:firstLine="560"/>
        <w:rPr>
          <w:color w:val="000000"/>
        </w:rPr>
      </w:pPr>
      <w:r>
        <w:rPr>
          <w:color w:val="000000"/>
        </w:rPr>
        <w:t>保持经济社会平稳较快发展，提高发展质量和效益，提升城市品质，改善宜居环境，建设创新开放的科教文化区，成为“一中心两基地一高地”，确保如期全面建成小康社会。</w:t>
      </w:r>
    </w:p>
    <w:p>
      <w:pPr>
        <w:ind w:firstLine="560"/>
        <w:rPr>
          <w:color w:val="000000"/>
        </w:rPr>
      </w:pPr>
      <w:r>
        <w:rPr>
          <w:rFonts w:hint="eastAsia"/>
          <w:color w:val="000000"/>
        </w:rPr>
        <w:t>1.</w:t>
      </w:r>
      <w:r>
        <w:rPr>
          <w:color w:val="000000"/>
        </w:rPr>
        <w:t>经济发展再上新台阶。经济保持中高速增长，发展的平衡性、包容性和可持续性不断增强，GDP年均增长9%左右。到2017年，GDP和常住居民人均可支配收入比2010年翻一番；到“十三五”末期GDP突破1000亿元</w:t>
      </w:r>
      <w:r>
        <w:rPr>
          <w:rFonts w:hint="eastAsia"/>
          <w:color w:val="000000"/>
        </w:rPr>
        <w:t>，力争实现1100亿元</w:t>
      </w:r>
      <w:r>
        <w:rPr>
          <w:color w:val="000000"/>
        </w:rPr>
        <w:t>。科教文卫的优势更加彰显，文化旅游、健康服务、教育培训等特色服务业成为支柱，商贸商务、金融、现代物流等传统优势服务业进一步巩固，现代服务业占比提升，装备制造、电子信息等产业竞争力显著增强，战略性新兴产业加快发展，加快成为重庆市科教文卫中心和现代产业基地。</w:t>
      </w:r>
    </w:p>
    <w:p>
      <w:pPr>
        <w:ind w:firstLine="560"/>
        <w:rPr>
          <w:color w:val="000000"/>
        </w:rPr>
      </w:pPr>
      <w:r>
        <w:rPr>
          <w:rFonts w:hint="eastAsia"/>
          <w:color w:val="000000"/>
        </w:rPr>
        <w:t>2.</w:t>
      </w:r>
      <w:r>
        <w:rPr>
          <w:color w:val="000000"/>
        </w:rPr>
        <w:t>开放创新取得新突破。口岸经济高地优势更加凸显，进出口总额全市占比35%以上，外贸产品多元化，外贸结构更加优化，构建起全方位、多层次、宽领域的开放格局，建成内陆开放高地。创新环境持续优化，创新人才加快集聚，科技成果加速转化，全社会研究开发经费支出占GDP比重2.5%以上，成为西部创新基地。</w:t>
      </w:r>
    </w:p>
    <w:p>
      <w:pPr>
        <w:ind w:firstLine="560"/>
        <w:rPr>
          <w:color w:val="000000"/>
        </w:rPr>
      </w:pPr>
      <w:r>
        <w:rPr>
          <w:rFonts w:hint="eastAsia"/>
          <w:color w:val="000000"/>
        </w:rPr>
        <w:t>3.</w:t>
      </w:r>
      <w:r>
        <w:rPr>
          <w:color w:val="000000"/>
        </w:rPr>
        <w:t>城市建设展示新形象。尊重城市发展规律，东部城区旧城改造和片区开发全面提速，井双、上新等老旧片区的新城形态初显，努力建成全市展示历史人文、美丽山水和现代都市风貌的名片；西部新城配套设施日臻完善，成为彰显产城融合、宜居宜业特色的现代化新城区。城市建成区面积、公共绿地持续扩大，实现城市紧凑节约、高效绿色发展，构建起规范、高效、智慧、统筹的现代化城市管理模式，城市对现代产业发展的支撑作用明显增强。</w:t>
      </w:r>
    </w:p>
    <w:p>
      <w:pPr>
        <w:ind w:firstLine="560"/>
        <w:rPr>
          <w:color w:val="000000"/>
        </w:rPr>
      </w:pPr>
      <w:r>
        <w:rPr>
          <w:rFonts w:hint="eastAsia"/>
          <w:color w:val="000000"/>
        </w:rPr>
        <w:t>4.</w:t>
      </w:r>
      <w:r>
        <w:rPr>
          <w:color w:val="000000"/>
        </w:rPr>
        <w:t>社会治理取得新成效。完善和创新社会治理，街镇统揽辖区社会事务能力更强，构建起高效便捷的网格化管理和社会化服务体系、全方位立体化的公共安全体系，社会矛盾纠纷调处机制更加健全，亿元GDP生产安全事故死亡率控制在4%以下，司法公正得到切实保障，人民群众安全感、满意度进一步提升。</w:t>
      </w:r>
    </w:p>
    <w:p>
      <w:pPr>
        <w:ind w:firstLine="560"/>
        <w:rPr>
          <w:color w:val="000000"/>
        </w:rPr>
      </w:pPr>
      <w:r>
        <w:rPr>
          <w:rFonts w:hint="eastAsia"/>
          <w:color w:val="000000"/>
        </w:rPr>
        <w:t>5.</w:t>
      </w:r>
      <w:r>
        <w:rPr>
          <w:color w:val="000000"/>
        </w:rPr>
        <w:t>民生事业获得新改善。城镇就业更加充分，社会保障水平稳步提高，教育、文化、卫生、体育等社会事业加快发展，初步实现城乡基本公共服务标准化、均等化。市民生活质量、健康水平、文明素质明显提高，创建全国文明城市提名城区。</w:t>
      </w:r>
    </w:p>
    <w:p>
      <w:pPr>
        <w:ind w:firstLine="560"/>
        <w:rPr>
          <w:color w:val="000000"/>
        </w:rPr>
      </w:pPr>
      <w:r>
        <w:rPr>
          <w:rFonts w:hint="eastAsia"/>
          <w:color w:val="000000"/>
        </w:rPr>
        <w:t>6.</w:t>
      </w:r>
      <w:r>
        <w:rPr>
          <w:color w:val="000000"/>
        </w:rPr>
        <w:t>生态环境实现新提升。成功创建国家卫生城区，生产和生活方式绿色化、低碳化水平明显提升，“一江两山多廊道”的生态体系巩固优化。单位GDP能耗、二氧化碳排放强度、主要污染物排放总量达到控制要求，森林覆盖率保持在27.5%以上，“十三五”期间空气环境质量优良以上天数保持在</w:t>
      </w:r>
      <w:r>
        <w:rPr>
          <w:rFonts w:hint="eastAsia"/>
          <w:color w:val="000000"/>
        </w:rPr>
        <w:t>市政府下达的空气质量目标任务</w:t>
      </w:r>
      <w:r>
        <w:rPr>
          <w:color w:val="000000"/>
        </w:rPr>
        <w:t>以上，基本消除区域内劣V 类水体，中部地区生态环境基本得以修复。</w:t>
      </w:r>
    </w:p>
    <w:p>
      <w:pPr>
        <w:ind w:firstLine="560"/>
      </w:pPr>
    </w:p>
    <w:bookmarkEnd w:id="5"/>
    <w:bookmarkEnd w:id="6"/>
    <w:bookmarkEnd w:id="7"/>
    <w:bookmarkEnd w:id="8"/>
    <w:p>
      <w:pPr>
        <w:pStyle w:val="5"/>
        <w:rPr>
          <w:rFonts w:ascii="Times New Roman" w:hAnsi="Times New Roman"/>
          <w:color w:val="000000"/>
          <w:sz w:val="30"/>
          <w:szCs w:val="30"/>
        </w:rPr>
      </w:pPr>
      <w:bookmarkStart w:id="20" w:name="_Toc305"/>
      <w:bookmarkStart w:id="21" w:name="_Toc329604295"/>
      <w:bookmarkStart w:id="22" w:name="_Toc298832057"/>
      <w:bookmarkStart w:id="23" w:name="_Toc332789267"/>
      <w:bookmarkStart w:id="24" w:name="_Toc333392544"/>
      <w:bookmarkStart w:id="25" w:name="_Toc193701751"/>
      <w:bookmarkStart w:id="26" w:name="_Toc326329004"/>
      <w:bookmarkStart w:id="27" w:name="_Toc323374865"/>
      <w:bookmarkStart w:id="28" w:name="_Toc305943802"/>
      <w:bookmarkStart w:id="29" w:name="_Toc304921115"/>
      <w:bookmarkStart w:id="30" w:name="_Toc305943648"/>
      <w:r>
        <w:rPr>
          <w:rFonts w:ascii="Times New Roman" w:hAnsi="Times New Roman"/>
          <w:color w:val="000000"/>
          <w:sz w:val="30"/>
          <w:szCs w:val="30"/>
        </w:rPr>
        <w:t>第</w:t>
      </w:r>
      <w:r>
        <w:rPr>
          <w:rFonts w:hint="eastAsia" w:ascii="Times New Roman" w:hAnsi="Times New Roman"/>
          <w:color w:val="000000"/>
          <w:sz w:val="30"/>
          <w:szCs w:val="30"/>
        </w:rPr>
        <w:t>二</w:t>
      </w:r>
      <w:r>
        <w:rPr>
          <w:rFonts w:ascii="Times New Roman" w:hAnsi="Times New Roman"/>
          <w:color w:val="000000"/>
          <w:sz w:val="30"/>
          <w:szCs w:val="30"/>
        </w:rPr>
        <w:t xml:space="preserve">节  </w:t>
      </w:r>
      <w:r>
        <w:rPr>
          <w:rFonts w:hint="eastAsia" w:ascii="Times New Roman" w:hAnsi="Times New Roman"/>
          <w:color w:val="000000"/>
          <w:sz w:val="30"/>
          <w:szCs w:val="30"/>
        </w:rPr>
        <w:t>上</w:t>
      </w:r>
      <w:r>
        <w:rPr>
          <w:rFonts w:hint="eastAsia" w:ascii="Times New Roman"/>
          <w:color w:val="000000"/>
        </w:rPr>
        <w:t>一轮规划</w:t>
      </w:r>
      <w:r>
        <w:rPr>
          <w:rFonts w:ascii="Times New Roman" w:hAnsi="Times New Roman"/>
          <w:color w:val="000000"/>
          <w:sz w:val="30"/>
          <w:szCs w:val="30"/>
        </w:rPr>
        <w:t>地质灾害防治</w:t>
      </w:r>
      <w:r>
        <w:rPr>
          <w:rFonts w:hint="eastAsia" w:ascii="Times New Roman" w:hAnsi="Times New Roman"/>
          <w:color w:val="000000"/>
          <w:sz w:val="30"/>
          <w:szCs w:val="30"/>
        </w:rPr>
        <w:t>回顾</w:t>
      </w:r>
      <w:bookmarkEnd w:id="20"/>
    </w:p>
    <w:p>
      <w:pPr>
        <w:ind w:firstLine="560"/>
        <w:rPr>
          <w:color w:val="000000"/>
        </w:rPr>
      </w:pPr>
      <w:r>
        <w:rPr>
          <w:color w:val="000000"/>
        </w:rPr>
        <w:t>在区委、区政府的统一领导下，通过各部门大力配合与协助，</w:t>
      </w:r>
      <w:r>
        <w:rPr>
          <w:rFonts w:hint="eastAsia"/>
          <w:color w:val="000000"/>
        </w:rPr>
        <w:t>上一轮规划</w:t>
      </w:r>
      <w:r>
        <w:rPr>
          <w:color w:val="000000"/>
        </w:rPr>
        <w:t>期间沙坪坝区在地质环境</w:t>
      </w:r>
      <w:r>
        <w:rPr>
          <w:rFonts w:hint="eastAsia"/>
          <w:color w:val="000000"/>
        </w:rPr>
        <w:t>保护、地质灾害防治、保护人民生命财产安全、促进社会经济发展和进步等方面作了大量的工作，同时取得了显著的成绩，其主要体现在以下几个方面。</w:t>
      </w:r>
    </w:p>
    <w:p>
      <w:pPr>
        <w:pStyle w:val="6"/>
        <w:rPr>
          <w:rFonts w:ascii="Times New Roman" w:eastAsia="宋体"/>
          <w:color w:val="000000"/>
        </w:rPr>
      </w:pPr>
      <w:bookmarkStart w:id="31" w:name="_Toc305943646"/>
      <w:bookmarkStart w:id="32" w:name="_Toc333392542"/>
      <w:bookmarkStart w:id="33" w:name="_Toc323374863"/>
      <w:bookmarkStart w:id="34" w:name="_Toc298832055"/>
      <w:bookmarkStart w:id="35" w:name="_Toc326329002"/>
      <w:bookmarkStart w:id="36" w:name="_Toc305943800"/>
      <w:bookmarkStart w:id="37" w:name="_Toc329604293"/>
      <w:bookmarkStart w:id="38" w:name="_Toc332789265"/>
      <w:bookmarkStart w:id="39" w:name="_Toc193701749"/>
      <w:bookmarkStart w:id="40" w:name="_Toc304921113"/>
      <w:r>
        <w:rPr>
          <w:rFonts w:ascii="Times New Roman" w:eastAsia="宋体"/>
          <w:color w:val="000000"/>
        </w:rPr>
        <w:t>一、 基础地质工作得到了加强</w:t>
      </w:r>
      <w:bookmarkEnd w:id="31"/>
      <w:bookmarkEnd w:id="32"/>
      <w:bookmarkEnd w:id="33"/>
      <w:bookmarkEnd w:id="34"/>
      <w:bookmarkEnd w:id="35"/>
      <w:bookmarkEnd w:id="36"/>
      <w:bookmarkEnd w:id="37"/>
      <w:bookmarkEnd w:id="38"/>
      <w:bookmarkEnd w:id="39"/>
      <w:bookmarkEnd w:id="40"/>
    </w:p>
    <w:p>
      <w:pPr>
        <w:ind w:firstLine="560"/>
        <w:rPr>
          <w:color w:val="000000"/>
        </w:rPr>
      </w:pPr>
      <w:r>
        <w:rPr>
          <w:color w:val="000000"/>
        </w:rPr>
        <w:t>沙坪坝区委、区政府、</w:t>
      </w:r>
      <w:r>
        <w:rPr>
          <w:rFonts w:hint="eastAsia"/>
          <w:color w:val="000000"/>
        </w:rPr>
        <w:t>区规划和自然资源局</w:t>
      </w:r>
      <w:r>
        <w:rPr>
          <w:color w:val="000000"/>
        </w:rPr>
        <w:t>及相关部门对沙坪坝区的地质灾害防治工作非常重视，20</w:t>
      </w:r>
      <w:r>
        <w:rPr>
          <w:rFonts w:hint="eastAsia"/>
          <w:color w:val="000000"/>
        </w:rPr>
        <w:t>15—2019年</w:t>
      </w:r>
      <w:r>
        <w:rPr>
          <w:color w:val="000000"/>
        </w:rPr>
        <w:t>委托重庆市</w:t>
      </w:r>
      <w:r>
        <w:rPr>
          <w:rFonts w:hint="eastAsia"/>
          <w:color w:val="000000"/>
        </w:rPr>
        <w:t>地质矿产勘查开发局南江水文地质工程地质队</w:t>
      </w:r>
      <w:r>
        <w:rPr>
          <w:color w:val="000000"/>
        </w:rPr>
        <w:t>、</w:t>
      </w:r>
      <w:r>
        <w:rPr>
          <w:rFonts w:hint="eastAsia"/>
          <w:color w:val="000000"/>
        </w:rPr>
        <w:t>重庆市地勘局川东南地质大队、208地质队</w:t>
      </w:r>
      <w:r>
        <w:rPr>
          <w:color w:val="000000"/>
        </w:rPr>
        <w:t>等专业队伍</w:t>
      </w:r>
      <w:r>
        <w:rPr>
          <w:rFonts w:hint="eastAsia"/>
          <w:color w:val="000000"/>
        </w:rPr>
        <w:t>及“四重网格化”人员</w:t>
      </w:r>
      <w:r>
        <w:rPr>
          <w:color w:val="000000"/>
        </w:rPr>
        <w:t>对沙坪坝区的地质灾害进行了</w:t>
      </w:r>
      <w:r>
        <w:rPr>
          <w:rFonts w:hint="eastAsia"/>
          <w:color w:val="000000"/>
        </w:rPr>
        <w:t>地质灾害排查</w:t>
      </w:r>
      <w:r>
        <w:rPr>
          <w:color w:val="000000"/>
        </w:rPr>
        <w:t>、群测群防达标建设等大面积的地质灾害隐患点排查和地质灾害防治工作，对部分地质灾害已经安排专项资金进行了勘察、设计和治理。通过这些基础工作初步查明了全区地质灾害发育特征及分布规律，为开展地质灾害防治工作奠定了基础。</w:t>
      </w:r>
    </w:p>
    <w:p>
      <w:pPr>
        <w:pStyle w:val="6"/>
        <w:rPr>
          <w:rFonts w:ascii="Times New Roman" w:eastAsia="宋体"/>
          <w:color w:val="000000"/>
        </w:rPr>
      </w:pPr>
      <w:r>
        <w:rPr>
          <w:rFonts w:ascii="Times New Roman" w:eastAsia="宋体"/>
          <w:color w:val="000000"/>
        </w:rPr>
        <w:t xml:space="preserve">二、 </w:t>
      </w:r>
      <w:r>
        <w:rPr>
          <w:rFonts w:hint="eastAsia" w:ascii="Times New Roman" w:eastAsia="宋体"/>
          <w:color w:val="000000"/>
        </w:rPr>
        <w:t>健全完善“四重”网格化监测预警机制</w:t>
      </w:r>
    </w:p>
    <w:p>
      <w:pPr>
        <w:ind w:firstLine="560"/>
        <w:rPr>
          <w:color w:val="000000"/>
        </w:rPr>
      </w:pPr>
      <w:r>
        <w:rPr>
          <w:rFonts w:hint="eastAsia"/>
          <w:color w:val="000000"/>
        </w:rPr>
        <w:t>强化群专结合“四重”网格化监测预警。借鉴社会治安网格化管理理念，按照群专结合管理思路，2015 年建立了地质灾害防治“四重”网格化监测预警体系，2020年行政区调整后沙坪坝区四重网格人员“四重”网格员（不含高新区人员）215人（183名地质灾害群测群防员、22名片区负责人、6 名驻守地质队员、4名地环站专职工作人员）。</w:t>
      </w:r>
    </w:p>
    <w:p>
      <w:pPr>
        <w:pStyle w:val="6"/>
        <w:rPr>
          <w:rFonts w:ascii="Times New Roman" w:eastAsia="宋体"/>
          <w:color w:val="000000"/>
        </w:rPr>
      </w:pPr>
      <w:bookmarkStart w:id="41" w:name="_Toc305943647"/>
      <w:bookmarkStart w:id="42" w:name="_Toc304921114"/>
      <w:bookmarkStart w:id="43" w:name="_Toc305943801"/>
      <w:bookmarkStart w:id="44" w:name="_Toc323374864"/>
      <w:bookmarkStart w:id="45" w:name="_Toc193701750"/>
      <w:bookmarkStart w:id="46" w:name="_Toc298832056"/>
      <w:bookmarkStart w:id="47" w:name="_Toc333392543"/>
      <w:bookmarkStart w:id="48" w:name="_Toc326329003"/>
      <w:bookmarkStart w:id="49" w:name="_Toc332789266"/>
      <w:bookmarkStart w:id="50" w:name="_Toc329604294"/>
      <w:r>
        <w:rPr>
          <w:rFonts w:hint="eastAsia" w:ascii="Times New Roman" w:eastAsia="宋体"/>
          <w:color w:val="000000"/>
        </w:rPr>
        <w:t>三</w:t>
      </w:r>
      <w:r>
        <w:rPr>
          <w:rFonts w:ascii="Times New Roman" w:eastAsia="宋体"/>
          <w:color w:val="000000"/>
        </w:rPr>
        <w:t xml:space="preserve">、 </w:t>
      </w:r>
      <w:bookmarkEnd w:id="41"/>
      <w:bookmarkEnd w:id="42"/>
      <w:bookmarkEnd w:id="43"/>
      <w:bookmarkEnd w:id="44"/>
      <w:bookmarkEnd w:id="45"/>
      <w:bookmarkEnd w:id="46"/>
      <w:r>
        <w:rPr>
          <w:rFonts w:ascii="Times New Roman" w:eastAsia="宋体"/>
          <w:color w:val="000000"/>
        </w:rPr>
        <w:t>建立了地质灾害防治管理机构</w:t>
      </w:r>
      <w:bookmarkEnd w:id="47"/>
      <w:bookmarkEnd w:id="48"/>
      <w:bookmarkEnd w:id="49"/>
      <w:bookmarkEnd w:id="50"/>
    </w:p>
    <w:p>
      <w:pPr>
        <w:ind w:firstLine="560"/>
        <w:rPr>
          <w:color w:val="000000"/>
        </w:rPr>
      </w:pPr>
      <w:r>
        <w:rPr>
          <w:color w:val="000000"/>
        </w:rPr>
        <w:t>按照地质灾害防治法律法规的规定和要求，沙坪坝区人民政府成立了地质灾害防治工作领导小组，</w:t>
      </w:r>
      <w:r>
        <w:rPr>
          <w:rFonts w:hint="eastAsia"/>
          <w:color w:val="000000"/>
        </w:rPr>
        <w:t>2016年建成沙坪坝区地质灾害应急指挥中心24小时运行、</w:t>
      </w:r>
      <w:r>
        <w:rPr>
          <w:color w:val="000000"/>
        </w:rPr>
        <w:t>建立了地质灾害防灾预案制度、地质灾害速报制度、险情巡查制度及汛期24小时值班制度，工程建设中实行了建设用地地质环境影响评估制度等，地质环境与地质灾害管理已基本步入正轨，管理职能逐步得到加强与完善。</w:t>
      </w:r>
    </w:p>
    <w:p>
      <w:pPr>
        <w:pStyle w:val="6"/>
        <w:rPr>
          <w:rFonts w:ascii="Times New Roman" w:eastAsia="宋体"/>
        </w:rPr>
      </w:pPr>
      <w:r>
        <w:rPr>
          <w:rFonts w:hint="eastAsia" w:ascii="Times New Roman" w:eastAsia="宋体"/>
        </w:rPr>
        <w:t>四</w:t>
      </w:r>
      <w:r>
        <w:rPr>
          <w:rFonts w:ascii="Times New Roman" w:eastAsia="宋体"/>
        </w:rPr>
        <w:t>、 防治工作初见成效</w:t>
      </w:r>
      <w:bookmarkEnd w:id="21"/>
      <w:bookmarkEnd w:id="22"/>
      <w:bookmarkEnd w:id="23"/>
      <w:bookmarkEnd w:id="24"/>
      <w:bookmarkEnd w:id="25"/>
      <w:bookmarkEnd w:id="26"/>
      <w:bookmarkEnd w:id="27"/>
      <w:bookmarkEnd w:id="28"/>
      <w:bookmarkEnd w:id="29"/>
      <w:bookmarkEnd w:id="30"/>
    </w:p>
    <w:p>
      <w:pPr>
        <w:ind w:firstLine="560"/>
        <w:rPr>
          <w:color w:val="000000"/>
        </w:rPr>
      </w:pPr>
      <w:r>
        <w:rPr>
          <w:color w:val="000000"/>
        </w:rPr>
        <w:t>沙坪坝区政府对地质环境保护和地质灾害防治工作非常重视，基本做到了“四到位”和 “八落实”；初步建立了适合本区实际情况的地质灾害群测群防网络，对本区存在的地质灾害开展了群测群防工作，并已建立一个专业实时监测点，同时对重大地质灾害进行了专门的监测预警工作。</w:t>
      </w:r>
    </w:p>
    <w:p>
      <w:pPr>
        <w:ind w:firstLine="560"/>
      </w:pPr>
      <w:r>
        <w:rPr>
          <w:rFonts w:hint="eastAsia"/>
        </w:rPr>
        <w:t>上一轮规划初期，我区查明地质灾害隐患点255处，涉及城镇、学校、公路、厂矿等，直接威胁9408人生命财产安全。至上一轮规划末，通过搬迁避让、工程治理、监测预警等地质灾害防治手段，消除地质灾害安全隐患51处，加上正在治理工程，保护了近2000余人生命财产安全。经过上一轮规划地质灾害防治，截止2018年12月，我区地质灾害隐患点206处（含高新区地灾点30处），较2015年时减少19.20%，地质灾害防治工作取得显著成效。</w:t>
      </w:r>
    </w:p>
    <w:p>
      <w:pPr>
        <w:ind w:firstLine="560"/>
        <w:rPr>
          <w:color w:val="000000"/>
        </w:rPr>
      </w:pPr>
      <w:r>
        <w:rPr>
          <w:rFonts w:hint="eastAsia"/>
          <w:color w:val="000000"/>
        </w:rPr>
        <w:t>同时全面落实三峡库区175米蓄水期间地质灾害安全监测与防范措施，确保三峡工程蓄水期间地质灾害零伤亡目标的实现。认真做好三峡库区地质灾害后续工作，继续围绕“蓄降水地质灾害安全监测与防范、抓紧建立库区地质灾害防治长效机制”两大主题，集中力量继续做好三峡库区地质灾害防治工作，认真完成三峡库区地质灾害防治后续规划中的治理工作。</w:t>
      </w:r>
    </w:p>
    <w:p>
      <w:pPr>
        <w:ind w:firstLine="560"/>
        <w:rPr>
          <w:color w:val="000000"/>
        </w:rPr>
      </w:pPr>
      <w:r>
        <w:rPr>
          <w:rFonts w:hint="eastAsia"/>
          <w:color w:val="000000"/>
        </w:rPr>
        <w:t>上一轮规划期间逐步建成适应公共管理需要的地质灾害应急管理机构、应急平台、应急技术机构和救援队伍。</w:t>
      </w:r>
    </w:p>
    <w:p>
      <w:pPr>
        <w:ind w:firstLine="560"/>
        <w:rPr>
          <w:color w:val="000000"/>
        </w:rPr>
      </w:pPr>
      <w:bookmarkStart w:id="51" w:name="_Toc333392545"/>
      <w:bookmarkStart w:id="52" w:name="_Toc332789268"/>
      <w:r>
        <w:rPr>
          <w:rFonts w:hint="eastAsia"/>
          <w:color w:val="000000"/>
        </w:rPr>
        <w:t>1. 建立区级地质灾害应急指挥中心，镇街建立相应机构。</w:t>
      </w:r>
    </w:p>
    <w:p>
      <w:pPr>
        <w:ind w:firstLine="560"/>
        <w:rPr>
          <w:color w:val="000000"/>
        </w:rPr>
      </w:pPr>
      <w:r>
        <w:rPr>
          <w:rFonts w:hint="eastAsia"/>
          <w:color w:val="000000"/>
        </w:rPr>
        <w:t>2. 建立应急平台，针对本区域重点监测、防治的地质灾害信息进行接报处理、远程会商、应急处置，与市级相应平台实现互联互通。</w:t>
      </w:r>
    </w:p>
    <w:p>
      <w:pPr>
        <w:ind w:firstLine="560"/>
        <w:rPr>
          <w:color w:val="000000"/>
        </w:rPr>
      </w:pPr>
      <w:r>
        <w:rPr>
          <w:rFonts w:hint="eastAsia"/>
          <w:color w:val="000000"/>
        </w:rPr>
        <w:t>3. 安排专业的技术支撑单位对我区地质灾害进行技术指导与服务，同时在此基础上成立区级专家库。</w:t>
      </w:r>
    </w:p>
    <w:p>
      <w:pPr>
        <w:ind w:firstLine="560"/>
        <w:rPr>
          <w:color w:val="000000"/>
        </w:rPr>
      </w:pPr>
      <w:r>
        <w:rPr>
          <w:rFonts w:hint="eastAsia"/>
          <w:color w:val="000000"/>
        </w:rPr>
        <w:t>4. 组织规划和自然资源部门、公安、武警、卫生等部门成立我区地质灾害应急救援队，承担我区地质灾害应急救援及综合管理。</w:t>
      </w:r>
    </w:p>
    <w:p>
      <w:pPr>
        <w:ind w:firstLine="560"/>
        <w:rPr>
          <w:color w:val="000000"/>
        </w:rPr>
      </w:pPr>
      <w:r>
        <w:rPr>
          <w:rFonts w:hint="eastAsia"/>
          <w:color w:val="000000"/>
        </w:rPr>
        <w:t>逐步完善地质灾害信息一张图工作并多次进行手持终端培训。2015年汛期以来，组织6名驻守地质队员对每个地质灾害隐患点进行现场核实，单点应急演练，并将所有信息上传重庆市地灾防治信息中心；由区地质环境监测站主持，驻守单位牵头进行监测人员手持终端、防灾减灾知识的培训以及汛前排查和人工堆积体隐患排查等工作。</w:t>
      </w:r>
    </w:p>
    <w:p>
      <w:pPr>
        <w:ind w:firstLine="560"/>
        <w:rPr>
          <w:color w:val="000000"/>
        </w:rPr>
      </w:pPr>
      <w:r>
        <w:rPr>
          <w:rFonts w:hint="eastAsia"/>
          <w:color w:val="000000"/>
        </w:rPr>
        <w:t>同时我区地质灾害防治工作管理体制机制逐步完善，形成政府领导、部门分工负责、群众广泛参与的地质灾害防治工作新格局。形成以沙坪坝区规划和自然资源局为主，数个事业单位为支撑，三支地勘队伍为依托的地质灾害防治机构体系，设立地质灾害防治专项资金，地质灾害防治工作得到全面推进。</w:t>
      </w:r>
    </w:p>
    <w:bookmarkEnd w:id="9"/>
    <w:bookmarkEnd w:id="51"/>
    <w:bookmarkEnd w:id="52"/>
    <w:p>
      <w:pPr>
        <w:pStyle w:val="6"/>
        <w:rPr>
          <w:rFonts w:ascii="Times New Roman" w:eastAsia="宋体"/>
          <w:color w:val="000000"/>
        </w:rPr>
      </w:pPr>
      <w:bookmarkStart w:id="53" w:name="_Toc301281401"/>
      <w:r>
        <w:rPr>
          <w:rFonts w:hint="eastAsia" w:ascii="Times New Roman" w:eastAsia="宋体"/>
          <w:color w:val="000000"/>
        </w:rPr>
        <w:t>五</w:t>
      </w:r>
      <w:r>
        <w:rPr>
          <w:rFonts w:ascii="Times New Roman" w:eastAsia="宋体"/>
          <w:color w:val="000000"/>
        </w:rPr>
        <w:t xml:space="preserve">、 </w:t>
      </w:r>
      <w:r>
        <w:rPr>
          <w:rFonts w:hint="eastAsia" w:ascii="Times New Roman" w:eastAsia="宋体"/>
          <w:color w:val="000000"/>
        </w:rPr>
        <w:t>存在的主要问题</w:t>
      </w:r>
    </w:p>
    <w:p>
      <w:pPr>
        <w:ind w:firstLine="560"/>
        <w:rPr>
          <w:color w:val="000000"/>
        </w:rPr>
      </w:pPr>
      <w:r>
        <w:rPr>
          <w:rFonts w:hint="eastAsia"/>
          <w:color w:val="000000"/>
        </w:rPr>
        <w:t>（一）</w:t>
      </w:r>
      <w:r>
        <w:rPr>
          <w:color w:val="000000"/>
        </w:rPr>
        <w:t>沙坪坝区地质灾害防治的经费投入不足，地质灾害防治资金远不能满足当前地质灾害防治工作的需要。</w:t>
      </w:r>
    </w:p>
    <w:p>
      <w:pPr>
        <w:ind w:firstLine="560"/>
        <w:rPr>
          <w:color w:val="000000"/>
        </w:rPr>
      </w:pPr>
      <w:r>
        <w:rPr>
          <w:rFonts w:hint="eastAsia"/>
          <w:color w:val="000000"/>
        </w:rPr>
        <w:t>（二）城市、交通及水利等工程建设活动特别是地下隧道的建设引发地质灾害防治形势依然严峻。我区是重庆市主城区的主要构成部分，人口密度大，在快速推进城市化、工业化和城乡统筹一体化过程中，开挖隧道、削坡切脚等破坏地质环境的工程建设活动将不可避免，且更趋强烈，引发地质灾害的可能性加大。</w:t>
      </w:r>
    </w:p>
    <w:p>
      <w:pPr>
        <w:ind w:firstLine="560"/>
        <w:rPr>
          <w:color w:val="000000"/>
        </w:rPr>
      </w:pPr>
      <w:r>
        <w:rPr>
          <w:rFonts w:hint="eastAsia"/>
          <w:color w:val="000000"/>
        </w:rPr>
        <w:t>（三）</w:t>
      </w:r>
      <w:r>
        <w:rPr>
          <w:color w:val="000000"/>
        </w:rPr>
        <w:t>农村居民点的居民受经济条件制约，搬迁难度大</w:t>
      </w:r>
      <w:r>
        <w:rPr>
          <w:rFonts w:hint="eastAsia"/>
          <w:color w:val="000000"/>
        </w:rPr>
        <w:t>，多年来执行的补偿标准低，</w:t>
      </w:r>
      <w:r>
        <w:rPr>
          <w:color w:val="000000"/>
        </w:rPr>
        <w:t>搬迁</w:t>
      </w:r>
      <w:r>
        <w:rPr>
          <w:rFonts w:hint="eastAsia"/>
          <w:color w:val="000000"/>
        </w:rPr>
        <w:t>后灾民无法重新生活，而拒绝</w:t>
      </w:r>
      <w:r>
        <w:rPr>
          <w:color w:val="000000"/>
        </w:rPr>
        <w:t>搬迁。</w:t>
      </w:r>
    </w:p>
    <w:p>
      <w:pPr>
        <w:ind w:firstLine="560"/>
      </w:pPr>
    </w:p>
    <w:p>
      <w:pPr>
        <w:pStyle w:val="5"/>
        <w:spacing w:line="600" w:lineRule="exact"/>
        <w:rPr>
          <w:rFonts w:ascii="Times New Roman" w:hAnsi="Times New Roman"/>
          <w:sz w:val="30"/>
          <w:szCs w:val="30"/>
        </w:rPr>
      </w:pPr>
      <w:bookmarkStart w:id="54" w:name="_Toc19980"/>
      <w:r>
        <w:rPr>
          <w:rFonts w:ascii="Times New Roman" w:hAnsi="Times New Roman"/>
          <w:sz w:val="30"/>
          <w:szCs w:val="30"/>
        </w:rPr>
        <w:t>第</w:t>
      </w:r>
      <w:r>
        <w:rPr>
          <w:rFonts w:hint="eastAsia" w:ascii="Times New Roman" w:hAnsi="Times New Roman"/>
          <w:sz w:val="30"/>
          <w:szCs w:val="30"/>
        </w:rPr>
        <w:t>三</w:t>
      </w:r>
      <w:r>
        <w:rPr>
          <w:rFonts w:ascii="Times New Roman" w:hAnsi="Times New Roman"/>
          <w:sz w:val="30"/>
          <w:szCs w:val="30"/>
        </w:rPr>
        <w:t xml:space="preserve">节 </w:t>
      </w:r>
      <w:r>
        <w:rPr>
          <w:rFonts w:hint="eastAsia" w:ascii="Times New Roman" w:hAnsi="Times New Roman"/>
          <w:sz w:val="30"/>
          <w:szCs w:val="30"/>
        </w:rPr>
        <w:t xml:space="preserve"> 规划期内地质灾害防治形势</w:t>
      </w:r>
      <w:bookmarkEnd w:id="54"/>
    </w:p>
    <w:bookmarkEnd w:id="53"/>
    <w:p>
      <w:pPr>
        <w:ind w:firstLine="560"/>
      </w:pPr>
      <w:r>
        <w:t>沙坪坝区地质灾害点多面广、类型多、规模小、危害大。沙坪坝区</w:t>
      </w:r>
      <w:r>
        <w:rPr>
          <w:rFonts w:hint="eastAsia"/>
        </w:rPr>
        <w:t>截止2018年12月</w:t>
      </w:r>
      <w:r>
        <w:t>查明全区地质灾害隐患点还有</w:t>
      </w:r>
      <w:r>
        <w:rPr>
          <w:rFonts w:hint="eastAsia"/>
        </w:rPr>
        <w:t>206</w:t>
      </w:r>
      <w:r>
        <w:t>处</w:t>
      </w:r>
      <w:r>
        <w:rPr>
          <w:rFonts w:hint="eastAsia"/>
        </w:rPr>
        <w:t>（含高新区地灾隐患点30处）</w:t>
      </w:r>
      <w:r>
        <w:t>，涉及城镇、学校、公路、厂矿，</w:t>
      </w:r>
      <w:r>
        <w:rPr>
          <w:rFonts w:hint="eastAsia"/>
        </w:rPr>
        <w:t>6529</w:t>
      </w:r>
      <w:r>
        <w:t>人生命财产安全受到威胁。地质灾害具有隐蔽性、突发性和破坏性，社会影响大，防范难度大，全区地质灾害防治任务艰巨。沙坪坝区在地质灾害防治方面做了大量的工作，为减灾防灾做出了较大贡献，但是，沙坪坝区目前在地质灾害防治和地质环境保护工作所面临的形势依然十分严峻，具体表现在以下几个方面：</w:t>
      </w:r>
    </w:p>
    <w:p>
      <w:pPr>
        <w:pStyle w:val="6"/>
        <w:rPr>
          <w:rFonts w:ascii="Times New Roman" w:eastAsia="宋体"/>
        </w:rPr>
      </w:pPr>
      <w:bookmarkStart w:id="55" w:name="_Toc92983344"/>
      <w:bookmarkStart w:id="56" w:name="_Toc332789261"/>
      <w:bookmarkStart w:id="57" w:name="_Toc297029947"/>
      <w:bookmarkStart w:id="58" w:name="_Toc329604289"/>
      <w:bookmarkStart w:id="59" w:name="_Toc301281403"/>
      <w:bookmarkStart w:id="60" w:name="_Toc301181726"/>
      <w:bookmarkStart w:id="61" w:name="_Toc304921119"/>
      <w:bookmarkStart w:id="62" w:name="_Toc125174467"/>
      <w:bookmarkStart w:id="63" w:name="_Toc333392538"/>
      <w:bookmarkStart w:id="64" w:name="_Toc305943805"/>
      <w:bookmarkStart w:id="65" w:name="_Toc323374868"/>
      <w:bookmarkStart w:id="66" w:name="_Toc94865733"/>
      <w:bookmarkStart w:id="67" w:name="_Toc326329007"/>
      <w:bookmarkStart w:id="68" w:name="_Toc305943651"/>
      <w:r>
        <w:rPr>
          <w:rFonts w:ascii="Times New Roman" w:eastAsia="宋体"/>
        </w:rPr>
        <w:t>一、自然因素诱发地质灾害</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ind w:firstLine="560"/>
      </w:pPr>
      <w:r>
        <w:t>据区气象局对我区</w:t>
      </w:r>
      <w:r>
        <w:rPr>
          <w:rFonts w:hint="eastAsia"/>
        </w:rPr>
        <w:t>多</w:t>
      </w:r>
      <w:r>
        <w:t>年气候趋势预测：年降雨量</w:t>
      </w:r>
      <w:r>
        <w:rPr>
          <w:rFonts w:hint="eastAsia"/>
        </w:rPr>
        <w:t>约</w:t>
      </w:r>
      <w:r>
        <w:t>1000毫米，主汛期（</w:t>
      </w:r>
      <w:r>
        <w:rPr>
          <w:rFonts w:hint="eastAsia"/>
        </w:rPr>
        <w:t>4</w:t>
      </w:r>
      <w:r>
        <w:t>～</w:t>
      </w:r>
      <w:r>
        <w:rPr>
          <w:rFonts w:hint="eastAsia"/>
        </w:rPr>
        <w:t>10</w:t>
      </w:r>
      <w:r>
        <w:t>月）降雨量450毫米，预计主汛期</w:t>
      </w:r>
      <w:r>
        <w:rPr>
          <w:rFonts w:hint="eastAsia"/>
        </w:rPr>
        <w:t>4</w:t>
      </w:r>
      <w:r>
        <w:t>～</w:t>
      </w:r>
      <w:r>
        <w:rPr>
          <w:rFonts w:hint="eastAsia"/>
        </w:rPr>
        <w:t>9</w:t>
      </w:r>
      <w:r>
        <w:t>月期间有3～4次暴雨天气过程，总体将呈现前汛涝后汛旱的特点</w:t>
      </w:r>
      <w:r>
        <w:rPr>
          <w:rFonts w:hint="eastAsia"/>
        </w:rPr>
        <w:t>，</w:t>
      </w:r>
      <w:r>
        <w:t>大雨于10月中旬结束。</w:t>
      </w:r>
      <w:r>
        <w:rPr>
          <w:rFonts w:hint="eastAsia"/>
        </w:rPr>
        <w:t>而</w:t>
      </w:r>
      <w:r>
        <w:t>地质灾害多发生在汛期，受降雨影响十分明显</w:t>
      </w:r>
      <w:r>
        <w:rPr>
          <w:rFonts w:hint="eastAsia"/>
        </w:rPr>
        <w:t>。</w:t>
      </w:r>
      <w:r>
        <w:t>当前沙坪坝区强降雨等极端气候事件增多，强降雨过程引发的滑坡、崩塌、泥石流等地质灾害将会加剧，未来一个较长的时期内地质灾害仍将呈高发态势。</w:t>
      </w:r>
    </w:p>
    <w:p>
      <w:pPr>
        <w:pStyle w:val="6"/>
        <w:rPr>
          <w:rFonts w:ascii="Times New Roman" w:eastAsia="宋体"/>
          <w:color w:val="000000"/>
        </w:rPr>
      </w:pPr>
      <w:bookmarkStart w:id="69" w:name="_Toc94865734"/>
      <w:bookmarkStart w:id="70" w:name="_Toc333392540"/>
      <w:bookmarkStart w:id="71" w:name="_Toc305943652"/>
      <w:bookmarkStart w:id="72" w:name="_Toc301281404"/>
      <w:bookmarkStart w:id="73" w:name="_Toc326329009"/>
      <w:bookmarkStart w:id="74" w:name="_Toc329604291"/>
      <w:bookmarkStart w:id="75" w:name="_Toc332789263"/>
      <w:bookmarkStart w:id="76" w:name="_Toc304921120"/>
      <w:bookmarkStart w:id="77" w:name="_Toc297029948"/>
      <w:bookmarkStart w:id="78" w:name="_Toc301181727"/>
      <w:bookmarkStart w:id="79" w:name="_Toc323374870"/>
      <w:bookmarkStart w:id="80" w:name="_Toc305943806"/>
      <w:bookmarkStart w:id="81" w:name="_Toc92983345"/>
      <w:bookmarkStart w:id="82" w:name="_Toc125174468"/>
      <w:bookmarkStart w:id="83" w:name="_Toc3560"/>
      <w:bookmarkStart w:id="84" w:name="_Toc65987358"/>
      <w:bookmarkStart w:id="85" w:name="_Toc304990895"/>
      <w:bookmarkStart w:id="86" w:name="_Toc193701725"/>
      <w:bookmarkStart w:id="87" w:name="_Toc52368868"/>
      <w:bookmarkStart w:id="88" w:name="_Toc62098848"/>
      <w:r>
        <w:rPr>
          <w:rFonts w:hint="eastAsia" w:ascii="Times New Roman" w:eastAsia="宋体"/>
          <w:color w:val="000000"/>
        </w:rPr>
        <w:t>二</w:t>
      </w:r>
      <w:r>
        <w:rPr>
          <w:rFonts w:ascii="Times New Roman" w:eastAsia="宋体"/>
          <w:color w:val="000000"/>
        </w:rPr>
        <w:t>、人类工程活动诱发地质灾害</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ind w:firstLine="560"/>
        <w:rPr>
          <w:color w:val="000000"/>
        </w:rPr>
      </w:pPr>
      <w:r>
        <w:rPr>
          <w:rFonts w:hint="eastAsia"/>
          <w:color w:val="000000"/>
        </w:rPr>
        <w:t>据</w:t>
      </w:r>
      <w:r>
        <w:rPr>
          <w:rFonts w:hint="eastAsia"/>
          <w:color w:val="000000"/>
          <w:lang w:eastAsia="zh-CN"/>
        </w:rPr>
        <w:t>“</w:t>
      </w:r>
      <w:r>
        <w:rPr>
          <w:rFonts w:hint="eastAsia"/>
          <w:color w:val="000000"/>
        </w:rPr>
        <w:t>十三五</w:t>
      </w:r>
      <w:r>
        <w:rPr>
          <w:rFonts w:hint="eastAsia"/>
          <w:color w:val="000000"/>
          <w:lang w:eastAsia="zh-CN"/>
        </w:rPr>
        <w:t>”</w:t>
      </w:r>
      <w:bookmarkStart w:id="421" w:name="_GoBack"/>
      <w:bookmarkEnd w:id="421"/>
      <w:r>
        <w:rPr>
          <w:rFonts w:hint="eastAsia"/>
          <w:color w:val="000000"/>
        </w:rPr>
        <w:t>规划和现场调查资料，沙坪坝区主要人类工程活动如下：</w:t>
      </w:r>
    </w:p>
    <w:p>
      <w:pPr>
        <w:ind w:firstLine="560"/>
        <w:rPr>
          <w:color w:val="000000"/>
        </w:rPr>
      </w:pPr>
      <w:r>
        <w:rPr>
          <w:rFonts w:hint="eastAsia"/>
          <w:color w:val="000000"/>
        </w:rPr>
        <w:t>铁路：成渝复线，兰渝、渝黔、渝昆高速等铁路线路、沙坪坝火车站、重庆西站综合交通枢纽，兴隆场编组站和重庆铁路集装箱中心站配套建设。</w:t>
      </w:r>
    </w:p>
    <w:p>
      <w:pPr>
        <w:ind w:firstLine="560"/>
        <w:rPr>
          <w:color w:val="000000"/>
        </w:rPr>
      </w:pPr>
      <w:r>
        <w:rPr>
          <w:rFonts w:hint="eastAsia"/>
          <w:color w:val="000000"/>
        </w:rPr>
        <w:t>轨道：轨道环线、5号线、9号线等城市轨道交通、7号线、13号线、17号线等城市轨道交通。</w:t>
      </w:r>
    </w:p>
    <w:p>
      <w:pPr>
        <w:ind w:firstLine="560"/>
        <w:rPr>
          <w:color w:val="000000"/>
        </w:rPr>
      </w:pPr>
      <w:r>
        <w:rPr>
          <w:rFonts w:hint="eastAsia"/>
          <w:color w:val="000000"/>
        </w:rPr>
        <w:t>主干公路：一横线、二横线西段、中梁山隧道扩容、渝蓉高速连接道、大竹林大桥建设，西永隧道、大学城复线隧道建设；</w:t>
      </w:r>
    </w:p>
    <w:p>
      <w:pPr>
        <w:ind w:firstLine="560"/>
        <w:rPr>
          <w:color w:val="000000"/>
        </w:rPr>
      </w:pPr>
      <w:r>
        <w:rPr>
          <w:rFonts w:hint="eastAsia"/>
          <w:color w:val="000000"/>
        </w:rPr>
        <w:t>西部城区交通网络，一纵线、一联络线等道路建设，物流园、曾家组团、青凤组团、微电园等园区道路互联交通网络；东部城区道路循环系统，磁井段滨江路、红岩村大桥、内环西北半环拓宽改造等骨架道路建设，歌乐山沿山道路、平顶山隧道建设，沙坪坝火车站、重庆西站等重大项目交通配套设施等。</w:t>
      </w:r>
    </w:p>
    <w:p>
      <w:pPr>
        <w:ind w:firstLine="560"/>
        <w:rPr>
          <w:color w:val="000000"/>
        </w:rPr>
      </w:pPr>
      <w:r>
        <w:rPr>
          <w:rFonts w:hint="eastAsia"/>
          <w:color w:val="000000"/>
        </w:rPr>
        <w:t>现代都市功能展示区：区域范围在歌乐山脉以东地区，面积约60平方公里，主要包括大三峡广场商圈、重庆健康城、沙磁文化产业园和井双滨江经济带四大板块。</w:t>
      </w:r>
    </w:p>
    <w:p>
      <w:pPr>
        <w:ind w:firstLine="560"/>
        <w:rPr>
          <w:color w:val="000000"/>
        </w:rPr>
      </w:pPr>
      <w:r>
        <w:rPr>
          <w:rFonts w:hint="eastAsia"/>
          <w:color w:val="000000"/>
        </w:rPr>
        <w:t>开发开放创新引领区：区域范围在歌乐山脉以西、二环以内区域，，主要包括西部现代物流园、大学城、青凤组团四大板块。</w:t>
      </w:r>
    </w:p>
    <w:p>
      <w:pPr>
        <w:ind w:firstLine="560"/>
        <w:rPr>
          <w:color w:val="000000"/>
        </w:rPr>
      </w:pPr>
      <w:r>
        <w:rPr>
          <w:rFonts w:hint="eastAsia"/>
          <w:color w:val="000000"/>
        </w:rPr>
        <w:t>特别是歌乐山岩溶槽谷片区（地质灾害高易发区）人类工程活动也不断加强，已修建的数条隧道横穿岩溶分布区，由北向南主要分布有歇马隧道（在建） 、轻轨6号线北碚隧道、二横线土主隧道（在建）、双碑公路隧道、新兰渝线隧道、渝怀铁路隧道、轨道一号线隧道、渝遂高速大学城隧道、襄渝铁路隧道、成渝高速公路隧道(改扩建)等。</w:t>
      </w:r>
    </w:p>
    <w:p>
      <w:pPr>
        <w:ind w:firstLine="560"/>
        <w:rPr>
          <w:color w:val="000000"/>
        </w:rPr>
      </w:pPr>
      <w:r>
        <w:rPr>
          <w:rFonts w:hint="eastAsia"/>
          <w:color w:val="000000"/>
        </w:rPr>
        <w:t>人类工程活动在不合理的施工情况下，将加剧破坏区内地质环境条件，加剧地质灾害的发生、发展，将更为严重地影响区内人民的生命财产安全，如果处理不当，还会制约区内经济和社会的发展。</w:t>
      </w:r>
    </w:p>
    <w:p>
      <w:pPr>
        <w:pStyle w:val="4"/>
        <w:spacing w:before="0" w:after="0" w:line="396" w:lineRule="auto"/>
        <w:rPr>
          <w:rFonts w:ascii="Times New Roman" w:hAnsi="Times New Roman"/>
          <w:color w:val="000000"/>
        </w:rPr>
        <w:sectPr>
          <w:pgSz w:w="11906" w:h="16838"/>
          <w:pgMar w:top="1418" w:right="1701" w:bottom="1418" w:left="1260" w:header="851" w:footer="992" w:gutter="0"/>
          <w:cols w:space="720" w:num="1"/>
          <w:docGrid w:type="lines" w:linePitch="312" w:charSpace="0"/>
        </w:sectPr>
      </w:pPr>
      <w:bookmarkStart w:id="89" w:name="_Hlt125097895"/>
      <w:bookmarkEnd w:id="89"/>
    </w:p>
    <w:bookmarkEnd w:id="83"/>
    <w:p>
      <w:pPr>
        <w:pStyle w:val="4"/>
        <w:spacing w:before="0" w:after="0" w:line="396" w:lineRule="auto"/>
        <w:rPr>
          <w:rFonts w:ascii="Times New Roman" w:hAnsi="Times New Roman"/>
          <w:color w:val="000000"/>
        </w:rPr>
      </w:pPr>
      <w:bookmarkStart w:id="90" w:name="_Toc30705"/>
      <w:r>
        <w:rPr>
          <w:rFonts w:hint="eastAsia" w:ascii="Times New Roman" w:hAnsi="Times New Roman"/>
          <w:color w:val="000000"/>
        </w:rPr>
        <w:t>第三章 地质环境条件</w:t>
      </w:r>
    </w:p>
    <w:p>
      <w:pPr>
        <w:ind w:firstLine="560"/>
        <w:rPr>
          <w:color w:val="000000"/>
        </w:rPr>
      </w:pPr>
    </w:p>
    <w:p>
      <w:pPr>
        <w:pStyle w:val="5"/>
        <w:spacing w:line="534" w:lineRule="exact"/>
        <w:rPr>
          <w:rFonts w:ascii="Times New Roman" w:hAnsi="Times New Roman"/>
          <w:color w:val="000000"/>
          <w:sz w:val="30"/>
          <w:szCs w:val="30"/>
        </w:rPr>
      </w:pPr>
      <w:bookmarkStart w:id="91" w:name="_Toc3517"/>
      <w:r>
        <w:rPr>
          <w:rFonts w:ascii="Times New Roman" w:hAnsi="Times New Roman"/>
          <w:color w:val="000000"/>
          <w:sz w:val="30"/>
          <w:szCs w:val="30"/>
        </w:rPr>
        <w:t>第</w:t>
      </w:r>
      <w:r>
        <w:rPr>
          <w:rFonts w:hint="eastAsia" w:ascii="Times New Roman" w:hAnsi="Times New Roman"/>
          <w:color w:val="000000"/>
          <w:sz w:val="30"/>
          <w:szCs w:val="30"/>
        </w:rPr>
        <w:t>一节 自然地理</w:t>
      </w:r>
      <w:bookmarkEnd w:id="91"/>
    </w:p>
    <w:p>
      <w:pPr>
        <w:pStyle w:val="6"/>
        <w:rPr>
          <w:rFonts w:ascii="Times New Roman" w:eastAsia="宋体"/>
          <w:color w:val="000000"/>
        </w:rPr>
      </w:pPr>
      <w:r>
        <w:rPr>
          <w:rFonts w:hint="eastAsia" w:ascii="Times New Roman" w:eastAsia="宋体"/>
          <w:color w:val="000000"/>
        </w:rPr>
        <w:t>一、地理气象</w:t>
      </w:r>
    </w:p>
    <w:p>
      <w:pPr>
        <w:ind w:firstLine="560"/>
        <w:rPr>
          <w:rFonts w:ascii="宋体" w:hAnsi="宋体"/>
          <w:color w:val="000000"/>
          <w:szCs w:val="28"/>
        </w:rPr>
      </w:pPr>
      <w:r>
        <w:rPr>
          <w:rFonts w:hint="eastAsia" w:ascii="宋体" w:hAnsi="宋体"/>
          <w:color w:val="000000"/>
          <w:szCs w:val="28"/>
        </w:rPr>
        <w:t>沙坪坝区位于重庆市主城区西部，东连渝中区，东隔嘉陵江与渝北区相望，南邻九龙坡区，西接壁山县，北接北碚区：下辖22个街道办事处及镇政府，常住人员约110万人；东西宽24.3公里，南北长29.0公里；地理坐标：东经106°15′～106°29′；北纬：29°30′～29°45′。沙坪坝区铁路、公路四通八达，交通十分方便</w:t>
      </w:r>
      <w:r>
        <w:rPr>
          <w:color w:val="000000"/>
          <w:szCs w:val="28"/>
        </w:rPr>
        <w:t>。</w:t>
      </w:r>
      <w:r>
        <w:rPr>
          <w:rFonts w:hint="eastAsia" w:ascii="宋体" w:hAnsi="宋体"/>
          <w:color w:val="000000"/>
          <w:szCs w:val="28"/>
        </w:rPr>
        <w:t>(见交通位置图，图3-1)</w:t>
      </w:r>
    </w:p>
    <w:p>
      <w:pPr>
        <w:spacing w:line="360" w:lineRule="auto"/>
        <w:ind w:firstLine="560"/>
        <w:jc w:val="center"/>
        <w:rPr>
          <w:color w:val="000000"/>
          <w:szCs w:val="28"/>
        </w:rPr>
      </w:pPr>
      <w:r>
        <w:rPr>
          <w:color w:val="000000"/>
          <w:szCs w:val="28"/>
        </w:rPr>
        <w:drawing>
          <wp:inline distT="0" distB="0" distL="0" distR="0">
            <wp:extent cx="4509770" cy="4509770"/>
            <wp:effectExtent l="0" t="0" r="5080" b="5080"/>
            <wp:docPr id="3" name="图片 1" descr="交通图-Model"/>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交通图-Model"/>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4509770" cy="4509770"/>
                    </a:xfrm>
                    <a:prstGeom prst="rect">
                      <a:avLst/>
                    </a:prstGeom>
                    <a:noFill/>
                    <a:ln>
                      <a:noFill/>
                    </a:ln>
                  </pic:spPr>
                </pic:pic>
              </a:graphicData>
            </a:graphic>
          </wp:inline>
        </w:drawing>
      </w:r>
    </w:p>
    <w:p>
      <w:pPr>
        <w:adjustRightInd w:val="0"/>
        <w:snapToGrid w:val="0"/>
        <w:spacing w:line="360" w:lineRule="auto"/>
        <w:ind w:firstLine="560"/>
        <w:rPr>
          <w:rFonts w:ascii="宋体" w:hAnsi="宋体" w:cs="宋体"/>
          <w:color w:val="000000"/>
          <w:sz w:val="24"/>
        </w:rPr>
      </w:pPr>
      <w:r>
        <w:rPr>
          <w:rFonts w:hint="eastAsia"/>
          <w:color w:val="000000"/>
          <w:szCs w:val="28"/>
        </w:rPr>
        <w:t xml:space="preserve">             </w:t>
      </w:r>
      <w:r>
        <w:rPr>
          <w:rFonts w:hint="eastAsia" w:eastAsia="方正仿宋_GBK"/>
          <w:color w:val="000000"/>
          <w:sz w:val="22"/>
          <w:szCs w:val="22"/>
        </w:rPr>
        <w:t xml:space="preserve">  </w:t>
      </w:r>
      <w:r>
        <w:rPr>
          <w:rFonts w:hint="eastAsia" w:ascii="宋体" w:hAnsi="宋体" w:cs="宋体"/>
          <w:color w:val="000000"/>
          <w:sz w:val="24"/>
        </w:rPr>
        <w:t>图3-1             沙坪坝区交通位置图</w:t>
      </w:r>
    </w:p>
    <w:p>
      <w:pPr>
        <w:ind w:firstLine="560"/>
        <w:rPr>
          <w:color w:val="000000"/>
        </w:rPr>
      </w:pPr>
      <w:r>
        <w:rPr>
          <w:rFonts w:hint="eastAsia"/>
          <w:color w:val="000000"/>
        </w:rPr>
        <w:t>重庆市沙坪坝区属亚热带湿润季风气候，具有冬暖春早、夏热秋凉，气候温和、雨量充沛，空气湿度大、云雾多，日照较少的气候特点。常年平均气温18.1°C，最热为8月，多年平均气温27.5°C，最冷为1月，多年平均气温6.3°C。极端最高气温43.2°C(2006年8月20日)，极端最低气温-2.5°C（1978年12月15日）。多年平均降雨量为1094.1mm，日最大降雨量为271.0mm（2007年7月17日）。</w:t>
      </w:r>
    </w:p>
    <w:p>
      <w:pPr>
        <w:ind w:firstLine="560"/>
        <w:rPr>
          <w:color w:val="000000"/>
          <w:szCs w:val="28"/>
        </w:rPr>
      </w:pPr>
      <w:r>
        <w:rPr>
          <w:rFonts w:hint="eastAsia"/>
          <w:color w:val="000000"/>
          <w:szCs w:val="28"/>
        </w:rPr>
        <w:t>区内水系主要为嘉陵江支流，嘉陵江多年平均流量2155m</w:t>
      </w:r>
      <w:r>
        <w:rPr>
          <w:rFonts w:hint="eastAsia"/>
          <w:color w:val="000000"/>
          <w:szCs w:val="28"/>
          <w:vertAlign w:val="superscript"/>
        </w:rPr>
        <w:t>3</w:t>
      </w:r>
      <w:r>
        <w:rPr>
          <w:rFonts w:hint="eastAsia"/>
          <w:color w:val="000000"/>
          <w:szCs w:val="28"/>
        </w:rPr>
        <w:t>/s，最大流量44800m</w:t>
      </w:r>
      <w:r>
        <w:rPr>
          <w:rFonts w:hint="eastAsia"/>
          <w:color w:val="000000"/>
          <w:szCs w:val="28"/>
          <w:vertAlign w:val="superscript"/>
        </w:rPr>
        <w:t>3</w:t>
      </w:r>
      <w:r>
        <w:rPr>
          <w:rFonts w:hint="eastAsia"/>
          <w:color w:val="000000"/>
          <w:szCs w:val="28"/>
        </w:rPr>
        <w:t>/s，常年洪水位约185m，估季水位约165m。</w:t>
      </w:r>
    </w:p>
    <w:p>
      <w:pPr>
        <w:pStyle w:val="6"/>
        <w:rPr>
          <w:rFonts w:ascii="Times New Roman" w:eastAsia="宋体"/>
          <w:color w:val="000000"/>
        </w:rPr>
      </w:pPr>
      <w:r>
        <w:rPr>
          <w:rFonts w:hint="eastAsia" w:ascii="Times New Roman" w:eastAsia="宋体"/>
          <w:color w:val="000000"/>
        </w:rPr>
        <w:t>二、社会经济概况</w:t>
      </w:r>
    </w:p>
    <w:p>
      <w:pPr>
        <w:ind w:firstLine="560"/>
        <w:rPr>
          <w:color w:val="000000"/>
        </w:rPr>
      </w:pPr>
      <w:r>
        <w:rPr>
          <w:rFonts w:hint="eastAsia"/>
          <w:color w:val="000000"/>
        </w:rPr>
        <w:t>沙坪坝区截止2019年，2019年实现地区生产总值（GDP）936.4亿元，第一产业增加值3.8亿元；第二产业增加值355.3亿元；第三产业增加值577.3亿元。三次产业结构比为：0.4:37.9:61.7，产业结构为“三二一”。从三次产业对经济增长的贡献程度看：第一产业的贡献率为-0.1%；第二产业贡献率为91.5%，拉动经济增长2.9个百分点，其中工业拉动经济增长2.2个百分点；第三产业贡献率为8.6%，拉动经济增长0.3个百分点。</w:t>
      </w:r>
    </w:p>
    <w:p>
      <w:pPr>
        <w:ind w:firstLine="560"/>
        <w:rPr>
          <w:color w:val="000000"/>
        </w:rPr>
      </w:pPr>
      <w:r>
        <w:rPr>
          <w:rFonts w:hint="eastAsia"/>
          <w:color w:val="000000"/>
        </w:rPr>
        <w:t>开放功能日趋完善，物流园铁路口岸、重庆铁路保税物流中心（B型）落地并建成运营，“三合一”开放平台集中布局，汽车整车口岸通关整车374辆，“渝新欧”年度开行班列达到257班次，成为全市内陆开放桥头堡；西永综保区产业能级迈上1000亿元台阶。开放型经济快速发展，万达文旅城、SK海力士等一批重大项目成功落地，累计引入世界500强、中国500强企业10余家，跨境电商、跨境物流、跨境结算、口岸贸易等业态加速形成，上一轮规划期间，实际利用内资、外资额累计达1683.8亿元、53.3亿美元，分别是“十一五”的5.2、5.7倍，进出口总额占全市比重超过30%。</w:t>
      </w:r>
    </w:p>
    <w:p>
      <w:pPr>
        <w:ind w:firstLine="560"/>
        <w:rPr>
          <w:color w:val="000000"/>
        </w:rPr>
      </w:pPr>
      <w:r>
        <w:rPr>
          <w:rFonts w:hint="eastAsia"/>
          <w:color w:val="000000"/>
        </w:rPr>
        <w:t>东部城区改造提升多点发力，重大基础设施项目带动三峡广场、井双、上新等片区改造开发正式启动，地产项目带动土湾、磁童、联芳等片区改造稳步推进，梨树湾片区改造取得显著成效；西部新城功能平台联动发展；“一城三园”控规覆盖面显著扩大，青凤组团成功落地，大学城、物流园功能加速完善，西永城市副中心雏形初现；中部地区城镇建设空间政策瓶颈得以缓解。城市空间一体化程度、产城融合度提升，城乡建成区面积由100平方公里拓展到125平方公里，城市规划空间拓展到155平方公里，全区常住人口城镇化率达到94%。</w:t>
      </w:r>
    </w:p>
    <w:p>
      <w:pPr>
        <w:ind w:firstLine="560"/>
        <w:rPr>
          <w:color w:val="000000"/>
        </w:rPr>
      </w:pPr>
      <w:r>
        <w:rPr>
          <w:rFonts w:hint="eastAsia"/>
          <w:color w:val="000000"/>
        </w:rPr>
        <w:t xml:space="preserve">沙坪坝区旅游资源丰富，融巴渝文化、沙磁文化、抗战文化、红岩文化于一体，形成了歌乐山名山旅游、磁器口古镇旅游、休闲购物旅游、都市温泉旅游、都市乡村生态旅游等品牌，每年接待中外游客上千万人次。   </w:t>
      </w:r>
    </w:p>
    <w:p>
      <w:pPr>
        <w:pStyle w:val="6"/>
        <w:spacing w:line="480" w:lineRule="exact"/>
        <w:rPr>
          <w:rFonts w:ascii="Times New Roman" w:eastAsia="宋体"/>
          <w:color w:val="000000"/>
        </w:rPr>
      </w:pPr>
      <w:bookmarkStart w:id="92" w:name="_Toc329604299"/>
      <w:bookmarkStart w:id="93" w:name="_Toc50429634"/>
      <w:bookmarkStart w:id="94" w:name="_Toc332789272"/>
      <w:bookmarkStart w:id="95" w:name="_Toc333392549"/>
      <w:bookmarkStart w:id="96" w:name="_Toc65987342"/>
      <w:bookmarkStart w:id="97" w:name="_Toc193701701"/>
      <w:r>
        <w:rPr>
          <w:rFonts w:hint="eastAsia" w:ascii="Times New Roman" w:eastAsia="宋体"/>
          <w:color w:val="000000"/>
        </w:rPr>
        <w:t>三、地形地貌</w:t>
      </w:r>
      <w:bookmarkEnd w:id="92"/>
      <w:bookmarkEnd w:id="93"/>
      <w:bookmarkEnd w:id="94"/>
      <w:bookmarkEnd w:id="95"/>
      <w:bookmarkEnd w:id="96"/>
      <w:bookmarkEnd w:id="97"/>
    </w:p>
    <w:p>
      <w:pPr>
        <w:ind w:firstLine="560"/>
        <w:rPr>
          <w:color w:val="000000"/>
        </w:rPr>
      </w:pPr>
      <w:r>
        <w:rPr>
          <w:color w:val="000000"/>
        </w:rPr>
        <w:t>沙坪坝区的地貌类型主要为构造剥蚀～溶蚀、构造剥蚀、堆积～侵蚀等多种地貌成因类型及中山、低山、丘陵和河谷等多种地貌类型，本区域地质属沉积岩广泛发育区，地质形态为华蓥山帚状褶皱束，褶皱带呈北北东向展布，狭长而不对称，褶皱紧密，向斜宽，背斜窄，断裂少。地貌多呈长岭岗、馒头山、桌状山错落于岭谷间，地势起伏较大。</w:t>
      </w:r>
    </w:p>
    <w:p>
      <w:pPr>
        <w:pStyle w:val="6"/>
        <w:spacing w:line="480" w:lineRule="exact"/>
        <w:rPr>
          <w:rFonts w:ascii="Times New Roman" w:eastAsia="宋体"/>
          <w:color w:val="000000"/>
        </w:rPr>
      </w:pPr>
      <w:bookmarkStart w:id="98" w:name="_Toc329604300"/>
      <w:bookmarkStart w:id="99" w:name="_Toc333392550"/>
      <w:bookmarkStart w:id="100" w:name="_Toc59369185"/>
      <w:bookmarkStart w:id="101" w:name="_Toc332789273"/>
      <w:r>
        <w:rPr>
          <w:rFonts w:hint="eastAsia" w:ascii="Times New Roman" w:eastAsia="宋体"/>
          <w:color w:val="000000"/>
        </w:rPr>
        <w:t>四、地层岩性、地质构造及地震</w:t>
      </w:r>
      <w:bookmarkEnd w:id="98"/>
      <w:bookmarkEnd w:id="99"/>
      <w:bookmarkEnd w:id="100"/>
      <w:bookmarkEnd w:id="101"/>
    </w:p>
    <w:p>
      <w:pPr>
        <w:pStyle w:val="61"/>
        <w:spacing w:line="534" w:lineRule="exact"/>
        <w:ind w:firstLineChars="182"/>
      </w:pPr>
      <w:r>
        <w:rPr>
          <w:rFonts w:hint="eastAsia"/>
        </w:rPr>
        <w:t>（一）地层岩性</w:t>
      </w:r>
    </w:p>
    <w:p>
      <w:pPr>
        <w:ind w:firstLine="560"/>
        <w:rPr>
          <w:color w:val="000000"/>
        </w:rPr>
      </w:pPr>
      <w:r>
        <w:rPr>
          <w:rFonts w:hint="eastAsia"/>
          <w:color w:val="000000"/>
        </w:rPr>
        <w:t>沙坪坝区的地层主要有第四系松散堆积层（Q</w:t>
      </w:r>
      <w:r>
        <w:rPr>
          <w:rFonts w:hint="eastAsia"/>
          <w:color w:val="000000"/>
          <w:vertAlign w:val="subscript"/>
        </w:rPr>
        <w:t>4</w:t>
      </w:r>
      <w:r>
        <w:rPr>
          <w:rFonts w:hint="eastAsia"/>
          <w:color w:val="000000"/>
        </w:rPr>
        <w:t>）、侏罗系（J）、三叠系（T）地层。侏罗系分布最广，占70%以上，第四系面积最小。</w:t>
      </w:r>
    </w:p>
    <w:p>
      <w:pPr>
        <w:adjustRightInd w:val="0"/>
        <w:snapToGrid w:val="0"/>
        <w:spacing w:line="534" w:lineRule="exact"/>
        <w:ind w:firstLine="560"/>
        <w:rPr>
          <w:color w:val="000000"/>
        </w:rPr>
      </w:pPr>
      <w:r>
        <w:rPr>
          <w:rFonts w:hint="eastAsia"/>
          <w:color w:val="000000"/>
        </w:rPr>
        <w:t>（二）地质构造</w:t>
      </w:r>
    </w:p>
    <w:p>
      <w:pPr>
        <w:ind w:firstLine="560"/>
        <w:rPr>
          <w:rFonts w:ascii="宋体" w:hAnsi="宋体"/>
          <w:color w:val="000000"/>
          <w:szCs w:val="28"/>
        </w:rPr>
      </w:pPr>
      <w:r>
        <w:rPr>
          <w:rFonts w:hint="eastAsia" w:ascii="宋体" w:hAnsi="宋体"/>
          <w:color w:val="000000"/>
          <w:szCs w:val="28"/>
        </w:rPr>
        <w:t>沙坪坝区位于扬子准地台的重庆台坳——重庆陷褶束之华蓥山穹褶束上，</w:t>
      </w:r>
      <w:r>
        <w:rPr>
          <w:rFonts w:hint="eastAsia"/>
          <w:color w:val="000000"/>
        </w:rPr>
        <w:t>全部出露中生代地层，构造比较简单，</w:t>
      </w:r>
      <w:r>
        <w:rPr>
          <w:rFonts w:hint="eastAsia" w:ascii="宋体" w:hAnsi="宋体"/>
          <w:color w:val="000000"/>
          <w:szCs w:val="28"/>
        </w:rPr>
        <w:t>自西向东依次排列有温塘峡背斜、北碚向斜、观音峡背斜和金鳌寺向斜。</w:t>
      </w:r>
    </w:p>
    <w:p>
      <w:pPr>
        <w:ind w:firstLine="560"/>
        <w:rPr>
          <w:color w:val="000000"/>
        </w:rPr>
      </w:pPr>
      <w:r>
        <w:rPr>
          <w:rFonts w:hint="eastAsia"/>
          <w:color w:val="000000"/>
        </w:rPr>
        <w:t>（三）地震</w:t>
      </w:r>
    </w:p>
    <w:p>
      <w:pPr>
        <w:ind w:firstLine="560"/>
        <w:rPr>
          <w:color w:val="000000"/>
        </w:rPr>
      </w:pPr>
      <w:r>
        <w:rPr>
          <w:rFonts w:hint="eastAsia"/>
          <w:color w:val="000000"/>
        </w:rPr>
        <w:t>根据《中国地震动峰值加速度区划图（2015年）》及《中国地震动反应谱特征周期区划图（2015年）》，本区地震基本烈度为6度。</w:t>
      </w:r>
    </w:p>
    <w:p>
      <w:pPr>
        <w:pStyle w:val="6"/>
        <w:rPr>
          <w:rFonts w:ascii="Times New Roman" w:eastAsia="宋体"/>
          <w:color w:val="000000"/>
        </w:rPr>
      </w:pPr>
      <w:bookmarkStart w:id="102" w:name="_Toc193701705"/>
      <w:bookmarkStart w:id="103" w:name="_Toc333392551"/>
      <w:bookmarkStart w:id="104" w:name="_Toc50429638"/>
      <w:bookmarkStart w:id="105" w:name="_Toc326565433"/>
      <w:bookmarkStart w:id="106" w:name="_Toc329604301"/>
      <w:bookmarkStart w:id="107" w:name="_Toc332789274"/>
      <w:bookmarkStart w:id="108" w:name="_Toc65987346"/>
      <w:r>
        <w:rPr>
          <w:rFonts w:hint="eastAsia" w:ascii="Times New Roman" w:eastAsia="宋体"/>
          <w:color w:val="000000"/>
        </w:rPr>
        <w:t>五、水文地质特征</w:t>
      </w:r>
      <w:bookmarkEnd w:id="102"/>
      <w:bookmarkEnd w:id="103"/>
      <w:bookmarkEnd w:id="104"/>
      <w:bookmarkEnd w:id="105"/>
      <w:bookmarkEnd w:id="106"/>
      <w:bookmarkEnd w:id="107"/>
      <w:bookmarkEnd w:id="108"/>
    </w:p>
    <w:p>
      <w:pPr>
        <w:ind w:firstLine="560"/>
        <w:rPr>
          <w:color w:val="000000"/>
        </w:rPr>
      </w:pPr>
      <w:r>
        <w:rPr>
          <w:rFonts w:hint="eastAsia"/>
          <w:color w:val="000000"/>
        </w:rPr>
        <w:t>区内地下水划分为：松散岩类孔隙水、基岩裂隙水、碎屑岩类孔隙裂隙水、碳酸盐岩类岩溶裂隙水四类。</w:t>
      </w:r>
    </w:p>
    <w:p>
      <w:pPr>
        <w:ind w:firstLine="560"/>
        <w:rPr>
          <w:color w:val="000000"/>
        </w:rPr>
      </w:pPr>
      <w:r>
        <w:rPr>
          <w:rFonts w:hint="eastAsia"/>
          <w:color w:val="000000"/>
        </w:rPr>
        <w:t>（一）松散岩类孔隙水</w:t>
      </w:r>
    </w:p>
    <w:p>
      <w:pPr>
        <w:ind w:firstLine="560"/>
        <w:rPr>
          <w:color w:val="000000"/>
        </w:rPr>
      </w:pPr>
      <w:r>
        <w:rPr>
          <w:rFonts w:hint="eastAsia"/>
          <w:color w:val="000000"/>
        </w:rPr>
        <w:t>主要分布在第四系河流阶地砂卵石层及斜坡松散堆积物中，受堆积层厚度和补给条件的影响大，多属季节性潜水，主要接受地表水、大气降水及邻近含水层的补给，并向地形低洼地带排汇。嘉陵江岸河漫滩及其粉细砂、砂卵砾石层组成的部分一级阶地的孔隙水，除降雨补给外，与嘉陵江江水涨落形成季节性互补关系，水温、水量受季节性影响显著。该类地下水类型多为重碳酸钙型水或重碳酸钙一镁型水，矿化度小于0.5克/升。</w:t>
      </w:r>
    </w:p>
    <w:p>
      <w:pPr>
        <w:ind w:firstLine="560"/>
        <w:rPr>
          <w:color w:val="000000"/>
        </w:rPr>
      </w:pPr>
      <w:r>
        <w:rPr>
          <w:rFonts w:hint="eastAsia"/>
          <w:color w:val="000000"/>
        </w:rPr>
        <w:t>（二）基岩裂隙水</w:t>
      </w:r>
    </w:p>
    <w:p>
      <w:pPr>
        <w:ind w:firstLine="560"/>
        <w:rPr>
          <w:color w:val="000000"/>
        </w:rPr>
      </w:pPr>
      <w:r>
        <w:rPr>
          <w:rFonts w:hint="eastAsia"/>
          <w:color w:val="000000"/>
        </w:rPr>
        <w:t>基岩裂隙水广泛赋存于北碚向斜、金鳖寺向斜轴部两翼，含水岩组主要有侏罗系下统珍珠冲组（J</w:t>
      </w:r>
      <w:r>
        <w:rPr>
          <w:rFonts w:hint="eastAsia"/>
          <w:color w:val="000000"/>
          <w:vertAlign w:val="subscript"/>
        </w:rPr>
        <w:t>1</w:t>
      </w:r>
      <w:r>
        <w:rPr>
          <w:rFonts w:hint="eastAsia"/>
          <w:color w:val="000000"/>
        </w:rPr>
        <w:t>z）、自流井组（J</w:t>
      </w:r>
      <w:r>
        <w:rPr>
          <w:rFonts w:hint="eastAsia"/>
          <w:color w:val="000000"/>
          <w:vertAlign w:val="subscript"/>
        </w:rPr>
        <w:t>1</w:t>
      </w:r>
      <w:r>
        <w:rPr>
          <w:rFonts w:hint="eastAsia"/>
          <w:color w:val="000000"/>
        </w:rPr>
        <w:t>zl），中统新田沟组（J</w:t>
      </w:r>
      <w:r>
        <w:rPr>
          <w:rFonts w:hint="eastAsia"/>
          <w:color w:val="000000"/>
          <w:vertAlign w:val="subscript"/>
        </w:rPr>
        <w:t>2</w:t>
      </w:r>
      <w:r>
        <w:rPr>
          <w:rFonts w:hint="eastAsia"/>
          <w:color w:val="000000"/>
        </w:rPr>
        <w:t>x）、沙溪庙组（J</w:t>
      </w:r>
      <w:r>
        <w:rPr>
          <w:rFonts w:hint="eastAsia"/>
          <w:color w:val="000000"/>
          <w:vertAlign w:val="subscript"/>
        </w:rPr>
        <w:t>2</w:t>
      </w:r>
      <w:r>
        <w:rPr>
          <w:rFonts w:hint="eastAsia"/>
          <w:color w:val="000000"/>
        </w:rPr>
        <w:t>s）地层。</w:t>
      </w:r>
    </w:p>
    <w:p>
      <w:pPr>
        <w:ind w:firstLine="560"/>
        <w:rPr>
          <w:color w:val="000000"/>
        </w:rPr>
      </w:pPr>
      <w:r>
        <w:rPr>
          <w:rFonts w:hint="eastAsia"/>
          <w:color w:val="000000"/>
        </w:rPr>
        <w:t>该类地下水的含水层为一套以泥岩夹砂岩、薄层灰岩或砂岩与泥岩呈不等厚互层的河、湖相沉积岩。砂岩中的裂隙是地下水储存、运移的主要通道，泥岩相对隔水，含水层除裸露区外，补给条件一般较差，含水量较低，具就近补给，就近排泄的特点，天然露头泉流量一般小于0.1升/秒。该类地下水在构造条件有利的情况下，也可能形成层间承压水。</w:t>
      </w:r>
    </w:p>
    <w:p>
      <w:pPr>
        <w:ind w:firstLine="560"/>
        <w:rPr>
          <w:color w:val="000000"/>
        </w:rPr>
      </w:pPr>
      <w:r>
        <w:rPr>
          <w:rFonts w:hint="eastAsia"/>
          <w:color w:val="000000"/>
        </w:rPr>
        <w:t>（三）碎屑岩类孔隙裂隙水</w:t>
      </w:r>
    </w:p>
    <w:p>
      <w:pPr>
        <w:ind w:firstLine="560"/>
        <w:rPr>
          <w:color w:val="000000"/>
        </w:rPr>
      </w:pPr>
      <w:r>
        <w:rPr>
          <w:rFonts w:hint="eastAsia"/>
          <w:color w:val="000000"/>
        </w:rPr>
        <w:t>主要赋存于温塘峡背斜两翼、观音峡背斜两翼单斜脊状低山区出露的三叠系须家河组（T</w:t>
      </w:r>
      <w:r>
        <w:rPr>
          <w:rFonts w:hint="eastAsia"/>
          <w:color w:val="000000"/>
          <w:vertAlign w:val="subscript"/>
        </w:rPr>
        <w:t>3</w:t>
      </w:r>
      <w:r>
        <w:rPr>
          <w:rFonts w:hint="eastAsia"/>
          <w:color w:val="000000"/>
        </w:rPr>
        <w:t>xj）砂岩地层中。该类地下水出露区地质构造具单斜特征，以单斜状低山为主，含水层为一套河湖沼泽相沉积碎屑岩。该含水岩组中砂岩占总厚度的95%。砂岩间夹分布稳定的泥岩和煤层，因而赋存的砂岩中的地下水具层间承压水性质。含水层出露区多NNE和NWW向的陡倾裂隙，且层面裂隙发育，这些构造裂隙是地下水储存和运移的空间和通道，控制着地下水的分布规律和富水程度。该含水岩组中的裂隙率平均为2.82%，孔隙度为5%，泉流量一般0.01～1升/秒，单井涌水量50～200m</w:t>
      </w:r>
      <w:r>
        <w:rPr>
          <w:rFonts w:hint="eastAsia"/>
          <w:color w:val="000000"/>
          <w:vertAlign w:val="superscript"/>
        </w:rPr>
        <w:t>3</w:t>
      </w:r>
      <w:r>
        <w:rPr>
          <w:rFonts w:hint="eastAsia"/>
          <w:color w:val="000000"/>
        </w:rPr>
        <w:t>/d。</w:t>
      </w:r>
    </w:p>
    <w:p>
      <w:pPr>
        <w:ind w:firstLine="560"/>
        <w:rPr>
          <w:color w:val="000000"/>
        </w:rPr>
      </w:pPr>
      <w:r>
        <w:rPr>
          <w:rFonts w:hint="eastAsia"/>
          <w:color w:val="000000"/>
        </w:rPr>
        <w:t>（四）碳酸盐岩类岩溶裂隙水</w:t>
      </w:r>
    </w:p>
    <w:p>
      <w:pPr>
        <w:ind w:firstLine="560"/>
        <w:rPr>
          <w:color w:val="000000"/>
        </w:rPr>
      </w:pPr>
      <w:r>
        <w:rPr>
          <w:rFonts w:hint="eastAsia"/>
          <w:color w:val="000000"/>
        </w:rPr>
        <w:t>主要赋存于观音峡背斜轴部的三叠系下统飞仙关组（T</w:t>
      </w:r>
      <w:r>
        <w:rPr>
          <w:rFonts w:hint="eastAsia"/>
          <w:color w:val="000000"/>
          <w:vertAlign w:val="subscript"/>
        </w:rPr>
        <w:t>1</w:t>
      </w:r>
      <w:r>
        <w:rPr>
          <w:rFonts w:hint="eastAsia"/>
          <w:color w:val="000000"/>
        </w:rPr>
        <w:t>f）、嘉陵江组（T</w:t>
      </w:r>
      <w:r>
        <w:rPr>
          <w:rFonts w:hint="eastAsia"/>
          <w:color w:val="000000"/>
          <w:vertAlign w:val="subscript"/>
        </w:rPr>
        <w:t>1</w:t>
      </w:r>
      <w:r>
        <w:rPr>
          <w:rFonts w:hint="eastAsia"/>
          <w:color w:val="000000"/>
        </w:rPr>
        <w:t>j），中统雷口坡组（T</w:t>
      </w:r>
      <w:r>
        <w:rPr>
          <w:rFonts w:hint="eastAsia"/>
          <w:color w:val="000000"/>
          <w:vertAlign w:val="subscript"/>
        </w:rPr>
        <w:t>2</w:t>
      </w:r>
      <w:r>
        <w:rPr>
          <w:rFonts w:hint="eastAsia"/>
          <w:color w:val="000000"/>
        </w:rPr>
        <w:t>l）灰岩、白云岩、盐溶角砾岩、白云质灰岩地层中。</w:t>
      </w:r>
    </w:p>
    <w:p>
      <w:pPr>
        <w:ind w:firstLine="560"/>
        <w:rPr>
          <w:color w:val="000000"/>
        </w:rPr>
      </w:pPr>
      <w:r>
        <w:rPr>
          <w:rFonts w:hint="eastAsia"/>
          <w:color w:val="000000"/>
        </w:rPr>
        <w:t>碳酸盐岩类岩溶裂隙含水岩组是一套滨海——深海相、滨海湖相沉积的可溶性碳酸盐岩，地下水主要赋存在溶蚀裂隙和岩溶管道中，水量丰富，泉流量一般0.1～10L/S。</w:t>
      </w:r>
    </w:p>
    <w:p>
      <w:pPr>
        <w:pStyle w:val="6"/>
        <w:rPr>
          <w:rFonts w:ascii="Times New Roman" w:eastAsia="宋体"/>
          <w:color w:val="000000"/>
        </w:rPr>
      </w:pPr>
      <w:r>
        <w:rPr>
          <w:rFonts w:hint="eastAsia" w:ascii="Times New Roman" w:eastAsia="宋体"/>
          <w:color w:val="000000"/>
        </w:rPr>
        <w:t>六、人类工程活动</w:t>
      </w:r>
    </w:p>
    <w:p>
      <w:pPr>
        <w:ind w:firstLine="560"/>
        <w:rPr>
          <w:color w:val="000000"/>
        </w:rPr>
      </w:pPr>
      <w:r>
        <w:rPr>
          <w:rFonts w:hint="eastAsia"/>
          <w:color w:val="000000"/>
        </w:rPr>
        <w:t>据本次工作调查和收集资料，目前沙坪坝区主要有轨道交通建设有一号线、五号线、九号线和轨道环线的建设；铁路方面有重庆西站、沙坪坝火车站、西永客运站等综合交通换乘枢纽的建设，兰渝、渝黔、成渝客专等铁路建设；园区主要包括大学城、微电园、物流园、台资园及5个工业园区（部分园区已划入高新区）。</w:t>
      </w:r>
    </w:p>
    <w:p>
      <w:pPr>
        <w:pStyle w:val="5"/>
        <w:rPr>
          <w:rFonts w:ascii="Times New Roman" w:hAnsi="Times New Roman"/>
          <w:sz w:val="30"/>
          <w:szCs w:val="30"/>
        </w:rPr>
      </w:pPr>
      <w:r>
        <w:rPr>
          <w:rFonts w:ascii="Times New Roman" w:hAnsi="Times New Roman"/>
          <w:sz w:val="30"/>
          <w:szCs w:val="30"/>
        </w:rPr>
        <w:t>第二节  地质灾害发育现状</w:t>
      </w:r>
      <w:bookmarkEnd w:id="90"/>
    </w:p>
    <w:p>
      <w:pPr>
        <w:ind w:firstLine="560"/>
        <w:rPr>
          <w:b/>
        </w:rPr>
      </w:pPr>
      <w:bookmarkStart w:id="109" w:name="_Toc17512"/>
      <w:r>
        <w:rPr>
          <w:rFonts w:hint="eastAsia"/>
        </w:rPr>
        <w:t>沙坪坝区境内</w:t>
      </w:r>
      <w:r>
        <w:t>地质灾害点</w:t>
      </w:r>
      <w:r>
        <w:rPr>
          <w:rFonts w:hint="eastAsia" w:hAnsi="宋体"/>
          <w:szCs w:val="21"/>
        </w:rPr>
        <w:t>206处，地质灾害的种类共5类，其中不稳定斜坡118个，地面塌陷片区25个，滑坡40个，泥石流5个，危岩18个</w:t>
      </w:r>
      <w:r>
        <w:t>。</w:t>
      </w:r>
      <w:r>
        <w:rPr>
          <w:rFonts w:hint="eastAsia"/>
          <w:szCs w:val="28"/>
        </w:rPr>
        <w:t>街镇地灾害点分布情况：曾家镇5个、磁器口街道4个、丰文街道6个、凤凰镇31个、歌乐镇26个、虎溪街道9个、回龙坝镇25个、井口镇6个、青木关镇18个、沙坪坝街道4个、山洞街道3个、石井坡街道12个、双碑街道1个、覃家岗街道4个、天星桥街道3个、童家桥街道3个、土湾街道3个、土主镇4个、西永街道9个、香炉山街道7个、小龙坎街道4个、新桥街道1个、中梁镇18个。</w:t>
      </w:r>
      <w:r>
        <w:rPr>
          <w:szCs w:val="28"/>
        </w:rPr>
        <w:t>其分布</w:t>
      </w:r>
      <w:r>
        <w:rPr>
          <w:rFonts w:hint="eastAsia"/>
          <w:szCs w:val="28"/>
        </w:rPr>
        <w:t>统计</w:t>
      </w:r>
      <w:r>
        <w:rPr>
          <w:szCs w:val="28"/>
        </w:rPr>
        <w:t>详见</w:t>
      </w:r>
      <w:r>
        <w:rPr>
          <w:rFonts w:hint="eastAsia"/>
          <w:szCs w:val="28"/>
        </w:rPr>
        <w:t>附表3（虎溪街道、西永街道、曾家镇、香炉山街道已划入高新区管理）。</w:t>
      </w:r>
    </w:p>
    <w:p>
      <w:pPr>
        <w:pStyle w:val="4"/>
        <w:spacing w:before="0" w:after="0" w:line="360" w:lineRule="auto"/>
        <w:jc w:val="both"/>
        <w:rPr>
          <w:rFonts w:ascii="Times New Roman" w:hAnsi="Times New Roman"/>
        </w:rPr>
      </w:pPr>
    </w:p>
    <w:p>
      <w:pPr>
        <w:pStyle w:val="4"/>
        <w:spacing w:before="0" w:after="0" w:line="360" w:lineRule="auto"/>
        <w:ind w:firstLine="1807" w:firstLineChars="500"/>
        <w:jc w:val="both"/>
        <w:rPr>
          <w:rFonts w:ascii="Times New Roman" w:hAnsi="Times New Roman"/>
        </w:rPr>
      </w:pPr>
      <w:r>
        <w:rPr>
          <w:rFonts w:ascii="Times New Roman" w:hAnsi="Times New Roman"/>
        </w:rPr>
        <w:t>第</w:t>
      </w:r>
      <w:r>
        <w:rPr>
          <w:rFonts w:hint="eastAsia" w:ascii="Times New Roman" w:hAnsi="Times New Roman"/>
        </w:rPr>
        <w:t>四章</w:t>
      </w:r>
      <w:r>
        <w:rPr>
          <w:rFonts w:ascii="Times New Roman" w:hAnsi="Times New Roman"/>
        </w:rPr>
        <w:t xml:space="preserve">  地质灾害易发程度分区</w:t>
      </w:r>
      <w:bookmarkEnd w:id="109"/>
    </w:p>
    <w:p>
      <w:pPr>
        <w:ind w:firstLine="560"/>
      </w:pPr>
      <w:bookmarkStart w:id="110" w:name="_Toc193701734"/>
    </w:p>
    <w:p>
      <w:pPr>
        <w:pStyle w:val="6"/>
      </w:pPr>
      <w:r>
        <w:t>一、</w:t>
      </w:r>
      <w:r>
        <w:rPr>
          <w:rFonts w:hint="eastAsia"/>
        </w:rPr>
        <w:t>分区原则</w:t>
      </w:r>
    </w:p>
    <w:p>
      <w:pPr>
        <w:ind w:firstLine="560"/>
        <w:rPr>
          <w:rFonts w:hAnsi="宋体"/>
          <w:szCs w:val="21"/>
        </w:rPr>
      </w:pPr>
      <w:r>
        <w:rPr>
          <w:rFonts w:hint="eastAsia" w:hAnsi="宋体"/>
          <w:szCs w:val="21"/>
        </w:rPr>
        <w:t>影响沙坪坝区地质灾害的发生、发展的致灾因子较多，主要的有地形地貌、地层岩性、地质构造、降雨、水文、人类工程活动及“十三五”沙区及道路部门规划等因素。它们之间存在着相互作用，彼此促进，彼此影响。通过敏感性分析，可确定其中的地形地貌、地层岩性、结构面组合及构造等对地质灾害的形成及规模、危害性起主导作用，它决定了地质灾害发生的动力大小和能量的转化条件，松散碎屑物质的聚积和成灾可能性。</w:t>
      </w:r>
    </w:p>
    <w:p>
      <w:pPr>
        <w:ind w:firstLine="560"/>
        <w:rPr>
          <w:rFonts w:hAnsi="宋体"/>
          <w:szCs w:val="21"/>
        </w:rPr>
      </w:pPr>
      <w:r>
        <w:rPr>
          <w:rFonts w:hint="eastAsia" w:hAnsi="宋体"/>
          <w:szCs w:val="21"/>
        </w:rPr>
        <w:t>根据上述分区原则并结合沙坪坝区的实际情况，综合定性划分和定量划分结果，最终将沙坪坝区划分为地质灾害高易发区（A）、中易发区（B）、低易发区（C）三个区。并根据地质灾害类型、发育程度、形成机制、组合特征和分布范围等，进一步划分为高易发区12个、中易发区4个、低易发区2个，共计18个亚区（含已划入高新区范围街镇）。</w:t>
      </w:r>
    </w:p>
    <w:p>
      <w:pPr>
        <w:pStyle w:val="6"/>
        <w:rPr>
          <w:rFonts w:ascii="Times New Roman" w:eastAsia="宋体"/>
        </w:rPr>
      </w:pPr>
      <w:bookmarkStart w:id="111" w:name="_Toc9762316"/>
      <w:bookmarkStart w:id="112" w:name="_Toc326329024"/>
      <w:bookmarkStart w:id="113" w:name="_Toc9762553"/>
      <w:bookmarkStart w:id="114" w:name="_Toc329604303"/>
      <w:bookmarkStart w:id="115" w:name="_Toc333392554"/>
      <w:bookmarkStart w:id="116" w:name="_Toc332789277"/>
      <w:r>
        <w:rPr>
          <w:rFonts w:hint="eastAsia" w:ascii="Times New Roman" w:eastAsia="宋体"/>
        </w:rPr>
        <w:t>二</w:t>
      </w:r>
      <w:r>
        <w:rPr>
          <w:rFonts w:ascii="Times New Roman" w:eastAsia="宋体"/>
        </w:rPr>
        <w:t>、地质灾害</w:t>
      </w:r>
      <w:r>
        <w:rPr>
          <w:rFonts w:hint="eastAsia" w:ascii="Times New Roman" w:eastAsia="宋体"/>
        </w:rPr>
        <w:t>易发程度分</w:t>
      </w:r>
      <w:r>
        <w:rPr>
          <w:rFonts w:ascii="Times New Roman" w:eastAsia="宋体"/>
        </w:rPr>
        <w:t>区</w:t>
      </w:r>
      <w:bookmarkEnd w:id="111"/>
      <w:bookmarkEnd w:id="112"/>
      <w:bookmarkEnd w:id="113"/>
      <w:bookmarkEnd w:id="114"/>
      <w:bookmarkEnd w:id="115"/>
      <w:bookmarkEnd w:id="116"/>
    </w:p>
    <w:p>
      <w:pPr>
        <w:spacing w:line="360" w:lineRule="auto"/>
        <w:ind w:firstLine="562"/>
        <w:rPr>
          <w:b/>
          <w:bCs/>
        </w:rPr>
      </w:pPr>
      <w:r>
        <w:rPr>
          <w:rFonts w:hint="eastAsia"/>
          <w:b/>
          <w:bCs/>
        </w:rPr>
        <w:t>（一）</w:t>
      </w:r>
      <w:r>
        <w:rPr>
          <w:b/>
          <w:bCs/>
        </w:rPr>
        <w:t>地质灾害高易发区（</w:t>
      </w:r>
      <w:r>
        <w:rPr>
          <w:rFonts w:hint="eastAsia"/>
          <w:b/>
          <w:bCs/>
        </w:rPr>
        <w:t>A</w:t>
      </w:r>
      <w:r>
        <w:rPr>
          <w:b/>
          <w:bCs/>
        </w:rPr>
        <w:t>）</w:t>
      </w:r>
    </w:p>
    <w:p>
      <w:pPr>
        <w:adjustRightInd w:val="0"/>
        <w:snapToGrid w:val="0"/>
        <w:ind w:firstLine="560"/>
        <w:rPr>
          <w:rFonts w:ascii="宋体" w:hAnsi="宋体"/>
          <w:color w:val="000000"/>
          <w:szCs w:val="28"/>
        </w:rPr>
      </w:pPr>
      <w:r>
        <w:rPr>
          <w:rFonts w:hint="eastAsia" w:hAnsi="宋体"/>
          <w:szCs w:val="21"/>
        </w:rPr>
        <w:t>主要包括四个地区：缙云山西侧顺向山体片区（A1）、缙云山东侧顺向山体片区（A2）、中梁山西侧顺向山体片区（A3）、中梁山东侧顺向山体片区（A4）、中梁镇北侧西槽谷地面塌陷区（A5）、中梁镇北侧东槽谷（地面塌陷区A6）、中梁镇新房子地面塌陷区（A7）、中梁镇水井坎-大龙井地面塌陷区（A8）、中梁镇-歌乐山镇地面塌陷区（A9）、中梁镇、中部东侧槽谷（A10）、歌乐山镇南侧地面塌陷区（A11）、山洞街道地面塌陷区（A12），面划积约62.51km</w:t>
      </w:r>
      <w:r>
        <w:rPr>
          <w:rFonts w:hint="eastAsia" w:hAnsi="宋体"/>
          <w:szCs w:val="21"/>
          <w:vertAlign w:val="superscript"/>
        </w:rPr>
        <w:t>2</w:t>
      </w:r>
      <w:r>
        <w:rPr>
          <w:rFonts w:hint="eastAsia" w:hAnsi="宋体"/>
          <w:szCs w:val="21"/>
        </w:rPr>
        <w:t>,分布地质灾害点29处（表4.1）。</w:t>
      </w:r>
    </w:p>
    <w:p>
      <w:pPr>
        <w:adjustRightInd w:val="0"/>
        <w:snapToGrid w:val="0"/>
        <w:spacing w:line="360" w:lineRule="auto"/>
        <w:ind w:firstLine="482"/>
        <w:jc w:val="center"/>
        <w:rPr>
          <w:rFonts w:ascii="宋体" w:hAnsi="宋体" w:cs="宋体"/>
          <w:b/>
          <w:bCs/>
          <w:color w:val="000000"/>
          <w:sz w:val="24"/>
        </w:rPr>
      </w:pPr>
      <w:r>
        <w:rPr>
          <w:rFonts w:hint="eastAsia" w:ascii="宋体" w:hAnsi="宋体" w:cs="宋体"/>
          <w:b/>
          <w:bCs/>
          <w:color w:val="000000"/>
          <w:sz w:val="24"/>
        </w:rPr>
        <w:t>表4.1 沙坪坝区地质灾害高易发区说明表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46"/>
        <w:gridCol w:w="163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9" w:type="dxa"/>
            <w:shd w:val="clear" w:color="auto" w:fill="auto"/>
            <w:vAlign w:val="center"/>
          </w:tcPr>
          <w:p>
            <w:pPr>
              <w:pStyle w:val="17"/>
              <w:jc w:val="center"/>
            </w:pPr>
            <w:r>
              <w:rPr>
                <w:rFonts w:hint="eastAsia"/>
              </w:rPr>
              <w:t>分区编号</w:t>
            </w:r>
          </w:p>
        </w:tc>
        <w:tc>
          <w:tcPr>
            <w:tcW w:w="1046" w:type="dxa"/>
            <w:shd w:val="clear" w:color="auto" w:fill="auto"/>
            <w:vAlign w:val="center"/>
          </w:tcPr>
          <w:p>
            <w:pPr>
              <w:pStyle w:val="17"/>
              <w:jc w:val="center"/>
            </w:pPr>
            <w:r>
              <w:rPr>
                <w:rFonts w:hint="eastAsia"/>
              </w:rPr>
              <w:t>灾害数量（区）</w:t>
            </w:r>
          </w:p>
        </w:tc>
        <w:tc>
          <w:tcPr>
            <w:tcW w:w="1630" w:type="dxa"/>
            <w:shd w:val="clear" w:color="auto" w:fill="auto"/>
            <w:vAlign w:val="center"/>
          </w:tcPr>
          <w:p>
            <w:pPr>
              <w:pStyle w:val="17"/>
              <w:jc w:val="center"/>
            </w:pPr>
            <w:r>
              <w:rPr>
                <w:rFonts w:hint="eastAsia"/>
              </w:rPr>
              <w:t>面积（k㎡）</w:t>
            </w:r>
          </w:p>
        </w:tc>
        <w:tc>
          <w:tcPr>
            <w:tcW w:w="6483" w:type="dxa"/>
            <w:shd w:val="clear" w:color="auto" w:fill="auto"/>
            <w:vAlign w:val="center"/>
          </w:tcPr>
          <w:p>
            <w:pPr>
              <w:pStyle w:val="17"/>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9" w:type="dxa"/>
            <w:shd w:val="clear" w:color="auto" w:fill="auto"/>
            <w:vAlign w:val="center"/>
          </w:tcPr>
          <w:p>
            <w:pPr>
              <w:pStyle w:val="17"/>
              <w:jc w:val="center"/>
            </w:pPr>
            <w:r>
              <w:rPr>
                <w:rFonts w:hint="eastAsia"/>
              </w:rPr>
              <w:t>A1</w:t>
            </w:r>
          </w:p>
        </w:tc>
        <w:tc>
          <w:tcPr>
            <w:tcW w:w="1046" w:type="dxa"/>
            <w:shd w:val="clear" w:color="auto" w:fill="auto"/>
            <w:vAlign w:val="center"/>
          </w:tcPr>
          <w:p>
            <w:pPr>
              <w:pStyle w:val="17"/>
              <w:jc w:val="center"/>
            </w:pPr>
            <w:r>
              <w:rPr>
                <w:rFonts w:hint="eastAsia"/>
              </w:rPr>
              <w:t>2</w:t>
            </w:r>
          </w:p>
        </w:tc>
        <w:tc>
          <w:tcPr>
            <w:tcW w:w="1630" w:type="dxa"/>
            <w:shd w:val="clear" w:color="auto" w:fill="auto"/>
            <w:vAlign w:val="center"/>
          </w:tcPr>
          <w:p>
            <w:pPr>
              <w:pStyle w:val="17"/>
              <w:jc w:val="center"/>
            </w:pPr>
            <w:r>
              <w:rPr>
                <w:rFonts w:hint="eastAsia"/>
              </w:rPr>
              <w:t>2.59</w:t>
            </w:r>
          </w:p>
        </w:tc>
        <w:tc>
          <w:tcPr>
            <w:tcW w:w="6483" w:type="dxa"/>
            <w:shd w:val="clear" w:color="auto" w:fill="auto"/>
            <w:vAlign w:val="center"/>
          </w:tcPr>
          <w:p>
            <w:pPr>
              <w:pStyle w:val="17"/>
              <w:jc w:val="left"/>
            </w:pPr>
            <w:r>
              <w:rPr>
                <w:rFonts w:hint="eastAsia"/>
              </w:rPr>
              <w:t>该区域位于缙云山西侧，由于地形坡度较大，多为顺向坡，地质条件较差，人类工程活动较一般，该区域发生地质灾害的可能性大。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9" w:type="dxa"/>
            <w:shd w:val="clear" w:color="auto" w:fill="auto"/>
            <w:vAlign w:val="center"/>
          </w:tcPr>
          <w:p>
            <w:pPr>
              <w:pStyle w:val="17"/>
              <w:jc w:val="center"/>
            </w:pPr>
            <w:r>
              <w:rPr>
                <w:rFonts w:hint="eastAsia"/>
              </w:rPr>
              <w:t>A2</w:t>
            </w:r>
          </w:p>
        </w:tc>
        <w:tc>
          <w:tcPr>
            <w:tcW w:w="1046" w:type="dxa"/>
            <w:shd w:val="clear" w:color="auto" w:fill="auto"/>
            <w:vAlign w:val="center"/>
          </w:tcPr>
          <w:p>
            <w:pPr>
              <w:pStyle w:val="17"/>
              <w:jc w:val="center"/>
            </w:pPr>
            <w:r>
              <w:rPr>
                <w:rFonts w:hint="eastAsia"/>
              </w:rPr>
              <w:t>15</w:t>
            </w:r>
          </w:p>
        </w:tc>
        <w:tc>
          <w:tcPr>
            <w:tcW w:w="1630" w:type="dxa"/>
            <w:shd w:val="clear" w:color="auto" w:fill="auto"/>
            <w:vAlign w:val="center"/>
          </w:tcPr>
          <w:p>
            <w:pPr>
              <w:pStyle w:val="17"/>
              <w:jc w:val="center"/>
            </w:pPr>
            <w:r>
              <w:rPr>
                <w:rFonts w:hint="eastAsia"/>
              </w:rPr>
              <w:t>21.52</w:t>
            </w:r>
          </w:p>
        </w:tc>
        <w:tc>
          <w:tcPr>
            <w:tcW w:w="6483" w:type="dxa"/>
            <w:shd w:val="clear" w:color="auto" w:fill="auto"/>
            <w:vAlign w:val="center"/>
          </w:tcPr>
          <w:p>
            <w:pPr>
              <w:pStyle w:val="17"/>
              <w:jc w:val="left"/>
            </w:pPr>
            <w:r>
              <w:rPr>
                <w:rFonts w:hint="eastAsia"/>
              </w:rPr>
              <w:t>该区域位于缙云山东侧，由于地形坡度较大，多为顺向坡，地质条件较差，人类工程活动较一般，该区域发生地质灾害的可能性大。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9" w:type="dxa"/>
            <w:shd w:val="clear" w:color="auto" w:fill="auto"/>
            <w:vAlign w:val="center"/>
          </w:tcPr>
          <w:p>
            <w:pPr>
              <w:pStyle w:val="17"/>
              <w:jc w:val="center"/>
            </w:pPr>
            <w:r>
              <w:rPr>
                <w:rFonts w:hint="eastAsia"/>
              </w:rPr>
              <w:t>A3</w:t>
            </w:r>
          </w:p>
        </w:tc>
        <w:tc>
          <w:tcPr>
            <w:tcW w:w="1046" w:type="dxa"/>
            <w:shd w:val="clear" w:color="auto" w:fill="auto"/>
            <w:vAlign w:val="center"/>
          </w:tcPr>
          <w:p>
            <w:pPr>
              <w:pStyle w:val="17"/>
              <w:jc w:val="center"/>
            </w:pPr>
            <w:r>
              <w:rPr>
                <w:rFonts w:hint="eastAsia"/>
              </w:rPr>
              <w:t>10</w:t>
            </w:r>
          </w:p>
        </w:tc>
        <w:tc>
          <w:tcPr>
            <w:tcW w:w="1630" w:type="dxa"/>
            <w:shd w:val="clear" w:color="auto" w:fill="auto"/>
            <w:vAlign w:val="center"/>
          </w:tcPr>
          <w:p>
            <w:pPr>
              <w:pStyle w:val="17"/>
              <w:jc w:val="center"/>
            </w:pPr>
            <w:r>
              <w:rPr>
                <w:rFonts w:hint="eastAsia"/>
              </w:rPr>
              <w:t>12.25</w:t>
            </w:r>
          </w:p>
        </w:tc>
        <w:tc>
          <w:tcPr>
            <w:tcW w:w="6483" w:type="dxa"/>
            <w:shd w:val="clear" w:color="auto" w:fill="auto"/>
            <w:vAlign w:val="center"/>
          </w:tcPr>
          <w:p>
            <w:pPr>
              <w:pStyle w:val="17"/>
              <w:jc w:val="left"/>
            </w:pPr>
            <w:r>
              <w:rPr>
                <w:rFonts w:hint="eastAsia"/>
              </w:rPr>
              <w:t>该区域位于中梁山西侧，由于地形坡度较大，多为顺向坡，地质条件较差，人类工程活动较一般，该区域发生地质灾害的可能性大。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79" w:type="dxa"/>
            <w:shd w:val="clear" w:color="auto" w:fill="auto"/>
            <w:vAlign w:val="center"/>
          </w:tcPr>
          <w:p>
            <w:pPr>
              <w:pStyle w:val="17"/>
              <w:jc w:val="center"/>
            </w:pPr>
            <w:r>
              <w:rPr>
                <w:rFonts w:hint="eastAsia"/>
              </w:rPr>
              <w:t>A4</w:t>
            </w:r>
          </w:p>
        </w:tc>
        <w:tc>
          <w:tcPr>
            <w:tcW w:w="1046" w:type="dxa"/>
            <w:shd w:val="clear" w:color="auto" w:fill="auto"/>
            <w:vAlign w:val="center"/>
          </w:tcPr>
          <w:p>
            <w:pPr>
              <w:pStyle w:val="17"/>
              <w:jc w:val="center"/>
            </w:pPr>
            <w:r>
              <w:rPr>
                <w:rFonts w:hint="eastAsia"/>
              </w:rPr>
              <w:t>10</w:t>
            </w:r>
          </w:p>
        </w:tc>
        <w:tc>
          <w:tcPr>
            <w:tcW w:w="1630" w:type="dxa"/>
            <w:shd w:val="clear" w:color="auto" w:fill="auto"/>
            <w:vAlign w:val="center"/>
          </w:tcPr>
          <w:p>
            <w:pPr>
              <w:pStyle w:val="17"/>
              <w:jc w:val="center"/>
            </w:pPr>
            <w:r>
              <w:rPr>
                <w:rFonts w:hint="eastAsia"/>
              </w:rPr>
              <w:t>14.80</w:t>
            </w:r>
          </w:p>
        </w:tc>
        <w:tc>
          <w:tcPr>
            <w:tcW w:w="6483" w:type="dxa"/>
            <w:shd w:val="clear" w:color="auto" w:fill="auto"/>
            <w:vAlign w:val="center"/>
          </w:tcPr>
          <w:p>
            <w:pPr>
              <w:pStyle w:val="17"/>
              <w:jc w:val="left"/>
            </w:pPr>
            <w:r>
              <w:rPr>
                <w:rFonts w:hint="eastAsia"/>
              </w:rPr>
              <w:t>该区域位于中梁山东侧，由于地形坡度较大，多为顺向坡，地质条件较差，人类工程活动较一般，该区域发生地质灾害的可能性大。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79" w:type="dxa"/>
            <w:shd w:val="clear" w:color="auto" w:fill="auto"/>
            <w:vAlign w:val="center"/>
          </w:tcPr>
          <w:p>
            <w:pPr>
              <w:pStyle w:val="17"/>
              <w:jc w:val="center"/>
            </w:pPr>
            <w:r>
              <w:rPr>
                <w:rFonts w:hint="eastAsia"/>
              </w:rPr>
              <w:t>A5</w:t>
            </w:r>
          </w:p>
        </w:tc>
        <w:tc>
          <w:tcPr>
            <w:tcW w:w="1046" w:type="dxa"/>
            <w:shd w:val="clear" w:color="auto" w:fill="auto"/>
            <w:vAlign w:val="center"/>
          </w:tcPr>
          <w:p>
            <w:pPr>
              <w:pStyle w:val="17"/>
              <w:jc w:val="center"/>
            </w:pPr>
            <w:r>
              <w:rPr>
                <w:rFonts w:hint="eastAsia"/>
              </w:rPr>
              <w:t>1</w:t>
            </w:r>
          </w:p>
        </w:tc>
        <w:tc>
          <w:tcPr>
            <w:tcW w:w="1630" w:type="dxa"/>
            <w:shd w:val="clear" w:color="auto" w:fill="auto"/>
            <w:vAlign w:val="center"/>
          </w:tcPr>
          <w:p>
            <w:pPr>
              <w:pStyle w:val="17"/>
              <w:jc w:val="center"/>
            </w:pPr>
            <w:r>
              <w:rPr>
                <w:rFonts w:hint="eastAsia"/>
              </w:rPr>
              <w:t>0.58</w:t>
            </w:r>
          </w:p>
        </w:tc>
        <w:tc>
          <w:tcPr>
            <w:tcW w:w="6483" w:type="dxa"/>
            <w:shd w:val="clear" w:color="auto" w:fill="auto"/>
            <w:vAlign w:val="center"/>
          </w:tcPr>
          <w:p>
            <w:pPr>
              <w:pStyle w:val="17"/>
              <w:jc w:val="left"/>
            </w:pPr>
            <w:r>
              <w:rPr>
                <w:rFonts w:hint="eastAsia"/>
              </w:rPr>
              <w:t>受人类工程活动影响，该区域分布1一处塌陷区，包含多个塌陷。该区域未来发生塌陷的可能性大。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79" w:type="dxa"/>
            <w:shd w:val="clear" w:color="auto" w:fill="auto"/>
            <w:vAlign w:val="center"/>
          </w:tcPr>
          <w:p>
            <w:pPr>
              <w:pStyle w:val="17"/>
              <w:jc w:val="center"/>
            </w:pPr>
            <w:r>
              <w:rPr>
                <w:rFonts w:hint="eastAsia"/>
              </w:rPr>
              <w:t>A6</w:t>
            </w:r>
          </w:p>
        </w:tc>
        <w:tc>
          <w:tcPr>
            <w:tcW w:w="1046" w:type="dxa"/>
            <w:shd w:val="clear" w:color="auto" w:fill="auto"/>
            <w:vAlign w:val="center"/>
          </w:tcPr>
          <w:p>
            <w:pPr>
              <w:pStyle w:val="17"/>
              <w:jc w:val="center"/>
            </w:pPr>
            <w:r>
              <w:rPr>
                <w:rFonts w:hint="eastAsia"/>
              </w:rPr>
              <w:t>1</w:t>
            </w:r>
          </w:p>
        </w:tc>
        <w:tc>
          <w:tcPr>
            <w:tcW w:w="1630" w:type="dxa"/>
            <w:shd w:val="clear" w:color="auto" w:fill="auto"/>
            <w:vAlign w:val="center"/>
          </w:tcPr>
          <w:p>
            <w:pPr>
              <w:pStyle w:val="17"/>
              <w:jc w:val="center"/>
            </w:pPr>
            <w:r>
              <w:rPr>
                <w:rFonts w:hint="eastAsia"/>
              </w:rPr>
              <w:t>0.45</w:t>
            </w:r>
          </w:p>
        </w:tc>
        <w:tc>
          <w:tcPr>
            <w:tcW w:w="6483" w:type="dxa"/>
            <w:shd w:val="clear" w:color="auto" w:fill="auto"/>
            <w:vAlign w:val="center"/>
          </w:tcPr>
          <w:p>
            <w:pPr>
              <w:pStyle w:val="17"/>
              <w:jc w:val="left"/>
            </w:pPr>
            <w:r>
              <w:rPr>
                <w:rFonts w:hint="eastAsia"/>
              </w:rPr>
              <w:t>受人类工程活动影响，该区域分布1处塌陷区，包含多个塌陷。该区域未来发生塌陷的可能性大。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9" w:type="dxa"/>
            <w:shd w:val="clear" w:color="auto" w:fill="auto"/>
            <w:vAlign w:val="center"/>
          </w:tcPr>
          <w:p>
            <w:pPr>
              <w:pStyle w:val="17"/>
              <w:jc w:val="center"/>
            </w:pPr>
            <w:r>
              <w:rPr>
                <w:rFonts w:hint="eastAsia"/>
              </w:rPr>
              <w:t>A7</w:t>
            </w:r>
          </w:p>
        </w:tc>
        <w:tc>
          <w:tcPr>
            <w:tcW w:w="1046" w:type="dxa"/>
            <w:shd w:val="clear" w:color="auto" w:fill="auto"/>
            <w:vAlign w:val="center"/>
          </w:tcPr>
          <w:p>
            <w:pPr>
              <w:pStyle w:val="17"/>
              <w:jc w:val="center"/>
            </w:pPr>
            <w:r>
              <w:rPr>
                <w:rFonts w:hint="eastAsia"/>
              </w:rPr>
              <w:t>0</w:t>
            </w:r>
          </w:p>
        </w:tc>
        <w:tc>
          <w:tcPr>
            <w:tcW w:w="1630" w:type="dxa"/>
            <w:shd w:val="clear" w:color="auto" w:fill="auto"/>
            <w:vAlign w:val="center"/>
          </w:tcPr>
          <w:p>
            <w:pPr>
              <w:pStyle w:val="17"/>
              <w:jc w:val="center"/>
            </w:pPr>
            <w:r>
              <w:rPr>
                <w:rFonts w:hint="eastAsia"/>
              </w:rPr>
              <w:t>0.55</w:t>
            </w:r>
          </w:p>
        </w:tc>
        <w:tc>
          <w:tcPr>
            <w:tcW w:w="6483" w:type="dxa"/>
            <w:shd w:val="clear" w:color="auto" w:fill="auto"/>
            <w:vAlign w:val="center"/>
          </w:tcPr>
          <w:p>
            <w:pPr>
              <w:pStyle w:val="17"/>
              <w:jc w:val="left"/>
            </w:pPr>
            <w:r>
              <w:rPr>
                <w:rFonts w:hint="eastAsia"/>
              </w:rPr>
              <w:t>受人类工程活动影响，该区域暂无险情，结合规划及现阶段人类工程活动，该区域未来发生塌陷的可能性大。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79" w:type="dxa"/>
            <w:shd w:val="clear" w:color="auto" w:fill="auto"/>
            <w:vAlign w:val="center"/>
          </w:tcPr>
          <w:p>
            <w:pPr>
              <w:pStyle w:val="17"/>
              <w:jc w:val="center"/>
            </w:pPr>
            <w:r>
              <w:rPr>
                <w:rFonts w:hint="eastAsia"/>
              </w:rPr>
              <w:t>A8</w:t>
            </w:r>
          </w:p>
        </w:tc>
        <w:tc>
          <w:tcPr>
            <w:tcW w:w="1046" w:type="dxa"/>
            <w:shd w:val="clear" w:color="auto" w:fill="auto"/>
            <w:vAlign w:val="center"/>
          </w:tcPr>
          <w:p>
            <w:pPr>
              <w:pStyle w:val="17"/>
              <w:jc w:val="center"/>
            </w:pPr>
            <w:r>
              <w:rPr>
                <w:rFonts w:hint="eastAsia"/>
              </w:rPr>
              <w:t>4</w:t>
            </w:r>
          </w:p>
        </w:tc>
        <w:tc>
          <w:tcPr>
            <w:tcW w:w="1630" w:type="dxa"/>
            <w:shd w:val="clear" w:color="auto" w:fill="auto"/>
            <w:vAlign w:val="center"/>
          </w:tcPr>
          <w:p>
            <w:pPr>
              <w:pStyle w:val="17"/>
              <w:jc w:val="center"/>
            </w:pPr>
            <w:r>
              <w:rPr>
                <w:rFonts w:hint="eastAsia"/>
              </w:rPr>
              <w:t>1.41</w:t>
            </w:r>
          </w:p>
        </w:tc>
        <w:tc>
          <w:tcPr>
            <w:tcW w:w="6483" w:type="dxa"/>
            <w:shd w:val="clear" w:color="auto" w:fill="auto"/>
            <w:vAlign w:val="center"/>
          </w:tcPr>
          <w:p>
            <w:pPr>
              <w:pStyle w:val="17"/>
              <w:jc w:val="left"/>
            </w:pPr>
            <w:r>
              <w:rPr>
                <w:rFonts w:hint="eastAsia"/>
              </w:rPr>
              <w:t>受人类工程活动影响，该区域分布4处塌陷区，包含多个塌陷。该区域未来发生塌陷的可能性大。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79" w:type="dxa"/>
            <w:shd w:val="clear" w:color="auto" w:fill="auto"/>
            <w:vAlign w:val="center"/>
          </w:tcPr>
          <w:p>
            <w:pPr>
              <w:pStyle w:val="17"/>
              <w:jc w:val="center"/>
            </w:pPr>
            <w:r>
              <w:rPr>
                <w:rFonts w:hint="eastAsia"/>
              </w:rPr>
              <w:t>A9</w:t>
            </w:r>
          </w:p>
        </w:tc>
        <w:tc>
          <w:tcPr>
            <w:tcW w:w="1046" w:type="dxa"/>
            <w:shd w:val="clear" w:color="auto" w:fill="auto"/>
            <w:vAlign w:val="center"/>
          </w:tcPr>
          <w:p>
            <w:pPr>
              <w:pStyle w:val="17"/>
              <w:jc w:val="center"/>
            </w:pPr>
            <w:r>
              <w:rPr>
                <w:rFonts w:hint="eastAsia"/>
              </w:rPr>
              <w:t>17</w:t>
            </w:r>
          </w:p>
        </w:tc>
        <w:tc>
          <w:tcPr>
            <w:tcW w:w="1630" w:type="dxa"/>
            <w:shd w:val="clear" w:color="auto" w:fill="auto"/>
            <w:vAlign w:val="center"/>
          </w:tcPr>
          <w:p>
            <w:pPr>
              <w:pStyle w:val="17"/>
              <w:jc w:val="center"/>
            </w:pPr>
            <w:r>
              <w:rPr>
                <w:rFonts w:hint="eastAsia"/>
              </w:rPr>
              <w:t>5.65</w:t>
            </w:r>
          </w:p>
        </w:tc>
        <w:tc>
          <w:tcPr>
            <w:tcW w:w="6483" w:type="dxa"/>
            <w:shd w:val="clear" w:color="auto" w:fill="auto"/>
            <w:vAlign w:val="center"/>
          </w:tcPr>
          <w:p>
            <w:pPr>
              <w:pStyle w:val="17"/>
              <w:jc w:val="left"/>
            </w:pPr>
            <w:r>
              <w:rPr>
                <w:rFonts w:hint="eastAsia"/>
              </w:rPr>
              <w:t>受人类工程活动影响极强烈，该区域分布16处塌陷区，包含多个塌陷，一个滑坡。该区域未来发生塌陷的可能性大。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9" w:type="dxa"/>
            <w:shd w:val="clear" w:color="auto" w:fill="auto"/>
            <w:vAlign w:val="center"/>
          </w:tcPr>
          <w:p>
            <w:pPr>
              <w:pStyle w:val="17"/>
              <w:jc w:val="center"/>
            </w:pPr>
            <w:r>
              <w:rPr>
                <w:rFonts w:hint="eastAsia"/>
              </w:rPr>
              <w:t>A10</w:t>
            </w:r>
          </w:p>
        </w:tc>
        <w:tc>
          <w:tcPr>
            <w:tcW w:w="1046" w:type="dxa"/>
            <w:shd w:val="clear" w:color="auto" w:fill="auto"/>
            <w:vAlign w:val="center"/>
          </w:tcPr>
          <w:p>
            <w:pPr>
              <w:pStyle w:val="17"/>
              <w:jc w:val="center"/>
            </w:pPr>
            <w:r>
              <w:rPr>
                <w:rFonts w:hint="eastAsia"/>
              </w:rPr>
              <w:t>0</w:t>
            </w:r>
          </w:p>
        </w:tc>
        <w:tc>
          <w:tcPr>
            <w:tcW w:w="1630" w:type="dxa"/>
            <w:shd w:val="clear" w:color="auto" w:fill="auto"/>
            <w:vAlign w:val="center"/>
          </w:tcPr>
          <w:p>
            <w:pPr>
              <w:pStyle w:val="17"/>
              <w:jc w:val="center"/>
            </w:pPr>
            <w:r>
              <w:rPr>
                <w:rFonts w:hint="eastAsia"/>
              </w:rPr>
              <w:t>0.73</w:t>
            </w:r>
          </w:p>
        </w:tc>
        <w:tc>
          <w:tcPr>
            <w:tcW w:w="6483" w:type="dxa"/>
            <w:shd w:val="clear" w:color="auto" w:fill="auto"/>
            <w:vAlign w:val="center"/>
          </w:tcPr>
          <w:p>
            <w:pPr>
              <w:pStyle w:val="17"/>
              <w:jc w:val="left"/>
            </w:pPr>
            <w:r>
              <w:rPr>
                <w:rFonts w:hint="eastAsia"/>
              </w:rPr>
              <w:t>受人类工程活动影响，该区域暂无险情，结合规划及现阶段人类工程活动，该区域未来发生塌陷的可能性大。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79" w:type="dxa"/>
            <w:shd w:val="clear" w:color="auto" w:fill="auto"/>
            <w:vAlign w:val="center"/>
          </w:tcPr>
          <w:p>
            <w:pPr>
              <w:pStyle w:val="17"/>
              <w:jc w:val="center"/>
            </w:pPr>
            <w:r>
              <w:rPr>
                <w:rFonts w:hint="eastAsia"/>
              </w:rPr>
              <w:t>A11</w:t>
            </w:r>
          </w:p>
        </w:tc>
        <w:tc>
          <w:tcPr>
            <w:tcW w:w="1046" w:type="dxa"/>
            <w:shd w:val="clear" w:color="auto" w:fill="auto"/>
            <w:vAlign w:val="center"/>
          </w:tcPr>
          <w:p>
            <w:pPr>
              <w:pStyle w:val="17"/>
              <w:jc w:val="center"/>
            </w:pPr>
            <w:r>
              <w:rPr>
                <w:rFonts w:hint="eastAsia"/>
              </w:rPr>
              <w:t>0</w:t>
            </w:r>
          </w:p>
        </w:tc>
        <w:tc>
          <w:tcPr>
            <w:tcW w:w="1630" w:type="dxa"/>
            <w:shd w:val="clear" w:color="auto" w:fill="auto"/>
            <w:vAlign w:val="center"/>
          </w:tcPr>
          <w:p>
            <w:pPr>
              <w:pStyle w:val="17"/>
              <w:jc w:val="center"/>
            </w:pPr>
            <w:r>
              <w:rPr>
                <w:rFonts w:hint="eastAsia"/>
              </w:rPr>
              <w:t>0.85</w:t>
            </w:r>
          </w:p>
        </w:tc>
        <w:tc>
          <w:tcPr>
            <w:tcW w:w="6483" w:type="dxa"/>
            <w:shd w:val="clear" w:color="auto" w:fill="auto"/>
            <w:vAlign w:val="center"/>
          </w:tcPr>
          <w:p>
            <w:pPr>
              <w:pStyle w:val="17"/>
              <w:jc w:val="left"/>
            </w:pPr>
            <w:r>
              <w:rPr>
                <w:rFonts w:hint="eastAsia"/>
              </w:rPr>
              <w:t>受人类工程活动影响，该区域暂无险情，结合规划及现阶段人类工程活动，该区域未来发生塌陷的可能性大。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79" w:type="dxa"/>
            <w:shd w:val="clear" w:color="auto" w:fill="auto"/>
            <w:vAlign w:val="center"/>
          </w:tcPr>
          <w:p>
            <w:pPr>
              <w:pStyle w:val="17"/>
              <w:jc w:val="center"/>
            </w:pPr>
            <w:r>
              <w:rPr>
                <w:rFonts w:hint="eastAsia"/>
              </w:rPr>
              <w:t>A12</w:t>
            </w:r>
          </w:p>
        </w:tc>
        <w:tc>
          <w:tcPr>
            <w:tcW w:w="1046" w:type="dxa"/>
            <w:shd w:val="clear" w:color="auto" w:fill="auto"/>
            <w:vAlign w:val="center"/>
          </w:tcPr>
          <w:p>
            <w:pPr>
              <w:pStyle w:val="17"/>
              <w:jc w:val="center"/>
            </w:pPr>
            <w:r>
              <w:rPr>
                <w:rFonts w:hint="eastAsia"/>
              </w:rPr>
              <w:t>1</w:t>
            </w:r>
          </w:p>
        </w:tc>
        <w:tc>
          <w:tcPr>
            <w:tcW w:w="1630" w:type="dxa"/>
            <w:shd w:val="clear" w:color="auto" w:fill="auto"/>
            <w:vAlign w:val="center"/>
          </w:tcPr>
          <w:p>
            <w:pPr>
              <w:pStyle w:val="17"/>
              <w:jc w:val="center"/>
            </w:pPr>
            <w:r>
              <w:rPr>
                <w:rFonts w:hint="eastAsia"/>
              </w:rPr>
              <w:t>1.13</w:t>
            </w:r>
          </w:p>
        </w:tc>
        <w:tc>
          <w:tcPr>
            <w:tcW w:w="6483" w:type="dxa"/>
            <w:shd w:val="clear" w:color="auto" w:fill="auto"/>
            <w:vAlign w:val="center"/>
          </w:tcPr>
          <w:p>
            <w:pPr>
              <w:pStyle w:val="17"/>
              <w:jc w:val="left"/>
            </w:pPr>
            <w:r>
              <w:rPr>
                <w:rFonts w:hint="eastAsia"/>
              </w:rPr>
              <w:t>受人类工程活动影响，该区域分布1处塌陷区，包含多个塌陷。该区域未来发生塌陷的可能性大。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9" w:type="dxa"/>
            <w:shd w:val="clear" w:color="auto" w:fill="auto"/>
            <w:vAlign w:val="center"/>
          </w:tcPr>
          <w:p>
            <w:pPr>
              <w:pStyle w:val="17"/>
              <w:jc w:val="center"/>
            </w:pPr>
            <w:r>
              <w:rPr>
                <w:rFonts w:hint="eastAsia"/>
              </w:rPr>
              <w:t>合计</w:t>
            </w:r>
          </w:p>
        </w:tc>
        <w:tc>
          <w:tcPr>
            <w:tcW w:w="1046" w:type="dxa"/>
            <w:shd w:val="clear" w:color="auto" w:fill="auto"/>
            <w:vAlign w:val="center"/>
          </w:tcPr>
          <w:p>
            <w:pPr>
              <w:pStyle w:val="17"/>
              <w:jc w:val="center"/>
            </w:pPr>
            <w:r>
              <w:rPr>
                <w:rFonts w:hint="eastAsia"/>
              </w:rPr>
              <w:t>61</w:t>
            </w:r>
          </w:p>
        </w:tc>
        <w:tc>
          <w:tcPr>
            <w:tcW w:w="1630" w:type="dxa"/>
            <w:shd w:val="clear" w:color="auto" w:fill="auto"/>
            <w:vAlign w:val="center"/>
          </w:tcPr>
          <w:p>
            <w:pPr>
              <w:pStyle w:val="17"/>
              <w:jc w:val="center"/>
            </w:pPr>
            <w:r>
              <w:rPr>
                <w:rFonts w:hint="eastAsia"/>
              </w:rPr>
              <w:t>62.51</w:t>
            </w:r>
          </w:p>
        </w:tc>
        <w:tc>
          <w:tcPr>
            <w:tcW w:w="6483" w:type="dxa"/>
            <w:shd w:val="clear" w:color="auto" w:fill="auto"/>
            <w:vAlign w:val="center"/>
          </w:tcPr>
          <w:p>
            <w:pPr>
              <w:pStyle w:val="17"/>
              <w:jc w:val="center"/>
            </w:pPr>
          </w:p>
        </w:tc>
      </w:tr>
    </w:tbl>
    <w:p>
      <w:pPr>
        <w:adjustRightInd w:val="0"/>
        <w:snapToGrid w:val="0"/>
        <w:spacing w:line="360" w:lineRule="auto"/>
        <w:ind w:firstLine="560"/>
        <w:rPr>
          <w:rFonts w:ascii="宋体" w:hAnsi="宋体"/>
          <w:color w:val="000000"/>
          <w:szCs w:val="28"/>
        </w:rPr>
      </w:pPr>
    </w:p>
    <w:p>
      <w:pPr>
        <w:tabs>
          <w:tab w:val="left" w:pos="540"/>
        </w:tabs>
        <w:spacing w:line="360" w:lineRule="auto"/>
        <w:ind w:firstLine="562"/>
        <w:rPr>
          <w:b/>
          <w:bCs/>
        </w:rPr>
      </w:pPr>
      <w:r>
        <w:rPr>
          <w:rFonts w:hint="eastAsia"/>
          <w:b/>
          <w:bCs/>
        </w:rPr>
        <w:t>（二）</w:t>
      </w:r>
      <w:r>
        <w:rPr>
          <w:b/>
          <w:bCs/>
        </w:rPr>
        <w:t>地质灾害中易发区（B）</w:t>
      </w:r>
    </w:p>
    <w:p>
      <w:pPr>
        <w:adjustRightInd w:val="0"/>
        <w:snapToGrid w:val="0"/>
        <w:spacing w:line="360" w:lineRule="auto"/>
        <w:ind w:firstLine="560"/>
        <w:rPr>
          <w:rFonts w:ascii="宋体" w:hAnsi="宋体"/>
          <w:color w:val="000000"/>
          <w:szCs w:val="28"/>
        </w:rPr>
      </w:pPr>
      <w:r>
        <w:rPr>
          <w:rFonts w:hint="eastAsia" w:ascii="宋体" w:hAnsi="宋体"/>
          <w:szCs w:val="28"/>
        </w:rPr>
        <w:t>主要包括三个地区：缙云山中部片区（B1）、中梁镇—歌乐山镇反向山体山体及中部部分岩溶区（B2），</w:t>
      </w:r>
      <w:r>
        <w:rPr>
          <w:rFonts w:hint="eastAsia" w:ascii="宋体" w:hAnsi="宋体"/>
          <w:color w:val="000000"/>
          <w:szCs w:val="28"/>
        </w:rPr>
        <w:t>土湾二层岩斜坡一带</w:t>
      </w:r>
      <w:r>
        <w:rPr>
          <w:rFonts w:hint="eastAsia" w:ascii="宋体" w:hAnsi="宋体"/>
          <w:szCs w:val="28"/>
        </w:rPr>
        <w:t>（B3）</w:t>
      </w:r>
      <w:r>
        <w:rPr>
          <w:rFonts w:hint="eastAsia" w:ascii="宋体" w:hAnsi="宋体"/>
          <w:color w:val="000000"/>
          <w:szCs w:val="28"/>
        </w:rPr>
        <w:t>、嘉陵江沿岸</w:t>
      </w:r>
      <w:r>
        <w:rPr>
          <w:rFonts w:hint="eastAsia" w:ascii="宋体" w:hAnsi="宋体"/>
          <w:szCs w:val="28"/>
        </w:rPr>
        <w:t>（B4）</w:t>
      </w:r>
      <w:r>
        <w:rPr>
          <w:rFonts w:hint="eastAsia" w:ascii="宋体" w:hAnsi="宋体"/>
          <w:color w:val="000000"/>
          <w:szCs w:val="28"/>
        </w:rPr>
        <w:t>面积约112.34km</w:t>
      </w:r>
      <w:r>
        <w:rPr>
          <w:rFonts w:hint="eastAsia" w:ascii="宋体" w:hAnsi="宋体"/>
          <w:color w:val="000000"/>
          <w:szCs w:val="28"/>
          <w:vertAlign w:val="superscript"/>
        </w:rPr>
        <w:t>2</w:t>
      </w:r>
      <w:r>
        <w:rPr>
          <w:rFonts w:hint="eastAsia" w:ascii="宋体" w:hAnsi="宋体"/>
          <w:color w:val="000000"/>
          <w:szCs w:val="28"/>
        </w:rPr>
        <w:t>,分布地</w:t>
      </w:r>
      <w:r>
        <w:rPr>
          <w:rFonts w:hint="eastAsia" w:ascii="宋体" w:hAnsi="宋体"/>
          <w:szCs w:val="28"/>
        </w:rPr>
        <w:t>质灾害点73处</w:t>
      </w:r>
      <w:r>
        <w:rPr>
          <w:rFonts w:hint="eastAsia" w:ascii="宋体" w:hAnsi="宋体"/>
          <w:color w:val="000000"/>
          <w:szCs w:val="28"/>
        </w:rPr>
        <w:t>（表4.2）。</w:t>
      </w:r>
    </w:p>
    <w:p>
      <w:pPr>
        <w:adjustRightInd w:val="0"/>
        <w:snapToGrid w:val="0"/>
        <w:spacing w:line="360" w:lineRule="auto"/>
        <w:ind w:firstLine="482"/>
        <w:jc w:val="center"/>
        <w:rPr>
          <w:rFonts w:ascii="宋体" w:hAnsi="宋体"/>
          <w:sz w:val="24"/>
        </w:rPr>
      </w:pPr>
      <w:r>
        <w:rPr>
          <w:rFonts w:hint="eastAsia" w:ascii="宋体" w:hAnsi="宋体"/>
          <w:b/>
          <w:bCs/>
          <w:color w:val="000000"/>
          <w:sz w:val="24"/>
        </w:rPr>
        <w:t>表4.2 沙坪坝区地质灾害中易发区说明表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09"/>
        <w:gridCol w:w="1226"/>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分区编号</w:t>
            </w:r>
          </w:p>
        </w:tc>
        <w:tc>
          <w:tcPr>
            <w:tcW w:w="1209"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灾害数量（区）</w:t>
            </w:r>
          </w:p>
        </w:tc>
        <w:tc>
          <w:tcPr>
            <w:tcW w:w="1226"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面积（k㎡）</w:t>
            </w:r>
          </w:p>
        </w:tc>
        <w:tc>
          <w:tcPr>
            <w:tcW w:w="6065"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B1</w:t>
            </w:r>
          </w:p>
        </w:tc>
        <w:tc>
          <w:tcPr>
            <w:tcW w:w="1209"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13</w:t>
            </w:r>
          </w:p>
        </w:tc>
        <w:tc>
          <w:tcPr>
            <w:tcW w:w="1226"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15.69</w:t>
            </w:r>
          </w:p>
        </w:tc>
        <w:tc>
          <w:tcPr>
            <w:tcW w:w="6065" w:type="dxa"/>
            <w:shd w:val="clear" w:color="auto" w:fill="auto"/>
            <w:vAlign w:val="center"/>
          </w:tcPr>
          <w:p>
            <w:pPr>
              <w:pStyle w:val="17"/>
            </w:pPr>
            <w:r>
              <w:rPr>
                <w:rFonts w:hint="eastAsia"/>
              </w:rPr>
              <w:t>该区域位于缙云山槽谷地区，包含东西两侧形坡度较大，地质条件较差及中部受人类工程活动影响强烈-较强烈的区域，该区域发生地质灾害的可能性中等。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B2</w:t>
            </w:r>
          </w:p>
        </w:tc>
        <w:tc>
          <w:tcPr>
            <w:tcW w:w="1209"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16</w:t>
            </w:r>
          </w:p>
        </w:tc>
        <w:tc>
          <w:tcPr>
            <w:tcW w:w="1226"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44.58</w:t>
            </w:r>
          </w:p>
        </w:tc>
        <w:tc>
          <w:tcPr>
            <w:tcW w:w="6065" w:type="dxa"/>
            <w:shd w:val="clear" w:color="auto" w:fill="auto"/>
            <w:vAlign w:val="center"/>
          </w:tcPr>
          <w:p>
            <w:pPr>
              <w:pStyle w:val="17"/>
            </w:pPr>
            <w:r>
              <w:rPr>
                <w:rFonts w:hint="eastAsia"/>
              </w:rPr>
              <w:t>该区域位于中梁-歌乐山镇槽谷地区，包含东西两侧形坡度较大，地质条件较差及中部受人类工程活动影响强烈-较强烈的区域，该区域发生地质灾害的可能性中等。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B3</w:t>
            </w:r>
          </w:p>
        </w:tc>
        <w:tc>
          <w:tcPr>
            <w:tcW w:w="1209"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7</w:t>
            </w:r>
          </w:p>
        </w:tc>
        <w:tc>
          <w:tcPr>
            <w:tcW w:w="1226"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1.91</w:t>
            </w:r>
          </w:p>
        </w:tc>
        <w:tc>
          <w:tcPr>
            <w:tcW w:w="6065" w:type="dxa"/>
            <w:shd w:val="clear" w:color="auto" w:fill="auto"/>
            <w:vAlign w:val="center"/>
          </w:tcPr>
          <w:p>
            <w:pPr>
              <w:pStyle w:val="17"/>
            </w:pPr>
            <w:r>
              <w:rPr>
                <w:rFonts w:hint="eastAsia"/>
              </w:rPr>
              <w:t>该区域位于主城区，由于地形坡度较大，且处于半拆迁阶段，人类工程活动较强烈，该区域发生地质灾害的可能性中等。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B4</w:t>
            </w:r>
          </w:p>
        </w:tc>
        <w:tc>
          <w:tcPr>
            <w:tcW w:w="1209"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5</w:t>
            </w:r>
          </w:p>
        </w:tc>
        <w:tc>
          <w:tcPr>
            <w:tcW w:w="1226"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1.61</w:t>
            </w:r>
          </w:p>
        </w:tc>
        <w:tc>
          <w:tcPr>
            <w:tcW w:w="6065" w:type="dxa"/>
            <w:shd w:val="clear" w:color="auto" w:fill="auto"/>
            <w:vAlign w:val="center"/>
          </w:tcPr>
          <w:p>
            <w:pPr>
              <w:pStyle w:val="17"/>
            </w:pPr>
            <w:r>
              <w:rPr>
                <w:rFonts w:hint="eastAsia"/>
              </w:rPr>
              <w:t>受嘉陵江每年的水位起伏影响，该片区发生地质灾害的可能性大。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13"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合计</w:t>
            </w:r>
          </w:p>
        </w:tc>
        <w:tc>
          <w:tcPr>
            <w:tcW w:w="1209"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41</w:t>
            </w:r>
          </w:p>
        </w:tc>
        <w:tc>
          <w:tcPr>
            <w:tcW w:w="1226"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63.79</w:t>
            </w:r>
          </w:p>
        </w:tc>
        <w:tc>
          <w:tcPr>
            <w:tcW w:w="6065" w:type="dxa"/>
            <w:shd w:val="clear" w:color="auto" w:fill="auto"/>
            <w:vAlign w:val="center"/>
          </w:tcPr>
          <w:p>
            <w:pPr>
              <w:adjustRightInd w:val="0"/>
              <w:snapToGrid w:val="0"/>
              <w:spacing w:line="360" w:lineRule="auto"/>
              <w:ind w:firstLine="0" w:firstLineChars="0"/>
              <w:jc w:val="center"/>
              <w:rPr>
                <w:rFonts w:ascii="宋体" w:hAnsi="宋体" w:cs="宋体"/>
                <w:color w:val="000000"/>
                <w:sz w:val="21"/>
                <w:szCs w:val="21"/>
              </w:rPr>
            </w:pPr>
          </w:p>
        </w:tc>
      </w:tr>
    </w:tbl>
    <w:p>
      <w:pPr>
        <w:adjustRightInd w:val="0"/>
        <w:snapToGrid w:val="0"/>
        <w:spacing w:line="360" w:lineRule="auto"/>
        <w:ind w:firstLine="560"/>
        <w:rPr>
          <w:rFonts w:ascii="宋体" w:hAnsi="宋体"/>
          <w:szCs w:val="28"/>
        </w:rPr>
      </w:pPr>
    </w:p>
    <w:p>
      <w:pPr>
        <w:tabs>
          <w:tab w:val="left" w:pos="540"/>
        </w:tabs>
        <w:spacing w:line="360" w:lineRule="auto"/>
        <w:ind w:firstLine="562"/>
        <w:rPr>
          <w:b/>
          <w:bCs/>
        </w:rPr>
      </w:pPr>
      <w:r>
        <w:rPr>
          <w:rFonts w:hint="eastAsia"/>
          <w:b/>
          <w:bCs/>
        </w:rPr>
        <w:t>（三）</w:t>
      </w:r>
      <w:r>
        <w:rPr>
          <w:b/>
          <w:bCs/>
        </w:rPr>
        <w:t>地质灾害低易发区（</w:t>
      </w:r>
      <w:r>
        <w:rPr>
          <w:rFonts w:hint="eastAsia"/>
          <w:b/>
          <w:bCs/>
        </w:rPr>
        <w:t>C</w:t>
      </w:r>
      <w:r>
        <w:rPr>
          <w:b/>
          <w:bCs/>
        </w:rPr>
        <w:t>）</w:t>
      </w:r>
    </w:p>
    <w:p>
      <w:pPr>
        <w:adjustRightInd w:val="0"/>
        <w:snapToGrid w:val="0"/>
        <w:spacing w:line="360" w:lineRule="auto"/>
        <w:ind w:firstLine="560"/>
        <w:rPr>
          <w:rFonts w:ascii="宋体" w:hAnsi="宋体"/>
          <w:color w:val="000000"/>
          <w:szCs w:val="28"/>
        </w:rPr>
      </w:pPr>
      <w:r>
        <w:rPr>
          <w:rFonts w:hint="eastAsia" w:ascii="宋体" w:hAnsi="宋体"/>
          <w:color w:val="000000"/>
          <w:szCs w:val="28"/>
        </w:rPr>
        <w:t>包括二个地区：回龙镇至凤凰镇—土主镇—陈家桥镇—虎溪镇—曾家镇等西部园区（C1），土湾—井口镇等东部城区（C2）。总面积262.74km</w:t>
      </w:r>
      <w:r>
        <w:rPr>
          <w:rFonts w:hint="eastAsia" w:ascii="宋体" w:hAnsi="宋体"/>
          <w:color w:val="000000"/>
          <w:szCs w:val="28"/>
          <w:vertAlign w:val="superscript"/>
        </w:rPr>
        <w:t>2</w:t>
      </w:r>
      <w:r>
        <w:rPr>
          <w:rFonts w:hint="eastAsia" w:ascii="宋体" w:hAnsi="宋体"/>
          <w:color w:val="000000"/>
          <w:szCs w:val="28"/>
        </w:rPr>
        <w:t>，分布地</w:t>
      </w:r>
      <w:r>
        <w:rPr>
          <w:rFonts w:hint="eastAsia" w:ascii="宋体" w:hAnsi="宋体"/>
          <w:szCs w:val="28"/>
        </w:rPr>
        <w:t>质灾害点104处</w:t>
      </w:r>
      <w:r>
        <w:rPr>
          <w:rFonts w:hint="eastAsia" w:ascii="宋体" w:hAnsi="宋体"/>
          <w:color w:val="000000"/>
          <w:szCs w:val="28"/>
        </w:rPr>
        <w:t>（表4.3）。</w:t>
      </w:r>
    </w:p>
    <w:p>
      <w:pPr>
        <w:adjustRightInd w:val="0"/>
        <w:snapToGrid w:val="0"/>
        <w:spacing w:line="360" w:lineRule="auto"/>
        <w:ind w:firstLine="482"/>
        <w:jc w:val="center"/>
        <w:rPr>
          <w:rFonts w:ascii="宋体" w:hAnsi="宋体"/>
          <w:sz w:val="24"/>
        </w:rPr>
      </w:pPr>
      <w:r>
        <w:rPr>
          <w:rFonts w:hint="eastAsia" w:ascii="宋体" w:hAnsi="宋体"/>
          <w:b/>
          <w:bCs/>
          <w:color w:val="000000"/>
          <w:sz w:val="24"/>
        </w:rPr>
        <w:t>表4.3 沙坪坝区地质灾害低易发区说明表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500"/>
        <w:gridCol w:w="1427"/>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06"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分区编号</w:t>
            </w:r>
          </w:p>
        </w:tc>
        <w:tc>
          <w:tcPr>
            <w:tcW w:w="1500"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灾害数量（区）</w:t>
            </w:r>
          </w:p>
        </w:tc>
        <w:tc>
          <w:tcPr>
            <w:tcW w:w="1427"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面积（k㎡）</w:t>
            </w:r>
          </w:p>
        </w:tc>
        <w:tc>
          <w:tcPr>
            <w:tcW w:w="5734" w:type="dxa"/>
            <w:shd w:val="clear" w:color="auto" w:fill="auto"/>
            <w:vAlign w:val="center"/>
          </w:tcPr>
          <w:p>
            <w:pPr>
              <w:adjustRightInd w:val="0"/>
              <w:snapToGrid w:val="0"/>
              <w:spacing w:line="360" w:lineRule="auto"/>
              <w:ind w:firstLine="0" w:firstLineChars="0"/>
              <w:jc w:val="center"/>
              <w:rPr>
                <w:rFonts w:ascii="宋体" w:hAnsi="宋体"/>
                <w:b/>
                <w:bCs/>
                <w:color w:val="000000"/>
                <w:sz w:val="21"/>
                <w:szCs w:val="21"/>
              </w:rPr>
            </w:pPr>
            <w:r>
              <w:rPr>
                <w:rFonts w:hint="eastAsia" w:ascii="宋体" w:hAnsi="宋体"/>
                <w:b/>
                <w:bCs/>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06" w:type="dxa"/>
            <w:shd w:val="clear" w:color="auto" w:fill="auto"/>
            <w:vAlign w:val="center"/>
          </w:tcPr>
          <w:p>
            <w:pPr>
              <w:pStyle w:val="17"/>
              <w:jc w:val="center"/>
            </w:pPr>
            <w:r>
              <w:rPr>
                <w:rFonts w:hint="eastAsia"/>
              </w:rPr>
              <w:t>C1</w:t>
            </w:r>
          </w:p>
        </w:tc>
        <w:tc>
          <w:tcPr>
            <w:tcW w:w="1500" w:type="dxa"/>
            <w:shd w:val="clear" w:color="auto" w:fill="auto"/>
            <w:vAlign w:val="center"/>
          </w:tcPr>
          <w:p>
            <w:pPr>
              <w:pStyle w:val="17"/>
              <w:jc w:val="center"/>
            </w:pPr>
            <w:r>
              <w:rPr>
                <w:rFonts w:hint="eastAsia"/>
              </w:rPr>
              <w:t>75</w:t>
            </w:r>
          </w:p>
        </w:tc>
        <w:tc>
          <w:tcPr>
            <w:tcW w:w="1427" w:type="dxa"/>
            <w:shd w:val="clear" w:color="auto" w:fill="auto"/>
            <w:vAlign w:val="center"/>
          </w:tcPr>
          <w:p>
            <w:pPr>
              <w:pStyle w:val="17"/>
              <w:jc w:val="center"/>
            </w:pPr>
            <w:r>
              <w:rPr>
                <w:rFonts w:hint="eastAsia"/>
              </w:rPr>
              <w:t>215.48</w:t>
            </w:r>
          </w:p>
        </w:tc>
        <w:tc>
          <w:tcPr>
            <w:tcW w:w="5734" w:type="dxa"/>
            <w:shd w:val="clear" w:color="auto" w:fill="auto"/>
            <w:vAlign w:val="center"/>
          </w:tcPr>
          <w:p>
            <w:pPr>
              <w:pStyle w:val="17"/>
            </w:pPr>
            <w:r>
              <w:rPr>
                <w:rFonts w:hint="eastAsia"/>
              </w:rPr>
              <w:t>位于回龙镇至凤凰镇—土主镇—陈家桥镇—虎溪镇—曾家镇，该片区地形平坦，已发灾害多为小型灾害，地质条件简单，发生地质灾害的可能性小。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06" w:type="dxa"/>
            <w:shd w:val="clear" w:color="auto" w:fill="auto"/>
            <w:vAlign w:val="center"/>
          </w:tcPr>
          <w:p>
            <w:pPr>
              <w:pStyle w:val="17"/>
              <w:jc w:val="center"/>
            </w:pPr>
            <w:r>
              <w:rPr>
                <w:rFonts w:hint="eastAsia"/>
              </w:rPr>
              <w:t>C2</w:t>
            </w:r>
          </w:p>
        </w:tc>
        <w:tc>
          <w:tcPr>
            <w:tcW w:w="1500" w:type="dxa"/>
            <w:shd w:val="clear" w:color="auto" w:fill="auto"/>
            <w:vAlign w:val="center"/>
          </w:tcPr>
          <w:p>
            <w:pPr>
              <w:pStyle w:val="17"/>
              <w:jc w:val="center"/>
            </w:pPr>
            <w:r>
              <w:rPr>
                <w:rFonts w:hint="eastAsia"/>
              </w:rPr>
              <w:t>29</w:t>
            </w:r>
          </w:p>
        </w:tc>
        <w:tc>
          <w:tcPr>
            <w:tcW w:w="1427" w:type="dxa"/>
            <w:shd w:val="clear" w:color="auto" w:fill="auto"/>
            <w:vAlign w:val="center"/>
          </w:tcPr>
          <w:p>
            <w:pPr>
              <w:pStyle w:val="17"/>
              <w:jc w:val="center"/>
            </w:pPr>
            <w:r>
              <w:rPr>
                <w:rFonts w:hint="eastAsia"/>
              </w:rPr>
              <w:t>47.26</w:t>
            </w:r>
          </w:p>
        </w:tc>
        <w:tc>
          <w:tcPr>
            <w:tcW w:w="5734" w:type="dxa"/>
            <w:shd w:val="clear" w:color="auto" w:fill="auto"/>
            <w:vAlign w:val="center"/>
          </w:tcPr>
          <w:p>
            <w:pPr>
              <w:pStyle w:val="17"/>
            </w:pPr>
            <w:r>
              <w:rPr>
                <w:rFonts w:hint="eastAsia"/>
              </w:rPr>
              <w:t>位于土湾—井口镇等东部城区，该片区地形平坦，已发灾害多为小型灾害，地质条件简单，发生地质灾害的可能性小。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406" w:type="dxa"/>
            <w:shd w:val="clear" w:color="auto" w:fill="auto"/>
            <w:vAlign w:val="center"/>
          </w:tcPr>
          <w:p>
            <w:pPr>
              <w:pStyle w:val="17"/>
              <w:jc w:val="center"/>
            </w:pPr>
            <w:r>
              <w:rPr>
                <w:rFonts w:hint="eastAsia"/>
              </w:rPr>
              <w:t>合计</w:t>
            </w:r>
          </w:p>
        </w:tc>
        <w:tc>
          <w:tcPr>
            <w:tcW w:w="1500" w:type="dxa"/>
            <w:shd w:val="clear" w:color="auto" w:fill="auto"/>
            <w:vAlign w:val="center"/>
          </w:tcPr>
          <w:p>
            <w:pPr>
              <w:pStyle w:val="17"/>
              <w:jc w:val="center"/>
            </w:pPr>
            <w:r>
              <w:rPr>
                <w:rFonts w:hint="eastAsia"/>
              </w:rPr>
              <w:t>104</w:t>
            </w:r>
          </w:p>
        </w:tc>
        <w:tc>
          <w:tcPr>
            <w:tcW w:w="1427" w:type="dxa"/>
            <w:shd w:val="clear" w:color="auto" w:fill="auto"/>
            <w:vAlign w:val="center"/>
          </w:tcPr>
          <w:p>
            <w:pPr>
              <w:pStyle w:val="17"/>
              <w:jc w:val="center"/>
            </w:pPr>
            <w:r>
              <w:rPr>
                <w:rFonts w:hint="eastAsia"/>
              </w:rPr>
              <w:t>262.74</w:t>
            </w:r>
          </w:p>
        </w:tc>
        <w:tc>
          <w:tcPr>
            <w:tcW w:w="5734" w:type="dxa"/>
            <w:shd w:val="clear" w:color="auto" w:fill="auto"/>
            <w:vAlign w:val="center"/>
          </w:tcPr>
          <w:p>
            <w:pPr>
              <w:pStyle w:val="17"/>
            </w:pPr>
          </w:p>
        </w:tc>
      </w:tr>
    </w:tbl>
    <w:p>
      <w:pPr>
        <w:adjustRightInd w:val="0"/>
        <w:snapToGrid w:val="0"/>
        <w:spacing w:line="360" w:lineRule="auto"/>
        <w:ind w:firstLine="420"/>
        <w:rPr>
          <w:rFonts w:ascii="宋体" w:hAnsi="宋体"/>
          <w:sz w:val="21"/>
          <w:szCs w:val="21"/>
        </w:rPr>
      </w:pPr>
    </w:p>
    <w:bookmarkEnd w:id="110"/>
    <w:p>
      <w:pPr>
        <w:pStyle w:val="4"/>
        <w:spacing w:before="0" w:after="0" w:line="360" w:lineRule="auto"/>
        <w:rPr>
          <w:rFonts w:ascii="Times New Roman" w:hAnsi="Times New Roman"/>
          <w:bCs w:val="0"/>
        </w:rPr>
        <w:sectPr>
          <w:headerReference r:id="rId15" w:type="default"/>
          <w:footerReference r:id="rId16" w:type="default"/>
          <w:pgSz w:w="11906" w:h="16838"/>
          <w:pgMar w:top="1418" w:right="1701" w:bottom="1418" w:left="1260" w:header="851" w:footer="992" w:gutter="0"/>
          <w:cols w:space="720" w:num="1"/>
          <w:docGrid w:type="lines" w:linePitch="312" w:charSpace="0"/>
        </w:sectPr>
      </w:pPr>
    </w:p>
    <w:p>
      <w:pPr>
        <w:pStyle w:val="4"/>
        <w:spacing w:before="0" w:after="0" w:line="360" w:lineRule="auto"/>
        <w:rPr>
          <w:rFonts w:ascii="Times New Roman" w:hAnsi="Times New Roman"/>
          <w:bCs w:val="0"/>
        </w:rPr>
      </w:pPr>
      <w:bookmarkStart w:id="117" w:name="_Toc9530"/>
      <w:r>
        <w:rPr>
          <w:rFonts w:ascii="Times New Roman" w:hAnsi="Times New Roman"/>
          <w:bCs w:val="0"/>
        </w:rPr>
        <w:t>第</w:t>
      </w:r>
      <w:r>
        <w:rPr>
          <w:rFonts w:hint="eastAsia" w:ascii="Times New Roman" w:hAnsi="Times New Roman"/>
          <w:bCs w:val="0"/>
        </w:rPr>
        <w:t>五</w:t>
      </w:r>
      <w:r>
        <w:rPr>
          <w:rFonts w:ascii="Times New Roman" w:hAnsi="Times New Roman"/>
          <w:bCs w:val="0"/>
        </w:rPr>
        <w:t>章  地质灾害防治分区</w:t>
      </w:r>
      <w:bookmarkEnd w:id="117"/>
    </w:p>
    <w:p>
      <w:pPr>
        <w:pStyle w:val="5"/>
        <w:spacing w:line="700" w:lineRule="exact"/>
        <w:rPr>
          <w:rFonts w:ascii="Times New Roman" w:hAnsi="Times New Roman"/>
          <w:sz w:val="30"/>
          <w:szCs w:val="30"/>
        </w:rPr>
      </w:pPr>
      <w:bookmarkStart w:id="118" w:name="_Toc332789281"/>
      <w:bookmarkStart w:id="119" w:name="_Toc326329177"/>
      <w:bookmarkStart w:id="120" w:name="_Toc326565446"/>
      <w:bookmarkStart w:id="121" w:name="_Toc329604307"/>
      <w:bookmarkStart w:id="122" w:name="_Toc14800"/>
      <w:bookmarkStart w:id="123" w:name="_Toc333392558"/>
      <w:bookmarkStart w:id="124" w:name="_Toc50545730"/>
      <w:bookmarkStart w:id="125" w:name="_Toc326329028"/>
      <w:bookmarkStart w:id="126" w:name="_Toc59369227"/>
      <w:r>
        <w:rPr>
          <w:rFonts w:hint="eastAsia" w:ascii="Times New Roman" w:hAnsi="Times New Roman"/>
          <w:sz w:val="30"/>
          <w:szCs w:val="30"/>
        </w:rPr>
        <w:t xml:space="preserve">第一节  </w:t>
      </w:r>
      <w:r>
        <w:rPr>
          <w:rFonts w:ascii="Times New Roman" w:hAnsi="Times New Roman"/>
          <w:sz w:val="30"/>
          <w:szCs w:val="30"/>
        </w:rPr>
        <w:t>地质灾害防治</w:t>
      </w:r>
      <w:r>
        <w:rPr>
          <w:rFonts w:hint="eastAsia" w:ascii="Times New Roman" w:hAnsi="Times New Roman"/>
          <w:sz w:val="30"/>
          <w:szCs w:val="30"/>
        </w:rPr>
        <w:t>分区</w:t>
      </w:r>
      <w:r>
        <w:rPr>
          <w:rFonts w:ascii="Times New Roman" w:hAnsi="Times New Roman"/>
          <w:sz w:val="30"/>
          <w:szCs w:val="30"/>
        </w:rPr>
        <w:t>原则</w:t>
      </w:r>
      <w:bookmarkEnd w:id="118"/>
      <w:bookmarkEnd w:id="119"/>
      <w:bookmarkEnd w:id="120"/>
      <w:bookmarkEnd w:id="121"/>
      <w:bookmarkEnd w:id="122"/>
      <w:bookmarkEnd w:id="123"/>
    </w:p>
    <w:p>
      <w:pPr>
        <w:ind w:firstLine="560"/>
      </w:pPr>
      <w:r>
        <w:t>地质灾害防治目的是为了避免或减少地质灾害对广大群众生命财产造成的损失，沙坪坝区人口稠密，地质灾害点多面广</w:t>
      </w:r>
      <w:r>
        <w:rPr>
          <w:rFonts w:hint="eastAsia"/>
        </w:rPr>
        <w:t>。地质灾害防治分区应根据区内地质灾害的发育特征，结合城镇规划建设布局、财政状况及当前的技术可行性，分轻、重、缓、急，抓住重点进行综合区划。地质灾害防治分区应遵循以下原则：</w:t>
      </w:r>
    </w:p>
    <w:p>
      <w:pPr>
        <w:ind w:firstLine="560"/>
      </w:pPr>
      <w:r>
        <w:rPr>
          <w:rFonts w:hint="eastAsia"/>
        </w:rPr>
        <w:t>（1）以人为本的原则，牢固树立以人为本的理念，将保护人民群众生命财产安全放在首位。强化地质灾害隐患调查排查，完善监测预警预报体系，增强全民防灾减灾意识，提升公众自救互救能力，通过对各地质灾害点的防治、搬迁和监测，保护人民生命财产安全，促进社会和谐发展。</w:t>
      </w:r>
    </w:p>
    <w:p>
      <w:pPr>
        <w:ind w:firstLine="560"/>
      </w:pPr>
      <w:r>
        <w:rPr>
          <w:rFonts w:hint="eastAsia"/>
        </w:rPr>
        <w:t>（2）地质灾害危险性原则，</w:t>
      </w:r>
      <w:r>
        <w:t>对于地质灾害危害性较大，易造成重大损失的区域，应划分为重点、次重点防治区，同时对于危害性较大的地质灾害点应作为重点防治点</w:t>
      </w:r>
      <w:r>
        <w:rPr>
          <w:rFonts w:hint="eastAsia"/>
        </w:rPr>
        <w:t>。</w:t>
      </w:r>
    </w:p>
    <w:p>
      <w:pPr>
        <w:ind w:firstLine="560"/>
      </w:pPr>
      <w:r>
        <w:rPr>
          <w:rFonts w:hint="eastAsia"/>
        </w:rPr>
        <w:t>（3）与沙坪坝区社会生产力规划相结合的原则，</w:t>
      </w:r>
      <w:r>
        <w:t>地质灾害防治规划应与沙坪坝区的城乡建设规划、交通规划及国民经济发展规划等规划相结合，从而进一步突出其针对性及可操作性，</w:t>
      </w:r>
      <w:r>
        <w:rPr>
          <w:rFonts w:hint="eastAsia"/>
        </w:rPr>
        <w:t>减轻地质灾害对生态环境的破坏，推动绿色发展，促进人与自然的和谐发展，</w:t>
      </w:r>
      <w:r>
        <w:t>使地质灾害的防治工作能为全区的社会经济发展服好务</w:t>
      </w:r>
      <w:r>
        <w:rPr>
          <w:rFonts w:hint="eastAsia"/>
        </w:rPr>
        <w:t>。</w:t>
      </w:r>
    </w:p>
    <w:p>
      <w:pPr>
        <w:ind w:firstLine="560"/>
      </w:pPr>
    </w:p>
    <w:p>
      <w:pPr>
        <w:pStyle w:val="5"/>
        <w:rPr>
          <w:rFonts w:ascii="Times New Roman" w:hAnsi="Times New Roman"/>
          <w:sz w:val="30"/>
          <w:szCs w:val="30"/>
        </w:rPr>
      </w:pPr>
      <w:bookmarkStart w:id="127" w:name="_Toc65987367"/>
      <w:bookmarkStart w:id="128" w:name="_Toc31194"/>
      <w:bookmarkStart w:id="129" w:name="_Toc193701739"/>
      <w:bookmarkStart w:id="130" w:name="_Toc332789285"/>
      <w:bookmarkStart w:id="131" w:name="_Toc333392562"/>
      <w:bookmarkStart w:id="132" w:name="_Toc326565447"/>
      <w:bookmarkStart w:id="133" w:name="_Toc326329178"/>
      <w:bookmarkStart w:id="134" w:name="_Toc329604311"/>
      <w:r>
        <w:rPr>
          <w:rFonts w:hint="eastAsia" w:ascii="Times New Roman" w:hAnsi="Times New Roman"/>
          <w:sz w:val="30"/>
          <w:szCs w:val="30"/>
        </w:rPr>
        <w:t xml:space="preserve">第二节   </w:t>
      </w:r>
      <w:r>
        <w:rPr>
          <w:rFonts w:ascii="Times New Roman" w:hAnsi="Times New Roman"/>
          <w:sz w:val="30"/>
          <w:szCs w:val="30"/>
        </w:rPr>
        <w:t>地质灾害防治</w:t>
      </w:r>
      <w:bookmarkEnd w:id="127"/>
      <w:r>
        <w:rPr>
          <w:rFonts w:ascii="Times New Roman" w:hAnsi="Times New Roman"/>
          <w:sz w:val="30"/>
          <w:szCs w:val="30"/>
        </w:rPr>
        <w:t>分区及防治重点</w:t>
      </w:r>
      <w:bookmarkEnd w:id="128"/>
      <w:bookmarkEnd w:id="129"/>
      <w:bookmarkEnd w:id="130"/>
      <w:bookmarkEnd w:id="131"/>
      <w:bookmarkEnd w:id="132"/>
      <w:bookmarkEnd w:id="133"/>
      <w:bookmarkEnd w:id="134"/>
    </w:p>
    <w:p>
      <w:pPr>
        <w:ind w:firstLine="560"/>
      </w:pPr>
      <w:r>
        <w:rPr>
          <w:rFonts w:hint="eastAsia"/>
        </w:rPr>
        <w:t>根据地质灾害防治分区原则并结合沙坪坝区地质灾害分布、及其危险性进行综合分区，主在分成以下三个区：</w:t>
      </w:r>
    </w:p>
    <w:p>
      <w:pPr>
        <w:pStyle w:val="14"/>
        <w:spacing w:line="360" w:lineRule="auto"/>
        <w:ind w:firstLine="560"/>
        <w:rPr>
          <w:rFonts w:ascii="宋体" w:hAnsi="宋体" w:eastAsia="宋体"/>
          <w:szCs w:val="28"/>
        </w:rPr>
      </w:pPr>
      <w:r>
        <w:rPr>
          <w:rFonts w:ascii="宋体" w:hAnsi="宋体" w:eastAsia="宋体"/>
          <w:szCs w:val="28"/>
        </w:rPr>
        <w:t>（一）重点防治区（</w:t>
      </w:r>
      <w:r>
        <w:rPr>
          <w:rFonts w:hint="eastAsia" w:ascii="宋体" w:hAnsi="宋体" w:eastAsia="宋体" w:cs="宋体"/>
          <w:szCs w:val="28"/>
        </w:rPr>
        <w:t>Ⅰ</w:t>
      </w:r>
      <w:r>
        <w:rPr>
          <w:rFonts w:ascii="宋体" w:hAnsi="宋体" w:eastAsia="宋体"/>
          <w:szCs w:val="28"/>
        </w:rPr>
        <w:t>）</w:t>
      </w:r>
    </w:p>
    <w:p>
      <w:pPr>
        <w:ind w:firstLine="560"/>
        <w:rPr>
          <w:rFonts w:ascii="宋体" w:hAnsi="宋体"/>
        </w:rPr>
      </w:pPr>
      <w:r>
        <w:rPr>
          <w:rFonts w:hint="eastAsia" w:ascii="宋体" w:hAnsi="宋体"/>
        </w:rPr>
        <w:t>根据</w:t>
      </w:r>
      <w:r>
        <w:rPr>
          <w:rFonts w:ascii="宋体" w:hAnsi="宋体"/>
        </w:rPr>
        <w:t>地质灾害分布</w:t>
      </w:r>
      <w:r>
        <w:rPr>
          <w:rFonts w:hint="eastAsia" w:ascii="宋体" w:hAnsi="宋体"/>
        </w:rPr>
        <w:t>、场镇分布、工业园区分布、重点景区、学校及重要建筑等因素，</w:t>
      </w:r>
      <w:r>
        <w:rPr>
          <w:rFonts w:ascii="宋体" w:hAnsi="宋体"/>
          <w:szCs w:val="28"/>
        </w:rPr>
        <w:t>确定</w:t>
      </w:r>
      <w:r>
        <w:rPr>
          <w:rFonts w:hint="eastAsia" w:ascii="宋体" w:hAnsi="宋体"/>
          <w:szCs w:val="28"/>
        </w:rPr>
        <w:t>2</w:t>
      </w:r>
      <w:r>
        <w:rPr>
          <w:rFonts w:ascii="宋体" w:hAnsi="宋体"/>
          <w:szCs w:val="28"/>
        </w:rPr>
        <w:t>个重点防治区。</w:t>
      </w:r>
      <w:r>
        <w:rPr>
          <w:rFonts w:hint="eastAsia" w:ascii="宋体" w:hAnsi="宋体"/>
          <w:szCs w:val="28"/>
        </w:rPr>
        <w:t>区域主要分布在中梁山观音峡背峡轴部两侧及嘉陵江右岸，区域内</w:t>
      </w:r>
      <w:r>
        <w:rPr>
          <w:rFonts w:hint="eastAsia"/>
          <w:szCs w:val="28"/>
        </w:rPr>
        <w:t>分布中</w:t>
      </w:r>
      <w:r>
        <w:rPr>
          <w:szCs w:val="28"/>
        </w:rPr>
        <w:t>易发区</w:t>
      </w:r>
      <w:r>
        <w:rPr>
          <w:rFonts w:hint="eastAsia"/>
          <w:szCs w:val="28"/>
        </w:rPr>
        <w:t>和高易发区，</w:t>
      </w:r>
      <w:r>
        <w:rPr>
          <w:rFonts w:ascii="宋体" w:hAnsi="宋体"/>
          <w:szCs w:val="28"/>
        </w:rPr>
        <w:t>该区域面积</w:t>
      </w:r>
      <w:r>
        <w:rPr>
          <w:rFonts w:hint="eastAsia" w:ascii="宋体" w:hAnsi="宋体"/>
          <w:szCs w:val="28"/>
        </w:rPr>
        <w:t>35.27k</w:t>
      </w:r>
      <w:r>
        <w:rPr>
          <w:rFonts w:ascii="宋体" w:hAnsi="宋体"/>
          <w:szCs w:val="28"/>
        </w:rPr>
        <w:t>m</w:t>
      </w:r>
      <w:r>
        <w:rPr>
          <w:rFonts w:ascii="宋体" w:hAnsi="宋体"/>
          <w:szCs w:val="28"/>
          <w:vertAlign w:val="superscript"/>
        </w:rPr>
        <w:t>2</w:t>
      </w:r>
      <w:r>
        <w:rPr>
          <w:rFonts w:ascii="宋体" w:hAnsi="宋体"/>
          <w:szCs w:val="28"/>
        </w:rPr>
        <w:t>，占全区面积的</w:t>
      </w:r>
      <w:r>
        <w:rPr>
          <w:rFonts w:hint="eastAsia" w:ascii="宋体" w:hAnsi="宋体"/>
          <w:szCs w:val="28"/>
        </w:rPr>
        <w:t>10.12</w:t>
      </w:r>
      <w:r>
        <w:rPr>
          <w:rFonts w:ascii="宋体" w:hAnsi="宋体"/>
          <w:szCs w:val="28"/>
        </w:rPr>
        <w:t>%。</w:t>
      </w:r>
    </w:p>
    <w:p>
      <w:pPr>
        <w:pStyle w:val="14"/>
        <w:spacing w:line="360" w:lineRule="auto"/>
        <w:ind w:firstLine="560"/>
        <w:rPr>
          <w:rFonts w:ascii="宋体" w:hAnsi="宋体" w:eastAsia="宋体"/>
          <w:szCs w:val="28"/>
        </w:rPr>
      </w:pPr>
      <w:r>
        <w:rPr>
          <w:rFonts w:ascii="宋体" w:hAnsi="宋体" w:eastAsia="宋体"/>
          <w:szCs w:val="28"/>
        </w:rPr>
        <w:t>（二）次重点防治区（</w:t>
      </w:r>
      <w:r>
        <w:rPr>
          <w:rFonts w:hint="eastAsia" w:ascii="宋体" w:hAnsi="宋体" w:eastAsia="宋体" w:cs="宋体"/>
          <w:szCs w:val="28"/>
        </w:rPr>
        <w:t>Ⅱ</w:t>
      </w:r>
      <w:r>
        <w:rPr>
          <w:rFonts w:ascii="宋体" w:hAnsi="宋体" w:eastAsia="宋体"/>
          <w:szCs w:val="28"/>
        </w:rPr>
        <w:t>）</w:t>
      </w:r>
    </w:p>
    <w:p>
      <w:pPr>
        <w:ind w:firstLine="560"/>
        <w:rPr>
          <w:rFonts w:ascii="宋体" w:hAnsi="宋体"/>
        </w:rPr>
      </w:pPr>
      <w:r>
        <w:rPr>
          <w:rFonts w:hint="eastAsia" w:ascii="宋体" w:hAnsi="宋体"/>
        </w:rPr>
        <w:t>该区域主要分布中易发区，</w:t>
      </w:r>
      <w:r>
        <w:rPr>
          <w:rFonts w:ascii="宋体" w:hAnsi="宋体"/>
        </w:rPr>
        <w:t>以中深丘～低山斜坡为主，总体受构造、地势及地层控制，主要分布于背斜两翼</w:t>
      </w:r>
      <w:r>
        <w:rPr>
          <w:rFonts w:hint="eastAsia" w:ascii="宋体" w:hAnsi="宋体"/>
        </w:rPr>
        <w:t>及背斜核部页岩地区，</w:t>
      </w:r>
      <w:r>
        <w:rPr>
          <w:rFonts w:ascii="宋体" w:hAnsi="宋体"/>
        </w:rPr>
        <w:t>共计划分</w:t>
      </w:r>
      <w:r>
        <w:rPr>
          <w:rFonts w:hint="eastAsia" w:ascii="宋体" w:hAnsi="宋体"/>
        </w:rPr>
        <w:t>5</w:t>
      </w:r>
      <w:r>
        <w:rPr>
          <w:rFonts w:ascii="宋体" w:hAnsi="宋体"/>
        </w:rPr>
        <w:t>个次重点防治区。面积</w:t>
      </w:r>
      <w:r>
        <w:rPr>
          <w:rFonts w:hint="eastAsia" w:ascii="宋体" w:hAnsi="宋体"/>
        </w:rPr>
        <w:t>94.84k</w:t>
      </w:r>
      <w:r>
        <w:rPr>
          <w:rFonts w:ascii="宋体" w:hAnsi="宋体"/>
        </w:rPr>
        <w:t>m</w:t>
      </w:r>
      <w:r>
        <w:rPr>
          <w:rFonts w:ascii="宋体" w:hAnsi="宋体"/>
          <w:vertAlign w:val="superscript"/>
        </w:rPr>
        <w:t>2</w:t>
      </w:r>
      <w:r>
        <w:rPr>
          <w:rFonts w:ascii="宋体" w:hAnsi="宋体"/>
        </w:rPr>
        <w:t>，占全区面积的</w:t>
      </w:r>
      <w:r>
        <w:rPr>
          <w:rFonts w:hint="eastAsia" w:ascii="宋体" w:hAnsi="宋体"/>
        </w:rPr>
        <w:t>27.21</w:t>
      </w:r>
      <w:r>
        <w:rPr>
          <w:rFonts w:ascii="宋体" w:hAnsi="宋体"/>
        </w:rPr>
        <w:t>%。</w:t>
      </w:r>
    </w:p>
    <w:p>
      <w:pPr>
        <w:pStyle w:val="14"/>
        <w:spacing w:line="360" w:lineRule="auto"/>
        <w:ind w:firstLine="560"/>
        <w:rPr>
          <w:rFonts w:ascii="宋体" w:hAnsi="宋体" w:eastAsia="宋体"/>
          <w:szCs w:val="28"/>
        </w:rPr>
      </w:pPr>
      <w:r>
        <w:rPr>
          <w:rFonts w:ascii="宋体" w:hAnsi="宋体" w:eastAsia="宋体"/>
          <w:szCs w:val="28"/>
        </w:rPr>
        <w:t>（三）一般防治区（</w:t>
      </w:r>
      <w:r>
        <w:rPr>
          <w:rFonts w:hint="eastAsia" w:ascii="宋体" w:hAnsi="宋体" w:eastAsia="宋体" w:cs="宋体"/>
          <w:szCs w:val="28"/>
        </w:rPr>
        <w:t>Ⅲ</w:t>
      </w:r>
      <w:r>
        <w:rPr>
          <w:rFonts w:ascii="宋体" w:hAnsi="宋体" w:eastAsia="宋体"/>
          <w:szCs w:val="28"/>
        </w:rPr>
        <w:t>）</w:t>
      </w:r>
    </w:p>
    <w:p>
      <w:pPr>
        <w:ind w:firstLine="560"/>
        <w:rPr>
          <w:b/>
          <w:szCs w:val="28"/>
        </w:rPr>
        <w:sectPr>
          <w:pgSz w:w="11906" w:h="16838"/>
          <w:pgMar w:top="1418" w:right="1701" w:bottom="1418" w:left="1260" w:header="851" w:footer="992" w:gutter="0"/>
          <w:cols w:space="720" w:num="1"/>
          <w:docGrid w:type="lines" w:linePitch="312" w:charSpace="0"/>
        </w:sectPr>
      </w:pPr>
      <w:r>
        <w:rPr>
          <w:rFonts w:hint="eastAsia"/>
          <w:szCs w:val="28"/>
        </w:rPr>
        <w:t>该区域主要分布</w:t>
      </w:r>
      <w:r>
        <w:rPr>
          <w:szCs w:val="28"/>
        </w:rPr>
        <w:t>低易发区</w:t>
      </w:r>
      <w:r>
        <w:rPr>
          <w:rFonts w:hint="eastAsia"/>
          <w:szCs w:val="28"/>
        </w:rPr>
        <w:t>和中易发区，</w:t>
      </w:r>
      <w:r>
        <w:rPr>
          <w:szCs w:val="28"/>
        </w:rPr>
        <w:t>地貌以宽缓向斜槽谷浅丘地貌为主，地质灾害不发育，共分</w:t>
      </w:r>
      <w:r>
        <w:rPr>
          <w:rFonts w:hint="eastAsia"/>
          <w:szCs w:val="28"/>
        </w:rPr>
        <w:t>2</w:t>
      </w:r>
      <w:r>
        <w:rPr>
          <w:szCs w:val="28"/>
        </w:rPr>
        <w:t>个一般防治区。面积</w:t>
      </w:r>
      <w:r>
        <w:rPr>
          <w:rFonts w:hint="eastAsia"/>
          <w:szCs w:val="28"/>
        </w:rPr>
        <w:t>218.36k</w:t>
      </w:r>
      <w:r>
        <w:rPr>
          <w:szCs w:val="28"/>
        </w:rPr>
        <w:t>m</w:t>
      </w:r>
      <w:r>
        <w:rPr>
          <w:szCs w:val="28"/>
          <w:vertAlign w:val="superscript"/>
        </w:rPr>
        <w:t>2</w:t>
      </w:r>
      <w:r>
        <w:rPr>
          <w:szCs w:val="28"/>
        </w:rPr>
        <w:t>，占全区面积的</w:t>
      </w:r>
      <w:r>
        <w:rPr>
          <w:rFonts w:hint="eastAsia"/>
          <w:szCs w:val="28"/>
        </w:rPr>
        <w:t>62.66</w:t>
      </w:r>
      <w:r>
        <w:rPr>
          <w:szCs w:val="28"/>
        </w:rPr>
        <w:t>%。各防治分区地质灾害发育、危害情况及防治措施建议参见附表</w:t>
      </w:r>
      <w:r>
        <w:rPr>
          <w:rFonts w:hint="eastAsia"/>
          <w:szCs w:val="28"/>
        </w:rPr>
        <w:t>2</w:t>
      </w:r>
      <w:r>
        <w:rPr>
          <w:szCs w:val="28"/>
        </w:rPr>
        <w:t>及图</w:t>
      </w:r>
      <w:r>
        <w:rPr>
          <w:rFonts w:hint="eastAsia"/>
          <w:szCs w:val="28"/>
        </w:rPr>
        <w:t>3</w:t>
      </w:r>
      <w:r>
        <w:rPr>
          <w:szCs w:val="28"/>
        </w:rPr>
        <w:t>。</w:t>
      </w:r>
      <w:bookmarkEnd w:id="124"/>
      <w:bookmarkEnd w:id="125"/>
      <w:bookmarkEnd w:id="126"/>
    </w:p>
    <w:p>
      <w:pPr>
        <w:pStyle w:val="4"/>
        <w:spacing w:before="0" w:after="0" w:line="396" w:lineRule="auto"/>
        <w:rPr>
          <w:rFonts w:ascii="Times New Roman" w:hAnsi="Times New Roman"/>
          <w:bCs w:val="0"/>
          <w:color w:val="000000"/>
        </w:rPr>
      </w:pPr>
      <w:bookmarkStart w:id="135" w:name="_Toc6024"/>
      <w:bookmarkStart w:id="136" w:name="_Toc62098857"/>
      <w:bookmarkStart w:id="137" w:name="_Toc92983330"/>
      <w:r>
        <w:rPr>
          <w:rFonts w:ascii="Times New Roman" w:hAnsi="Times New Roman"/>
          <w:bCs w:val="0"/>
          <w:color w:val="000000"/>
        </w:rPr>
        <w:t>第</w:t>
      </w:r>
      <w:r>
        <w:rPr>
          <w:rFonts w:hint="eastAsia" w:ascii="Times New Roman" w:hAnsi="Times New Roman"/>
          <w:bCs w:val="0"/>
          <w:color w:val="000000"/>
        </w:rPr>
        <w:t>六</w:t>
      </w:r>
      <w:r>
        <w:rPr>
          <w:rFonts w:ascii="Times New Roman" w:hAnsi="Times New Roman"/>
          <w:bCs w:val="0"/>
          <w:color w:val="000000"/>
        </w:rPr>
        <w:t>章  防治规划的指导思想、</w:t>
      </w:r>
      <w:bookmarkStart w:id="138" w:name="_Hlt84078230"/>
      <w:bookmarkEnd w:id="138"/>
      <w:r>
        <w:rPr>
          <w:rFonts w:ascii="Times New Roman" w:hAnsi="Times New Roman"/>
          <w:bCs w:val="0"/>
          <w:color w:val="000000"/>
        </w:rPr>
        <w:t>基本原则及规划目标</w:t>
      </w:r>
      <w:bookmarkEnd w:id="135"/>
    </w:p>
    <w:p>
      <w:pPr>
        <w:pStyle w:val="5"/>
        <w:spacing w:line="480" w:lineRule="auto"/>
        <w:rPr>
          <w:rFonts w:ascii="Times New Roman" w:hAnsi="Times New Roman"/>
          <w:color w:val="000000"/>
          <w:sz w:val="30"/>
          <w:szCs w:val="30"/>
        </w:rPr>
      </w:pPr>
      <w:bookmarkStart w:id="139" w:name="_Toc62098855"/>
      <w:bookmarkStart w:id="140" w:name="_Toc92983323"/>
      <w:bookmarkStart w:id="141" w:name="_Toc24458"/>
      <w:r>
        <w:rPr>
          <w:rFonts w:ascii="Times New Roman" w:hAnsi="Times New Roman"/>
          <w:color w:val="000000"/>
          <w:sz w:val="30"/>
          <w:szCs w:val="30"/>
        </w:rPr>
        <w:t>第一节  指导思想</w:t>
      </w:r>
      <w:bookmarkEnd w:id="139"/>
      <w:bookmarkEnd w:id="140"/>
      <w:bookmarkEnd w:id="141"/>
    </w:p>
    <w:p>
      <w:pPr>
        <w:ind w:firstLine="560"/>
        <w:rPr>
          <w:color w:val="000000"/>
        </w:rPr>
      </w:pPr>
      <w:r>
        <w:rPr>
          <w:rFonts w:hint="eastAsia"/>
          <w:color w:val="000000"/>
        </w:rPr>
        <w:t>高举中国特色社会主义伟大旗帜，以习近平新时代中国特色社会主义思想为指导，认真贯彻党的十九大精神，全面落实习近平总书记视察重庆重要讲话和参加重庆代表团审议时的重要讲话精神，</w:t>
      </w:r>
      <w:bookmarkStart w:id="142" w:name="_Toc62098856"/>
      <w:bookmarkStart w:id="143" w:name="_Toc92983324"/>
      <w:r>
        <w:rPr>
          <w:color w:val="000000"/>
        </w:rPr>
        <w:t>认真落实中央人口、资源、环境的一系列方针政策</w:t>
      </w:r>
      <w:r>
        <w:rPr>
          <w:rFonts w:hint="eastAsia"/>
          <w:color w:val="000000"/>
        </w:rPr>
        <w:t>，把“以人民为中心”作为地质灾害防治工作的根本遵循，</w:t>
      </w:r>
      <w:r>
        <w:rPr>
          <w:color w:val="000000"/>
        </w:rPr>
        <w:t>紧密结合沙坪坝区经济社会发展规划的总体目标和要求，以预防突发性地质灾害为重点，</w:t>
      </w:r>
      <w:r>
        <w:rPr>
          <w:rFonts w:hint="eastAsia"/>
          <w:color w:val="000000"/>
        </w:rPr>
        <w:t>进一步夯实地质灾害调查评价、监测预警、综合防治、能力建设等方面的综合防治体系建设工作。做好地质灾害动态排查、核查和详细调查工作，完善群专结合的“四重”网格化监测预警体系，实施“有重点、分层次、多手段”的综合防治，加强能力建设，全力提升基层地质灾害综合防治能力。建立地质灾害防治长效机制，使地质灾害危害得到进一步遏制，地质灾害对经济社会和生态环境影响显著减轻，因灾伤亡和财产损失明显降低，全社会地质灾害综合防范能力和水平显著提升，为构建沙坪坝山清水秀美丽之地提供地质安全保障。</w:t>
      </w:r>
    </w:p>
    <w:p>
      <w:pPr>
        <w:ind w:firstLine="560"/>
        <w:rPr>
          <w:color w:val="000000"/>
        </w:rPr>
      </w:pPr>
    </w:p>
    <w:p>
      <w:pPr>
        <w:pStyle w:val="5"/>
        <w:spacing w:line="480" w:lineRule="auto"/>
        <w:rPr>
          <w:rFonts w:ascii="Times New Roman" w:hAnsi="Times New Roman"/>
          <w:color w:val="000000"/>
          <w:sz w:val="30"/>
          <w:szCs w:val="30"/>
        </w:rPr>
      </w:pPr>
      <w:bookmarkStart w:id="144" w:name="_Toc13583"/>
      <w:r>
        <w:rPr>
          <w:rFonts w:ascii="Times New Roman" w:hAnsi="Times New Roman"/>
          <w:color w:val="000000"/>
          <w:sz w:val="30"/>
          <w:szCs w:val="30"/>
        </w:rPr>
        <w:t>第二节  基本原则</w:t>
      </w:r>
      <w:bookmarkEnd w:id="142"/>
      <w:bookmarkEnd w:id="143"/>
      <w:bookmarkEnd w:id="144"/>
    </w:p>
    <w:p>
      <w:pPr>
        <w:pStyle w:val="6"/>
        <w:ind w:firstLine="340"/>
        <w:rPr>
          <w:rFonts w:ascii="Times New Roman" w:eastAsia="宋体"/>
          <w:color w:val="000000"/>
        </w:rPr>
      </w:pPr>
      <w:bookmarkStart w:id="145" w:name="_Toc82514510"/>
      <w:bookmarkStart w:id="146" w:name="_Toc301281411"/>
      <w:bookmarkStart w:id="147" w:name="_Toc125174475"/>
      <w:bookmarkStart w:id="148" w:name="_Toc123092993"/>
      <w:bookmarkStart w:id="149" w:name="_Toc301181734"/>
      <w:bookmarkStart w:id="150" w:name="_Toc297029955"/>
      <w:bookmarkStart w:id="151" w:name="_Toc92983325"/>
      <w:bookmarkStart w:id="152" w:name="_Toc326329013"/>
      <w:bookmarkStart w:id="153" w:name="_Toc332789289"/>
      <w:bookmarkStart w:id="154" w:name="_Toc323374874"/>
      <w:bookmarkStart w:id="155" w:name="_Toc333392566"/>
      <w:bookmarkStart w:id="156" w:name="_Toc305943656"/>
      <w:bookmarkStart w:id="157" w:name="_Toc329604315"/>
      <w:bookmarkStart w:id="158" w:name="_Toc305943810"/>
      <w:bookmarkStart w:id="159" w:name="_Toc304921124"/>
      <w:bookmarkStart w:id="160" w:name="_Toc82514511"/>
      <w:bookmarkStart w:id="161" w:name="_Toc94865715"/>
      <w:bookmarkStart w:id="162" w:name="_Toc92983326"/>
      <w:r>
        <w:rPr>
          <w:rFonts w:hint="eastAsia" w:ascii="Times New Roman" w:eastAsia="宋体"/>
          <w:color w:val="000000"/>
        </w:rPr>
        <w:t>一、</w:t>
      </w:r>
      <w:r>
        <w:rPr>
          <w:rFonts w:ascii="Times New Roman" w:eastAsia="宋体"/>
          <w:color w:val="000000"/>
        </w:rPr>
        <w:t>以人为本</w:t>
      </w:r>
      <w:bookmarkEnd w:id="145"/>
      <w:bookmarkEnd w:id="146"/>
      <w:bookmarkEnd w:id="147"/>
      <w:bookmarkEnd w:id="148"/>
      <w:bookmarkEnd w:id="149"/>
      <w:bookmarkEnd w:id="150"/>
      <w:bookmarkEnd w:id="151"/>
      <w:r>
        <w:rPr>
          <w:rFonts w:ascii="Times New Roman" w:eastAsia="宋体"/>
          <w:color w:val="000000"/>
        </w:rPr>
        <w:t>、</w:t>
      </w:r>
      <w:bookmarkEnd w:id="152"/>
      <w:bookmarkEnd w:id="153"/>
      <w:bookmarkEnd w:id="154"/>
      <w:bookmarkEnd w:id="155"/>
      <w:bookmarkEnd w:id="156"/>
      <w:bookmarkEnd w:id="157"/>
      <w:bookmarkEnd w:id="158"/>
      <w:bookmarkEnd w:id="159"/>
      <w:r>
        <w:rPr>
          <w:rFonts w:hint="eastAsia" w:ascii="Times New Roman" w:eastAsia="宋体"/>
          <w:color w:val="000000"/>
        </w:rPr>
        <w:t>保障安全</w:t>
      </w:r>
    </w:p>
    <w:p>
      <w:pPr>
        <w:ind w:firstLine="560"/>
        <w:rPr>
          <w:color w:val="000000"/>
        </w:rPr>
      </w:pPr>
      <w:r>
        <w:rPr>
          <w:color w:val="000000"/>
        </w:rPr>
        <w:t>地质灾害防治事关民生，责任重大，始终把保障人民群众的生命财产安全放在地质灾害防治工作的首位，把受地质灾害威胁群众脱险、改善人居环境作为地质灾害防治重心。充分发挥政府主导、各方参与、全社会防治，最大限度减轻和避免灾害造成的损失。</w:t>
      </w:r>
    </w:p>
    <w:bookmarkEnd w:id="160"/>
    <w:bookmarkEnd w:id="161"/>
    <w:bookmarkEnd w:id="162"/>
    <w:p>
      <w:pPr>
        <w:pStyle w:val="6"/>
        <w:ind w:firstLine="340"/>
        <w:rPr>
          <w:rFonts w:ascii="Times New Roman" w:eastAsia="宋体"/>
          <w:color w:val="000000"/>
        </w:rPr>
      </w:pPr>
      <w:bookmarkStart w:id="163" w:name="_Toc333392567"/>
      <w:bookmarkStart w:id="164" w:name="_Toc304921125"/>
      <w:bookmarkStart w:id="165" w:name="_Toc332789290"/>
      <w:bookmarkStart w:id="166" w:name="_Toc301181735"/>
      <w:bookmarkStart w:id="167" w:name="_Toc301281412"/>
      <w:bookmarkStart w:id="168" w:name="_Toc305943657"/>
      <w:bookmarkStart w:id="169" w:name="_Toc329604316"/>
      <w:bookmarkStart w:id="170" w:name="_Toc297029956"/>
      <w:bookmarkStart w:id="171" w:name="_Toc323374875"/>
      <w:bookmarkStart w:id="172" w:name="_Toc305943811"/>
      <w:bookmarkStart w:id="173" w:name="_Toc326329014"/>
      <w:r>
        <w:rPr>
          <w:rFonts w:hint="eastAsia" w:ascii="Times New Roman" w:eastAsia="宋体"/>
          <w:color w:val="000000"/>
        </w:rPr>
        <w:t>二、</w:t>
      </w:r>
      <w:r>
        <w:rPr>
          <w:rFonts w:ascii="Times New Roman" w:eastAsia="宋体"/>
          <w:color w:val="000000"/>
        </w:rPr>
        <w:t>预防为主、防治结合</w:t>
      </w:r>
      <w:bookmarkEnd w:id="163"/>
      <w:bookmarkEnd w:id="164"/>
      <w:bookmarkEnd w:id="165"/>
      <w:bookmarkEnd w:id="166"/>
      <w:bookmarkEnd w:id="167"/>
      <w:bookmarkEnd w:id="168"/>
      <w:bookmarkEnd w:id="169"/>
      <w:bookmarkEnd w:id="170"/>
      <w:bookmarkEnd w:id="171"/>
      <w:bookmarkEnd w:id="172"/>
      <w:bookmarkEnd w:id="173"/>
    </w:p>
    <w:p>
      <w:pPr>
        <w:ind w:firstLine="560"/>
        <w:rPr>
          <w:color w:val="000000"/>
        </w:rPr>
      </w:pPr>
      <w:bookmarkStart w:id="174" w:name="_Toc82514512"/>
      <w:bookmarkStart w:id="175" w:name="_Toc82398603"/>
      <w:bookmarkStart w:id="176" w:name="_Toc94865716"/>
      <w:bookmarkStart w:id="177" w:name="_Toc92983327"/>
      <w:r>
        <w:rPr>
          <w:color w:val="000000"/>
        </w:rPr>
        <w:t>增强防灾避灾意识，变消极被动的应急处置为积极主动的防灾减灾，是开展地质灾害防治工作的根本。强化地质灾害工程治理与搬迁避让是全面推进地质灾害防治工作的重要保障。在地质灾害调查基础上，按照“预警到镇（街）、预案到村、责任到人、有效避险”的要求，建立健全群测群防、群专结合的监测预警体系，提高应急避险和快速救援处置能力，应急避险、搬迁避让和治理相结合，使地质灾害防与治协调统一。</w:t>
      </w:r>
    </w:p>
    <w:bookmarkEnd w:id="174"/>
    <w:bookmarkEnd w:id="175"/>
    <w:bookmarkEnd w:id="176"/>
    <w:bookmarkEnd w:id="177"/>
    <w:p>
      <w:pPr>
        <w:pStyle w:val="6"/>
        <w:ind w:firstLine="340"/>
        <w:rPr>
          <w:rFonts w:ascii="Times New Roman" w:eastAsia="宋体"/>
          <w:color w:val="000000"/>
        </w:rPr>
      </w:pPr>
      <w:bookmarkStart w:id="178" w:name="_Toc305943658"/>
      <w:bookmarkStart w:id="179" w:name="_Toc333392568"/>
      <w:bookmarkStart w:id="180" w:name="_Toc297029957"/>
      <w:bookmarkStart w:id="181" w:name="_Toc323374876"/>
      <w:bookmarkStart w:id="182" w:name="_Toc301181736"/>
      <w:bookmarkStart w:id="183" w:name="_Toc305943812"/>
      <w:bookmarkStart w:id="184" w:name="_Toc326329015"/>
      <w:bookmarkStart w:id="185" w:name="_Toc304921126"/>
      <w:bookmarkStart w:id="186" w:name="_Toc329604317"/>
      <w:bookmarkStart w:id="187" w:name="_Toc301281413"/>
      <w:bookmarkStart w:id="188" w:name="_Toc332789291"/>
      <w:r>
        <w:rPr>
          <w:rFonts w:hint="eastAsia" w:ascii="Times New Roman" w:eastAsia="宋体"/>
          <w:color w:val="000000"/>
        </w:rPr>
        <w:t>三、统一领导、协调管理</w:t>
      </w:r>
      <w:bookmarkEnd w:id="178"/>
      <w:bookmarkEnd w:id="179"/>
      <w:bookmarkEnd w:id="180"/>
      <w:bookmarkEnd w:id="181"/>
      <w:bookmarkEnd w:id="182"/>
      <w:bookmarkEnd w:id="183"/>
      <w:bookmarkEnd w:id="184"/>
      <w:bookmarkEnd w:id="185"/>
      <w:bookmarkEnd w:id="186"/>
      <w:bookmarkEnd w:id="187"/>
      <w:bookmarkEnd w:id="188"/>
    </w:p>
    <w:p>
      <w:pPr>
        <w:ind w:firstLine="560"/>
        <w:rPr>
          <w:color w:val="000000"/>
        </w:rPr>
      </w:pPr>
      <w:bookmarkStart w:id="189" w:name="_Toc92983328"/>
      <w:bookmarkStart w:id="190" w:name="_Toc125174478"/>
      <w:bookmarkStart w:id="191" w:name="_Toc94865717"/>
      <w:r>
        <w:rPr>
          <w:rFonts w:hint="eastAsia"/>
          <w:color w:val="000000"/>
        </w:rPr>
        <w:t>按照“谁引发，谁治理”、“谁受益、谁参与的原则”，</w:t>
      </w:r>
      <w:r>
        <w:rPr>
          <w:color w:val="000000"/>
        </w:rPr>
        <w:t>在区政府的领导下，在</w:t>
      </w:r>
      <w:r>
        <w:rPr>
          <w:rFonts w:hint="eastAsia"/>
          <w:color w:val="000000"/>
        </w:rPr>
        <w:t>自然</w:t>
      </w:r>
      <w:r>
        <w:rPr>
          <w:color w:val="000000"/>
        </w:rPr>
        <w:t>、交通、水利、建设、教育、气象、市政、安监</w:t>
      </w:r>
      <w:r>
        <w:rPr>
          <w:rFonts w:hint="eastAsia"/>
          <w:color w:val="000000"/>
        </w:rPr>
        <w:t>、应急</w:t>
      </w:r>
      <w:r>
        <w:rPr>
          <w:color w:val="000000"/>
        </w:rPr>
        <w:t>等相关部门的协调与配合下，按照职责范围分级分部门做好各自的地质灾害防治工作。区</w:t>
      </w:r>
      <w:r>
        <w:rPr>
          <w:rFonts w:hint="eastAsia"/>
          <w:color w:val="000000"/>
        </w:rPr>
        <w:t>规划和自然资源</w:t>
      </w:r>
      <w:r>
        <w:rPr>
          <w:color w:val="000000"/>
        </w:rPr>
        <w:t>主管部门充分发挥其对地质灾害防治工作的组织、协调、指导与监督的作用。</w:t>
      </w:r>
    </w:p>
    <w:bookmarkEnd w:id="189"/>
    <w:bookmarkEnd w:id="190"/>
    <w:bookmarkEnd w:id="191"/>
    <w:p>
      <w:pPr>
        <w:pStyle w:val="6"/>
        <w:ind w:firstLine="340"/>
        <w:rPr>
          <w:rFonts w:ascii="Times New Roman" w:eastAsia="宋体"/>
          <w:color w:val="000000"/>
        </w:rPr>
      </w:pPr>
      <w:bookmarkStart w:id="192" w:name="_Toc332789292"/>
      <w:bookmarkStart w:id="193" w:name="_Toc305943813"/>
      <w:bookmarkStart w:id="194" w:name="_Toc329604318"/>
      <w:bookmarkStart w:id="195" w:name="_Toc301181737"/>
      <w:bookmarkStart w:id="196" w:name="_Toc297029958"/>
      <w:bookmarkStart w:id="197" w:name="_Toc305943659"/>
      <w:bookmarkStart w:id="198" w:name="_Toc323374877"/>
      <w:bookmarkStart w:id="199" w:name="_Toc326329016"/>
      <w:bookmarkStart w:id="200" w:name="_Toc333392569"/>
      <w:bookmarkStart w:id="201" w:name="_Toc304921127"/>
      <w:bookmarkStart w:id="202" w:name="_Toc301281414"/>
      <w:r>
        <w:rPr>
          <w:rFonts w:hint="eastAsia" w:ascii="Times New Roman" w:eastAsia="宋体"/>
          <w:color w:val="000000"/>
        </w:rPr>
        <w:t>四、</w:t>
      </w:r>
      <w:r>
        <w:rPr>
          <w:rFonts w:ascii="Times New Roman" w:eastAsia="宋体"/>
          <w:color w:val="000000"/>
        </w:rPr>
        <w:t>全面推进、突出重点</w:t>
      </w:r>
      <w:bookmarkEnd w:id="192"/>
      <w:bookmarkEnd w:id="193"/>
      <w:bookmarkEnd w:id="194"/>
      <w:bookmarkEnd w:id="195"/>
      <w:bookmarkEnd w:id="196"/>
      <w:bookmarkEnd w:id="197"/>
      <w:bookmarkEnd w:id="198"/>
      <w:bookmarkEnd w:id="199"/>
      <w:bookmarkEnd w:id="200"/>
      <w:bookmarkEnd w:id="201"/>
      <w:bookmarkEnd w:id="202"/>
    </w:p>
    <w:p>
      <w:pPr>
        <w:ind w:firstLine="560"/>
        <w:rPr>
          <w:color w:val="000000"/>
        </w:rPr>
      </w:pPr>
      <w:r>
        <w:rPr>
          <w:color w:val="000000"/>
        </w:rPr>
        <w:t>沙坪坝区地质灾害范围广、防治任务重，防治工作必须统筹兼顾，进行全面规划，突出重点。重点抓好突发性地质灾害、地质灾害多发地区、重点工程区及重点时段的地质灾害防治工作以及已查明地质灾害隐患点的应急避险、治理与搬迁避让工作，最大限度地减少人员伤亡和财产损失，保护人民的生命安全。</w:t>
      </w:r>
    </w:p>
    <w:p>
      <w:pPr>
        <w:pStyle w:val="6"/>
        <w:ind w:firstLine="340"/>
        <w:rPr>
          <w:rFonts w:ascii="Times New Roman" w:eastAsia="宋体"/>
          <w:color w:val="000000"/>
        </w:rPr>
      </w:pPr>
      <w:bookmarkStart w:id="203" w:name="_Toc304921128"/>
      <w:bookmarkStart w:id="204" w:name="_Toc305943814"/>
      <w:bookmarkStart w:id="205" w:name="_Toc305943660"/>
      <w:bookmarkStart w:id="206" w:name="_Toc333392570"/>
      <w:bookmarkStart w:id="207" w:name="_Toc332789293"/>
      <w:bookmarkStart w:id="208" w:name="_Toc297029959"/>
      <w:bookmarkStart w:id="209" w:name="_Toc326329017"/>
      <w:bookmarkStart w:id="210" w:name="_Toc301281415"/>
      <w:bookmarkStart w:id="211" w:name="_Toc301181738"/>
      <w:bookmarkStart w:id="212" w:name="_Toc329604319"/>
      <w:bookmarkStart w:id="213" w:name="_Toc323374878"/>
      <w:r>
        <w:rPr>
          <w:rFonts w:hint="eastAsia" w:ascii="Times New Roman" w:eastAsia="宋体"/>
          <w:color w:val="000000"/>
        </w:rPr>
        <w:t>五、</w:t>
      </w:r>
      <w:r>
        <w:rPr>
          <w:rFonts w:ascii="Times New Roman" w:eastAsia="宋体"/>
          <w:color w:val="000000"/>
        </w:rPr>
        <w:t>统筹规划、综合治理</w:t>
      </w:r>
      <w:bookmarkEnd w:id="203"/>
      <w:bookmarkEnd w:id="204"/>
      <w:bookmarkEnd w:id="205"/>
      <w:bookmarkEnd w:id="206"/>
      <w:bookmarkEnd w:id="207"/>
      <w:bookmarkEnd w:id="208"/>
      <w:bookmarkEnd w:id="209"/>
      <w:bookmarkEnd w:id="210"/>
      <w:bookmarkEnd w:id="211"/>
      <w:bookmarkEnd w:id="212"/>
      <w:bookmarkEnd w:id="213"/>
    </w:p>
    <w:p>
      <w:pPr>
        <w:ind w:firstLine="560"/>
        <w:rPr>
          <w:color w:val="000000"/>
        </w:rPr>
      </w:pPr>
      <w:bookmarkStart w:id="214" w:name="_Hlt84078117"/>
      <w:bookmarkEnd w:id="214"/>
      <w:r>
        <w:rPr>
          <w:color w:val="000000"/>
        </w:rPr>
        <w:t>综合考虑沙坪坝区地质灾害的发育特点，全面规划，将地质灾害防治工作与功能区建设、环境保护、新农村建设等密切结合，从实际出发，整合社会资源，充分调动各方参与防治的积极性，帮助山区群众脱险、脱贫，改善生存环境，实现人与自然的和谐。</w:t>
      </w:r>
    </w:p>
    <w:p>
      <w:pPr>
        <w:pStyle w:val="6"/>
        <w:ind w:firstLine="340"/>
        <w:rPr>
          <w:rFonts w:ascii="Times New Roman" w:eastAsia="宋体"/>
          <w:color w:val="000000"/>
        </w:rPr>
      </w:pPr>
      <w:bookmarkStart w:id="215" w:name="_Toc305943661"/>
      <w:bookmarkStart w:id="216" w:name="_Toc333392571"/>
      <w:bookmarkStart w:id="217" w:name="_Toc301281416"/>
      <w:bookmarkStart w:id="218" w:name="_Toc297029960"/>
      <w:bookmarkStart w:id="219" w:name="_Toc323374879"/>
      <w:bookmarkStart w:id="220" w:name="_Toc305943815"/>
      <w:bookmarkStart w:id="221" w:name="_Toc301181739"/>
      <w:bookmarkStart w:id="222" w:name="_Toc332789294"/>
      <w:bookmarkStart w:id="223" w:name="_Toc304921129"/>
      <w:bookmarkStart w:id="224" w:name="_Toc329604320"/>
      <w:bookmarkStart w:id="225" w:name="_Toc326329018"/>
      <w:r>
        <w:rPr>
          <w:rFonts w:hint="eastAsia" w:ascii="Times New Roman" w:eastAsia="宋体"/>
          <w:color w:val="000000"/>
        </w:rPr>
        <w:t>六、</w:t>
      </w:r>
      <w:r>
        <w:rPr>
          <w:rFonts w:ascii="Times New Roman" w:eastAsia="宋体"/>
          <w:color w:val="000000"/>
        </w:rPr>
        <w:t>动态管理、经济高效</w:t>
      </w:r>
      <w:bookmarkEnd w:id="215"/>
      <w:bookmarkEnd w:id="216"/>
      <w:bookmarkEnd w:id="217"/>
      <w:bookmarkEnd w:id="218"/>
      <w:bookmarkEnd w:id="219"/>
      <w:bookmarkEnd w:id="220"/>
      <w:bookmarkEnd w:id="221"/>
      <w:bookmarkEnd w:id="222"/>
      <w:bookmarkEnd w:id="223"/>
      <w:bookmarkEnd w:id="224"/>
      <w:bookmarkEnd w:id="225"/>
    </w:p>
    <w:p>
      <w:pPr>
        <w:ind w:firstLine="560"/>
        <w:rPr>
          <w:color w:val="000000"/>
        </w:rPr>
      </w:pPr>
      <w:r>
        <w:rPr>
          <w:color w:val="000000"/>
        </w:rPr>
        <w:t>在实施地质灾害调查评价、监测预警和治理工程过程中，适时检查评估防治工作成效，总结经验教训，发现问题及时调整工作部署，实施动态管理，争取防灾减灾效益的最大化。</w:t>
      </w:r>
    </w:p>
    <w:p>
      <w:pPr>
        <w:ind w:firstLine="560"/>
      </w:pPr>
    </w:p>
    <w:bookmarkEnd w:id="136"/>
    <w:bookmarkEnd w:id="137"/>
    <w:p>
      <w:pPr>
        <w:pStyle w:val="5"/>
        <w:spacing w:line="480" w:lineRule="auto"/>
        <w:rPr>
          <w:rFonts w:ascii="Times New Roman" w:hAnsi="Times New Roman"/>
          <w:color w:val="000000"/>
          <w:sz w:val="30"/>
          <w:szCs w:val="30"/>
        </w:rPr>
      </w:pPr>
      <w:bookmarkStart w:id="226" w:name="_Toc14801"/>
      <w:r>
        <w:rPr>
          <w:rFonts w:ascii="Times New Roman" w:hAnsi="Times New Roman"/>
          <w:color w:val="000000"/>
          <w:sz w:val="30"/>
          <w:szCs w:val="30"/>
        </w:rPr>
        <w:t>第三节  规划目标</w:t>
      </w:r>
      <w:bookmarkEnd w:id="226"/>
    </w:p>
    <w:p>
      <w:pPr>
        <w:pStyle w:val="6"/>
        <w:ind w:firstLine="340"/>
        <w:rPr>
          <w:rFonts w:ascii="Times New Roman" w:eastAsia="宋体"/>
          <w:color w:val="000000"/>
        </w:rPr>
      </w:pPr>
      <w:bookmarkStart w:id="227" w:name="_Toc332789296"/>
      <w:bookmarkStart w:id="228" w:name="_Toc301281419"/>
      <w:bookmarkStart w:id="229" w:name="_Toc301181742"/>
      <w:bookmarkStart w:id="230" w:name="_Toc94865720"/>
      <w:bookmarkStart w:id="231" w:name="_Toc326329020"/>
      <w:bookmarkStart w:id="232" w:name="_Toc304921132"/>
      <w:bookmarkStart w:id="233" w:name="_Toc333392573"/>
      <w:bookmarkStart w:id="234" w:name="_Toc305943817"/>
      <w:bookmarkStart w:id="235" w:name="_Toc92983331"/>
      <w:bookmarkStart w:id="236" w:name="_Toc305943663"/>
      <w:bookmarkStart w:id="237" w:name="_Toc329604322"/>
      <w:bookmarkStart w:id="238" w:name="_Toc323374881"/>
      <w:bookmarkStart w:id="239" w:name="_Toc125174481"/>
      <w:bookmarkStart w:id="240" w:name="_Toc297029963"/>
      <w:r>
        <w:rPr>
          <w:rFonts w:hint="eastAsia" w:ascii="Times New Roman" w:eastAsia="宋体"/>
          <w:color w:val="000000"/>
        </w:rPr>
        <w:t>一、</w:t>
      </w:r>
      <w:r>
        <w:rPr>
          <w:rFonts w:ascii="Times New Roman" w:eastAsia="宋体"/>
          <w:color w:val="000000"/>
        </w:rPr>
        <w:t>总体目标</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ind w:firstLine="560"/>
        <w:rPr>
          <w:color w:val="000000"/>
        </w:rPr>
      </w:pPr>
      <w:r>
        <w:rPr>
          <w:rFonts w:hint="eastAsia"/>
          <w:color w:val="000000"/>
        </w:rPr>
        <w:t>2020-2023年</w:t>
      </w:r>
      <w:r>
        <w:rPr>
          <w:color w:val="000000"/>
        </w:rPr>
        <w:t>完善地质灾害防治法律法规体系和适应社会主义市场经济要求的地质灾害防治、监督和管理体系，严格控制人为诱发地质灾害的发生；加强调查评价工作，在全面查清地质灾害分布状况与危害程度的基础上，初步建成群专结合的地质灾害监测网络和信息系统，逐步健全地质灾害监测预警和群测群防体系；完善地质灾害管理制度与应急救援体系，与相关部门联合建立地质灾害监测预警信息共享平台和短临预警应急联动机制，推动全区地质灾害气象预警预报体系建设，调动各方面的积极性，通过监测预报、应急避险、搬迁避让和工程治理，最大限度降低地质灾害的危害与损失。同时将地质灾害防治从分散的、被动应急的状态转变为有组织的、专门的、主动的和有预见性的地质灾害防治工作新局面，</w:t>
      </w:r>
      <w:r>
        <w:rPr>
          <w:rFonts w:hint="eastAsia"/>
          <w:color w:val="000000"/>
        </w:rPr>
        <w:t>为构建沙坪坝山清水秀美丽之地提供地质安全保障。</w:t>
      </w:r>
    </w:p>
    <w:p>
      <w:pPr>
        <w:pStyle w:val="6"/>
        <w:ind w:firstLine="340"/>
        <w:rPr>
          <w:rFonts w:ascii="Times New Roman" w:eastAsia="宋体"/>
          <w:color w:val="000000"/>
        </w:rPr>
      </w:pPr>
      <w:bookmarkStart w:id="241" w:name="_Toc297029964"/>
      <w:bookmarkStart w:id="242" w:name="_Toc92983332"/>
      <w:bookmarkStart w:id="243" w:name="_Toc332789297"/>
      <w:bookmarkStart w:id="244" w:name="_Toc329604323"/>
      <w:bookmarkStart w:id="245" w:name="_Toc301181743"/>
      <w:bookmarkStart w:id="246" w:name="_Toc125174482"/>
      <w:bookmarkStart w:id="247" w:name="_Toc333392574"/>
      <w:bookmarkStart w:id="248" w:name="_Toc323374882"/>
      <w:bookmarkStart w:id="249" w:name="_Toc304921133"/>
      <w:bookmarkStart w:id="250" w:name="_Toc301281420"/>
      <w:bookmarkStart w:id="251" w:name="_Toc94865721"/>
      <w:bookmarkStart w:id="252" w:name="_Toc305943664"/>
      <w:bookmarkStart w:id="253" w:name="_Toc305943818"/>
      <w:bookmarkStart w:id="254" w:name="_Toc326329021"/>
      <w:r>
        <w:rPr>
          <w:rFonts w:hint="eastAsia" w:ascii="Times New Roman" w:eastAsia="宋体"/>
          <w:color w:val="000000"/>
        </w:rPr>
        <w:t>二、</w:t>
      </w:r>
      <w:r>
        <w:rPr>
          <w:rFonts w:ascii="Times New Roman" w:eastAsia="宋体"/>
          <w:color w:val="000000"/>
        </w:rPr>
        <w:t>具体目标</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ind w:firstLine="560"/>
        <w:rPr>
          <w:color w:val="000000"/>
        </w:rPr>
      </w:pPr>
      <w:r>
        <w:rPr>
          <w:rFonts w:hint="eastAsia"/>
          <w:color w:val="000000"/>
        </w:rPr>
        <w:t>把人民对美好生活的向往作为我们的奋斗目标，科学、高效使用国家和地方地质灾害防治资金，进一步夯实地质灾害调查评价、监测预警、综合防治、能力建设等方面的综合防治体系建设工作。做好地质灾害动态排查、核查和详细调查工作，完善群专结合的“四重”网格化监测预警体系，实施“有重点、分层次、多手段”的综合防治，加强能力建设，全力提升基层地质灾害综合防治能力。建立地质灾害防治长效机制，使地质灾害危害得到进一步遏制，地质灾害对经济社会和生态环境影响显著减轻，因灾伤亡和财产损失明显降低，全社会地质灾害综合防范能力和水平显著提升，为构建沙坪坝区山清水秀美丽之地提供地质安全保障。我区将加强领导，统筹力量，落实措施，稳步推进，全面夯实排查、调查基础性工作，排查调查覆盖率 100%；不断提升群专结合“四重”网格监测预警体系，智能化监测预警覆盖率 100%；</w:t>
      </w:r>
    </w:p>
    <w:p>
      <w:pPr>
        <w:ind w:firstLine="560"/>
        <w:rPr>
          <w:color w:val="000000"/>
        </w:rPr>
      </w:pPr>
      <w:r>
        <w:rPr>
          <w:color w:val="000000"/>
        </w:rPr>
        <w:t>1</w:t>
      </w:r>
      <w:r>
        <w:rPr>
          <w:rFonts w:hint="eastAsia"/>
          <w:color w:val="000000"/>
        </w:rPr>
        <w:t>.</w:t>
      </w:r>
      <w:r>
        <w:rPr>
          <w:color w:val="000000"/>
        </w:rPr>
        <w:t>全面完善沙坪坝区地质灾害防治体系和区、镇（街）二级地质灾害监督管理体系，将整个管理工作纳入法制化轨道，使人为引发地质灾害日益突出的趋势得到有效控制。使地质灾害防治的宏观管理与调控逐步加强，地质环境管理职能全面到位，实现地质环境管理的科学化、规范化。</w:t>
      </w:r>
    </w:p>
    <w:p>
      <w:pPr>
        <w:ind w:firstLine="560"/>
        <w:rPr>
          <w:color w:val="000000"/>
        </w:rPr>
      </w:pPr>
      <w:r>
        <w:rPr>
          <w:color w:val="000000"/>
        </w:rPr>
        <w:t>2</w:t>
      </w:r>
      <w:r>
        <w:rPr>
          <w:rFonts w:hint="eastAsia"/>
          <w:color w:val="000000"/>
        </w:rPr>
        <w:t>.</w:t>
      </w:r>
      <w:r>
        <w:rPr>
          <w:color w:val="000000"/>
        </w:rPr>
        <w:t>强化沙坪坝区地质</w:t>
      </w:r>
      <w:r>
        <w:rPr>
          <w:rFonts w:hint="eastAsia"/>
          <w:color w:val="000000"/>
        </w:rPr>
        <w:t>环境</w:t>
      </w:r>
      <w:r>
        <w:rPr>
          <w:color w:val="000000"/>
        </w:rPr>
        <w:t>监测站能力建设，完善地质</w:t>
      </w:r>
      <w:r>
        <w:rPr>
          <w:rFonts w:hint="eastAsia"/>
          <w:color w:val="000000"/>
        </w:rPr>
        <w:t>环境</w:t>
      </w:r>
      <w:r>
        <w:rPr>
          <w:color w:val="000000"/>
        </w:rPr>
        <w:t>监测站硬件设备，逐渐充实专业技术人员，从专业技术上对地质灾害群测群防进行业务指导。</w:t>
      </w:r>
    </w:p>
    <w:p>
      <w:pPr>
        <w:ind w:firstLine="560"/>
        <w:rPr>
          <w:color w:val="000000"/>
        </w:rPr>
      </w:pPr>
      <w:r>
        <w:rPr>
          <w:color w:val="000000"/>
        </w:rPr>
        <w:t>3</w:t>
      </w:r>
      <w:r>
        <w:rPr>
          <w:rFonts w:hint="eastAsia"/>
          <w:color w:val="000000"/>
        </w:rPr>
        <w:t>.加强</w:t>
      </w:r>
      <w:r>
        <w:rPr>
          <w:color w:val="000000"/>
        </w:rPr>
        <w:t>以群测群防为主的地质灾害监测预警预报网络</w:t>
      </w:r>
      <w:r>
        <w:rPr>
          <w:rFonts w:hint="eastAsia"/>
          <w:color w:val="000000"/>
        </w:rPr>
        <w:t>和监测</w:t>
      </w:r>
      <w:r>
        <w:rPr>
          <w:color w:val="000000"/>
        </w:rPr>
        <w:t>预警体系，实现对沙坪坝区地质灾害的有效监控。</w:t>
      </w:r>
    </w:p>
    <w:p>
      <w:pPr>
        <w:ind w:firstLine="560"/>
        <w:rPr>
          <w:color w:val="000000"/>
        </w:rPr>
      </w:pPr>
      <w:r>
        <w:rPr>
          <w:color w:val="000000"/>
        </w:rPr>
        <w:t>4</w:t>
      </w:r>
      <w:r>
        <w:rPr>
          <w:rFonts w:hint="eastAsia"/>
          <w:color w:val="000000"/>
        </w:rPr>
        <w:t>.</w:t>
      </w:r>
      <w:r>
        <w:rPr>
          <w:color w:val="000000"/>
        </w:rPr>
        <w:t>加强重点区域及重大灾害点的防治工作，对纳入规划防治的地质灾害隐患点进行综合防治</w:t>
      </w:r>
      <w:r>
        <w:rPr>
          <w:rFonts w:hint="eastAsia"/>
          <w:color w:val="000000"/>
        </w:rPr>
        <w:t>；</w:t>
      </w:r>
      <w:r>
        <w:rPr>
          <w:color w:val="000000"/>
        </w:rPr>
        <w:t>全区</w:t>
      </w:r>
      <w:r>
        <w:rPr>
          <w:rFonts w:hint="eastAsia"/>
          <w:color w:val="000000"/>
        </w:rPr>
        <w:t>纳入搬迁避让的地质</w:t>
      </w:r>
      <w:r>
        <w:rPr>
          <w:color w:val="000000"/>
        </w:rPr>
        <w:t>灾害点全部实施搬迁；</w:t>
      </w:r>
      <w:r>
        <w:rPr>
          <w:rFonts w:hint="eastAsia"/>
          <w:color w:val="000000"/>
        </w:rPr>
        <w:t>全区其余</w:t>
      </w:r>
      <w:r>
        <w:rPr>
          <w:color w:val="000000"/>
        </w:rPr>
        <w:t>地质灾害点</w:t>
      </w:r>
      <w:r>
        <w:rPr>
          <w:rFonts w:hint="eastAsia"/>
          <w:color w:val="000000"/>
        </w:rPr>
        <w:t>应建立</w:t>
      </w:r>
      <w:r>
        <w:rPr>
          <w:color w:val="000000"/>
        </w:rPr>
        <w:t>完善的</w:t>
      </w:r>
      <w:r>
        <w:rPr>
          <w:rFonts w:hint="eastAsia"/>
          <w:color w:val="000000"/>
        </w:rPr>
        <w:t>群测群防</w:t>
      </w:r>
      <w:r>
        <w:rPr>
          <w:color w:val="000000"/>
        </w:rPr>
        <w:t>监测</w:t>
      </w:r>
      <w:r>
        <w:rPr>
          <w:rFonts w:hint="eastAsia"/>
          <w:color w:val="000000"/>
        </w:rPr>
        <w:t>体制，</w:t>
      </w:r>
      <w:r>
        <w:rPr>
          <w:color w:val="000000"/>
        </w:rPr>
        <w:t>有效控制区内地质环境日益恶化的趋势。</w:t>
      </w:r>
      <w:r>
        <w:rPr>
          <w:rFonts w:hint="eastAsia"/>
          <w:color w:val="000000"/>
        </w:rPr>
        <w:t>至2023年底前投资5840万元对全区9个地灾隐患点进行工程治理，其中国家、市级补助资金4840万元，其余资金区级自筹；至2023年底前基本完成稳定性差～较差，影响人口多的地灾隐患点的治理；保证每年安排200万元用于重大突发性地质灾害隐患点得到应急处置，搬迁工程实施动态与规划相结合的管理方法解除存在地质隐患点的1352户5674人（涉灾人口）及各类居民点、企事业单位等免受地质灾害的威胁和危害。</w:t>
      </w:r>
    </w:p>
    <w:p>
      <w:pPr>
        <w:ind w:firstLine="560"/>
        <w:rPr>
          <w:color w:val="000000"/>
        </w:rPr>
      </w:pPr>
      <w:r>
        <w:rPr>
          <w:color w:val="000000"/>
        </w:rPr>
        <w:t>5</w:t>
      </w:r>
      <w:r>
        <w:rPr>
          <w:rFonts w:hint="eastAsia"/>
          <w:color w:val="000000"/>
        </w:rPr>
        <w:t>.</w:t>
      </w:r>
      <w:r>
        <w:rPr>
          <w:color w:val="000000"/>
        </w:rPr>
        <w:t>完成地质灾害易发区和重点防治区镇（街）、职能部门、村组级地质灾害防治知识培训。加强各部门之间的相互协作，增加地质灾害应急、防灾演练和地质灾害气象预警工作。</w:t>
      </w:r>
    </w:p>
    <w:p>
      <w:pPr>
        <w:ind w:firstLine="560"/>
        <w:rPr>
          <w:color w:val="000000"/>
        </w:rPr>
      </w:pPr>
      <w:r>
        <w:rPr>
          <w:color w:val="000000"/>
        </w:rPr>
        <w:t>6</w:t>
      </w:r>
      <w:r>
        <w:rPr>
          <w:rFonts w:hint="eastAsia"/>
          <w:color w:val="000000"/>
        </w:rPr>
        <w:t>.</w:t>
      </w:r>
      <w:r>
        <w:rPr>
          <w:color w:val="000000"/>
        </w:rPr>
        <w:t>完善沙坪坝区地质灾害空间数据库，保障对地质灾害监测信息的采集、存储、传输、处理及成果发布等全过程的有效管理与监控。健全区级地质灾害信息系统，向社会提供地质灾害信息服务。</w:t>
      </w:r>
    </w:p>
    <w:p>
      <w:pPr>
        <w:ind w:firstLine="560"/>
        <w:rPr>
          <w:color w:val="000000"/>
        </w:rPr>
      </w:pPr>
      <w:r>
        <w:rPr>
          <w:color w:val="000000"/>
        </w:rPr>
        <w:t>7</w:t>
      </w:r>
      <w:r>
        <w:rPr>
          <w:rFonts w:hint="eastAsia"/>
          <w:color w:val="000000"/>
        </w:rPr>
        <w:t>.至2023年底，基本改变本区地质灾害日趋严重的局面，使人为活动引发地质灾害日益突出的趋势得到有效控制，使本区的地质灾害发生率和损失量有明显降低，力争使我区地质灾害防治工作达到较高的先进水平。</w:t>
      </w:r>
    </w:p>
    <w:bookmarkEnd w:id="84"/>
    <w:bookmarkEnd w:id="85"/>
    <w:bookmarkEnd w:id="86"/>
    <w:bookmarkEnd w:id="87"/>
    <w:bookmarkEnd w:id="88"/>
    <w:p>
      <w:pPr>
        <w:pStyle w:val="4"/>
        <w:spacing w:before="0" w:after="0" w:line="360" w:lineRule="auto"/>
        <w:rPr>
          <w:rFonts w:ascii="Times New Roman" w:hAnsi="Times New Roman"/>
          <w:bCs w:val="0"/>
        </w:rPr>
        <w:sectPr>
          <w:footerReference r:id="rId17" w:type="default"/>
          <w:type w:val="nextColumn"/>
          <w:pgSz w:w="11906" w:h="16838"/>
          <w:pgMar w:top="1418" w:right="1134" w:bottom="1418" w:left="1701" w:header="851" w:footer="992" w:gutter="0"/>
          <w:cols w:space="720" w:num="1"/>
          <w:docGrid w:linePitch="312" w:charSpace="0"/>
        </w:sectPr>
      </w:pPr>
      <w:bookmarkStart w:id="255" w:name="_Hlt125097860"/>
      <w:bookmarkEnd w:id="255"/>
      <w:bookmarkStart w:id="256" w:name="_Hlt84078101"/>
      <w:bookmarkEnd w:id="256"/>
      <w:bookmarkStart w:id="257" w:name="_Hlt84078156"/>
      <w:bookmarkEnd w:id="257"/>
      <w:bookmarkStart w:id="258" w:name="_Hlt84078142"/>
      <w:bookmarkEnd w:id="258"/>
      <w:bookmarkStart w:id="259" w:name="_Toc92983355"/>
    </w:p>
    <w:p>
      <w:pPr>
        <w:pStyle w:val="4"/>
        <w:spacing w:before="0" w:after="0" w:line="360" w:lineRule="auto"/>
        <w:rPr>
          <w:rFonts w:ascii="Times New Roman" w:hAnsi="Times New Roman"/>
          <w:b w:val="0"/>
        </w:rPr>
      </w:pPr>
      <w:bookmarkStart w:id="260" w:name="_Toc12748"/>
      <w:r>
        <w:rPr>
          <w:rFonts w:ascii="Times New Roman" w:hAnsi="Times New Roman"/>
          <w:bCs w:val="0"/>
        </w:rPr>
        <w:t>第</w:t>
      </w:r>
      <w:r>
        <w:rPr>
          <w:rFonts w:hint="eastAsia" w:ascii="Times New Roman" w:hAnsi="Times New Roman"/>
          <w:bCs w:val="0"/>
        </w:rPr>
        <w:t>七</w:t>
      </w:r>
      <w:r>
        <w:rPr>
          <w:rFonts w:ascii="Times New Roman" w:hAnsi="Times New Roman"/>
          <w:bCs w:val="0"/>
        </w:rPr>
        <w:t>章  地质灾害防治</w:t>
      </w:r>
      <w:bookmarkEnd w:id="259"/>
      <w:r>
        <w:rPr>
          <w:rFonts w:hint="eastAsia" w:ascii="Times New Roman" w:hAnsi="Times New Roman"/>
          <w:bCs w:val="0"/>
        </w:rPr>
        <w:t>任务</w:t>
      </w:r>
      <w:bookmarkEnd w:id="260"/>
    </w:p>
    <w:p>
      <w:pPr>
        <w:ind w:firstLine="560"/>
      </w:pPr>
      <w:bookmarkStart w:id="261" w:name="_Toc92983356"/>
    </w:p>
    <w:p>
      <w:pPr>
        <w:pStyle w:val="5"/>
        <w:rPr>
          <w:rFonts w:ascii="Times New Roman" w:hAnsi="Times New Roman"/>
          <w:sz w:val="30"/>
          <w:szCs w:val="30"/>
        </w:rPr>
      </w:pPr>
      <w:bookmarkStart w:id="262" w:name="_Toc13450"/>
      <w:r>
        <w:rPr>
          <w:rFonts w:ascii="Times New Roman" w:hAnsi="Times New Roman"/>
          <w:sz w:val="30"/>
          <w:szCs w:val="30"/>
        </w:rPr>
        <w:t>第一节  地质灾害调查</w:t>
      </w:r>
      <w:bookmarkEnd w:id="261"/>
      <w:r>
        <w:rPr>
          <w:rFonts w:hint="eastAsia" w:ascii="Times New Roman" w:hAnsi="Times New Roman"/>
          <w:sz w:val="30"/>
          <w:szCs w:val="30"/>
        </w:rPr>
        <w:t>评价</w:t>
      </w:r>
      <w:bookmarkEnd w:id="262"/>
    </w:p>
    <w:p>
      <w:pPr>
        <w:pStyle w:val="6"/>
      </w:pPr>
      <w:r>
        <w:rPr>
          <w:rFonts w:hint="eastAsia"/>
        </w:rPr>
        <w:t>一、 地质调查及规划安排</w:t>
      </w:r>
    </w:p>
    <w:p>
      <w:pPr>
        <w:ind w:firstLine="560"/>
      </w:pPr>
      <w:r>
        <w:t>以地质灾害防治技术支撑单位为依托，在排查巡查基础上，以镇（街）为单元开展地质灾害全面</w:t>
      </w:r>
      <w:r>
        <w:rPr>
          <w:rFonts w:hint="eastAsia"/>
        </w:rPr>
        <w:t>精细化</w:t>
      </w:r>
      <w:r>
        <w:t>调查评价工作；加快实施</w:t>
      </w:r>
      <w:r>
        <w:rPr>
          <w:rFonts w:hint="eastAsia"/>
        </w:rPr>
        <w:t>沙坪坝区地质灾害精细化</w:t>
      </w:r>
      <w:r>
        <w:t>调查项目，</w:t>
      </w:r>
      <w:r>
        <w:rPr>
          <w:rFonts w:hint="eastAsia"/>
        </w:rPr>
        <w:t>全面准确的掌握全区地质灾害隐患的现状、发展趋势、威胁对象及下一步工作建议，根据《重庆市地质灾害综合防治体系建设方案》（2019-2023 年）安排，申请国家专项资金150万元于2020年对沙坪坝区进行地质灾害精细化调查。</w:t>
      </w:r>
    </w:p>
    <w:p>
      <w:pPr>
        <w:pStyle w:val="6"/>
      </w:pPr>
      <w:r>
        <w:rPr>
          <w:rFonts w:hint="eastAsia"/>
        </w:rPr>
        <w:t>二、重点城集镇（山洞街道）调勘查及规划安排</w:t>
      </w:r>
    </w:p>
    <w:p>
      <w:pPr>
        <w:ind w:firstLine="560"/>
      </w:pPr>
      <w:r>
        <w:rPr>
          <w:rFonts w:hint="eastAsia"/>
        </w:rPr>
        <w:t>根据已有资料表明，山洞街道主要地质灾害为覆盖型岩溶地面塌陷，其次零星分布有小型滑坡和不稳定斜坡，其危害性和影响程度较小。岩溶塌陷为该片区典型的地质灾害。从调查和收集资料表明，该带的地面岩溶塌陷以人为诱发因素为主，其次与本地区所在地质环境相关，该地区已经产生地面塌陷 10 余处。这些岩溶塌陷给当地村民带来恐慌与不安，塌陷坑也存在安全隐患，根据《重庆市地质灾害综合防治体系建设方案》（2019-2023 年）安排，申请国家专项资金100万元，于2022年对重庆市重点集镇（山洞街道）（调）勘查工作，以查明山洞街道地质灾害隐患现状，威胁对象，发展趋势，并提出治理参数及具体处置建议。</w:t>
      </w:r>
    </w:p>
    <w:p>
      <w:pPr>
        <w:pStyle w:val="6"/>
      </w:pPr>
      <w:r>
        <w:rPr>
          <w:rFonts w:hint="eastAsia"/>
        </w:rPr>
        <w:t>三、重大地质灾害隐患点控制性勘察</w:t>
      </w:r>
    </w:p>
    <w:p>
      <w:pPr>
        <w:ind w:firstLine="560"/>
      </w:pPr>
      <w:r>
        <w:rPr>
          <w:rFonts w:hint="eastAsia"/>
        </w:rPr>
        <w:t>沙坪坝区为重庆市主城区，其工业发达、人口密集，地质灾害影响较大，“十三五”期间申请市级财政资金360万元逐步在全区城区、重要集镇和居民聚居区对威胁城（集）镇、学校、村庄等人口密集区域和重要设施的9个重大隐患点进行重点勘察（表7.1）。</w:t>
      </w:r>
    </w:p>
    <w:p>
      <w:pPr>
        <w:spacing w:line="520" w:lineRule="exact"/>
        <w:ind w:firstLine="482"/>
        <w:rPr>
          <w:b/>
          <w:bCs/>
          <w:sz w:val="24"/>
          <w:szCs w:val="22"/>
        </w:rPr>
      </w:pPr>
    </w:p>
    <w:p>
      <w:pPr>
        <w:spacing w:line="520" w:lineRule="exact"/>
        <w:ind w:firstLine="482"/>
        <w:rPr>
          <w:b/>
          <w:bCs/>
          <w:sz w:val="24"/>
          <w:szCs w:val="22"/>
        </w:rPr>
      </w:pPr>
    </w:p>
    <w:p>
      <w:pPr>
        <w:spacing w:line="520" w:lineRule="exact"/>
        <w:ind w:firstLine="482"/>
        <w:rPr>
          <w:b/>
          <w:bCs/>
          <w:sz w:val="24"/>
          <w:szCs w:val="22"/>
        </w:rPr>
      </w:pPr>
    </w:p>
    <w:p>
      <w:pPr>
        <w:spacing w:line="520" w:lineRule="exact"/>
        <w:ind w:firstLine="482"/>
        <w:rPr>
          <w:b/>
          <w:bCs/>
          <w:sz w:val="24"/>
          <w:szCs w:val="22"/>
        </w:rPr>
      </w:pPr>
    </w:p>
    <w:p>
      <w:pPr>
        <w:spacing w:line="520" w:lineRule="exact"/>
        <w:ind w:firstLine="442"/>
        <w:jc w:val="center"/>
        <w:rPr>
          <w:b/>
          <w:bCs/>
          <w:sz w:val="22"/>
          <w:szCs w:val="21"/>
        </w:rPr>
      </w:pPr>
      <w:r>
        <w:rPr>
          <w:rFonts w:hint="eastAsia"/>
          <w:b/>
          <w:bCs/>
          <w:sz w:val="22"/>
          <w:szCs w:val="21"/>
        </w:rPr>
        <w:t>表7.1     重庆市沙坪坝区重大地质灾害隐患点控制性勘察部署及费用表</w:t>
      </w:r>
    </w:p>
    <w:tbl>
      <w:tblPr>
        <w:tblStyle w:val="36"/>
        <w:tblW w:w="0" w:type="auto"/>
        <w:tblInd w:w="0" w:type="dxa"/>
        <w:tblLayout w:type="fixed"/>
        <w:tblCellMar>
          <w:top w:w="0" w:type="dxa"/>
          <w:left w:w="0" w:type="dxa"/>
          <w:bottom w:w="0" w:type="dxa"/>
          <w:right w:w="0" w:type="dxa"/>
        </w:tblCellMar>
      </w:tblPr>
      <w:tblGrid>
        <w:gridCol w:w="684"/>
        <w:gridCol w:w="1050"/>
        <w:gridCol w:w="835"/>
        <w:gridCol w:w="838"/>
        <w:gridCol w:w="866"/>
        <w:gridCol w:w="835"/>
        <w:gridCol w:w="838"/>
        <w:gridCol w:w="842"/>
        <w:gridCol w:w="836"/>
        <w:gridCol w:w="839"/>
        <w:gridCol w:w="837"/>
      </w:tblGrid>
      <w:tr>
        <w:tblPrEx>
          <w:tblCellMar>
            <w:top w:w="0" w:type="dxa"/>
            <w:left w:w="0" w:type="dxa"/>
            <w:bottom w:w="0" w:type="dxa"/>
            <w:right w:w="0" w:type="dxa"/>
          </w:tblCellMar>
        </w:tblPrEx>
        <w:trPr>
          <w:trHeight w:val="1501" w:hRule="atLeast"/>
        </w:trPr>
        <w:tc>
          <w:tcPr>
            <w:tcW w:w="684" w:type="dxa"/>
            <w:tcBorders>
              <w:top w:val="single" w:color="000000" w:sz="8" w:space="0"/>
              <w:left w:val="single" w:color="000000" w:sz="8" w:space="0"/>
              <w:bottom w:val="single" w:color="000000" w:sz="8" w:space="0"/>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序号</w:t>
            </w:r>
          </w:p>
        </w:tc>
        <w:tc>
          <w:tcPr>
            <w:tcW w:w="1050"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地质灾害名称</w:t>
            </w:r>
          </w:p>
        </w:tc>
        <w:tc>
          <w:tcPr>
            <w:tcW w:w="835"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区县</w:t>
            </w:r>
          </w:p>
        </w:tc>
        <w:tc>
          <w:tcPr>
            <w:tcW w:w="838"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乡镇/街道</w:t>
            </w:r>
          </w:p>
        </w:tc>
        <w:tc>
          <w:tcPr>
            <w:tcW w:w="866"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灾害规模(×10</w:t>
            </w:r>
            <w:r>
              <w:rPr>
                <w:rStyle w:val="47"/>
                <w:rFonts w:hint="default"/>
                <w:sz w:val="16"/>
                <w:szCs w:val="16"/>
                <w:lang w:bidi="ar"/>
              </w:rPr>
              <w:t>4</w:t>
            </w:r>
            <w:r>
              <w:rPr>
                <w:rStyle w:val="49"/>
                <w:rFonts w:hint="default"/>
                <w:sz w:val="16"/>
                <w:szCs w:val="16"/>
                <w:lang w:bidi="ar"/>
              </w:rPr>
              <w:t>m</w:t>
            </w:r>
            <w:r>
              <w:rPr>
                <w:rStyle w:val="47"/>
                <w:rFonts w:hint="default"/>
                <w:sz w:val="16"/>
                <w:szCs w:val="16"/>
                <w:lang w:bidi="ar"/>
              </w:rPr>
              <w:t>3</w:t>
            </w:r>
            <w:r>
              <w:rPr>
                <w:rStyle w:val="49"/>
                <w:rFonts w:hint="default"/>
                <w:sz w:val="16"/>
                <w:szCs w:val="16"/>
                <w:lang w:bidi="ar"/>
              </w:rPr>
              <w:t>)</w:t>
            </w:r>
          </w:p>
        </w:tc>
        <w:tc>
          <w:tcPr>
            <w:tcW w:w="835"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稳定性</w:t>
            </w:r>
          </w:p>
        </w:tc>
        <w:tc>
          <w:tcPr>
            <w:tcW w:w="838"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重要保护对象（学校、医院、公路等）</w:t>
            </w:r>
          </w:p>
        </w:tc>
        <w:tc>
          <w:tcPr>
            <w:tcW w:w="842"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潜在经济损失（万元）</w:t>
            </w:r>
          </w:p>
        </w:tc>
        <w:tc>
          <w:tcPr>
            <w:tcW w:w="836"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险情级别</w:t>
            </w:r>
          </w:p>
        </w:tc>
        <w:tc>
          <w:tcPr>
            <w:tcW w:w="839"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实施年度</w:t>
            </w:r>
          </w:p>
        </w:tc>
        <w:tc>
          <w:tcPr>
            <w:tcW w:w="837" w:type="dxa"/>
            <w:tcBorders>
              <w:top w:val="single" w:color="000000" w:sz="8" w:space="0"/>
              <w:left w:val="nil"/>
              <w:bottom w:val="nil"/>
              <w:right w:val="single" w:color="000000" w:sz="8" w:space="0"/>
            </w:tcBorders>
            <w:tcMar>
              <w:top w:w="10" w:type="dxa"/>
              <w:left w:w="10" w:type="dxa"/>
              <w:right w:w="10"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备注</w:t>
            </w:r>
          </w:p>
        </w:tc>
      </w:tr>
      <w:tr>
        <w:tblPrEx>
          <w:tblCellMar>
            <w:top w:w="0" w:type="dxa"/>
            <w:left w:w="0" w:type="dxa"/>
            <w:bottom w:w="0" w:type="dxa"/>
            <w:right w:w="0" w:type="dxa"/>
          </w:tblCellMar>
        </w:tblPrEx>
        <w:trPr>
          <w:trHeight w:val="384"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1</w:t>
            </w:r>
          </w:p>
        </w:tc>
        <w:tc>
          <w:tcPr>
            <w:tcW w:w="1050"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向家湾不稳定斜坡</w:t>
            </w:r>
          </w:p>
        </w:tc>
        <w:tc>
          <w:tcPr>
            <w:tcW w:w="835"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歌乐山镇</w:t>
            </w:r>
          </w:p>
        </w:tc>
        <w:tc>
          <w:tcPr>
            <w:tcW w:w="866" w:type="dxa"/>
            <w:tcBorders>
              <w:top w:val="single" w:color="000000" w:sz="8" w:space="0"/>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1.75</w:t>
            </w:r>
          </w:p>
        </w:tc>
        <w:tc>
          <w:tcPr>
            <w:tcW w:w="8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医院</w:t>
            </w:r>
          </w:p>
        </w:tc>
        <w:tc>
          <w:tcPr>
            <w:tcW w:w="842"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500</w:t>
            </w:r>
          </w:p>
        </w:tc>
        <w:tc>
          <w:tcPr>
            <w:tcW w:w="836" w:type="dxa"/>
            <w:tcBorders>
              <w:top w:val="single" w:color="000000" w:sz="8" w:space="0"/>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2020</w:t>
            </w:r>
          </w:p>
        </w:tc>
        <w:tc>
          <w:tcPr>
            <w:tcW w:w="83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每个点按40万元估算</w:t>
            </w:r>
          </w:p>
        </w:tc>
      </w:tr>
      <w:tr>
        <w:tblPrEx>
          <w:tblCellMar>
            <w:top w:w="0" w:type="dxa"/>
            <w:left w:w="0" w:type="dxa"/>
            <w:bottom w:w="0" w:type="dxa"/>
            <w:right w:w="0" w:type="dxa"/>
          </w:tblCellMar>
        </w:tblPrEx>
        <w:trPr>
          <w:trHeight w:val="615"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2</w:t>
            </w:r>
          </w:p>
        </w:tc>
        <w:tc>
          <w:tcPr>
            <w:tcW w:w="1050"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歌乐山镇-中梁镇地面塌陷</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歌乐山镇、中梁镇</w:t>
            </w:r>
          </w:p>
        </w:tc>
        <w:tc>
          <w:tcPr>
            <w:tcW w:w="86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2.5</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学校、医院、公路等</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1000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2020</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635" w:hRule="atLeast"/>
        </w:trPr>
        <w:tc>
          <w:tcPr>
            <w:tcW w:w="68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3</w:t>
            </w:r>
          </w:p>
        </w:tc>
        <w:tc>
          <w:tcPr>
            <w:tcW w:w="105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山鸡嘴不稳定斜坡（含危岩）</w:t>
            </w:r>
          </w:p>
        </w:tc>
        <w:tc>
          <w:tcPr>
            <w:tcW w:w="83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回龙坝镇</w:t>
            </w:r>
          </w:p>
        </w:tc>
        <w:tc>
          <w:tcPr>
            <w:tcW w:w="86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16.2</w:t>
            </w:r>
          </w:p>
        </w:tc>
        <w:tc>
          <w:tcPr>
            <w:tcW w:w="83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居民区</w:t>
            </w:r>
          </w:p>
        </w:tc>
        <w:tc>
          <w:tcPr>
            <w:tcW w:w="842"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pStyle w:val="17"/>
              <w:jc w:val="center"/>
              <w:rPr>
                <w:sz w:val="16"/>
                <w:szCs w:val="13"/>
              </w:rPr>
            </w:pPr>
            <w:r>
              <w:rPr>
                <w:rFonts w:hint="eastAsia"/>
                <w:sz w:val="16"/>
                <w:szCs w:val="13"/>
              </w:rPr>
              <w:t>200</w:t>
            </w:r>
          </w:p>
        </w:tc>
        <w:tc>
          <w:tcPr>
            <w:tcW w:w="836"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pStyle w:val="17"/>
              <w:jc w:val="center"/>
              <w:rPr>
                <w:sz w:val="16"/>
                <w:szCs w:val="13"/>
              </w:rPr>
            </w:pPr>
            <w:r>
              <w:rPr>
                <w:rFonts w:hint="eastAsia"/>
                <w:sz w:val="16"/>
                <w:szCs w:val="13"/>
              </w:rPr>
              <w:t>大</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2019</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9"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4</w:t>
            </w:r>
          </w:p>
        </w:tc>
        <w:tc>
          <w:tcPr>
            <w:tcW w:w="1050"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董家岩危岩</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西永街道</w:t>
            </w:r>
          </w:p>
        </w:tc>
        <w:tc>
          <w:tcPr>
            <w:tcW w:w="86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3.3</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公交站</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500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2022</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354" w:hRule="atLeast"/>
        </w:trPr>
        <w:tc>
          <w:tcPr>
            <w:tcW w:w="68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5</w:t>
            </w:r>
          </w:p>
        </w:tc>
        <w:tc>
          <w:tcPr>
            <w:tcW w:w="105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南溪江景园滑坡</w:t>
            </w:r>
          </w:p>
        </w:tc>
        <w:tc>
          <w:tcPr>
            <w:tcW w:w="83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井口镇</w:t>
            </w:r>
          </w:p>
        </w:tc>
        <w:tc>
          <w:tcPr>
            <w:tcW w:w="866"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pStyle w:val="17"/>
              <w:jc w:val="center"/>
              <w:rPr>
                <w:sz w:val="16"/>
                <w:szCs w:val="13"/>
              </w:rPr>
            </w:pPr>
            <w:r>
              <w:rPr>
                <w:rFonts w:hint="eastAsia"/>
                <w:sz w:val="16"/>
                <w:szCs w:val="13"/>
              </w:rPr>
              <w:t>6</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敬老院</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3000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2023</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95"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6</w:t>
            </w:r>
          </w:p>
        </w:tc>
        <w:tc>
          <w:tcPr>
            <w:tcW w:w="1050"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磨床厂山顶花园不稳定斜坡</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井口镇</w:t>
            </w:r>
          </w:p>
        </w:tc>
        <w:tc>
          <w:tcPr>
            <w:tcW w:w="86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3</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居民区</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500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中型</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2021</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640"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7</w:t>
            </w:r>
          </w:p>
        </w:tc>
        <w:tc>
          <w:tcPr>
            <w:tcW w:w="1050"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凤天竹苑不稳定斜坡</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覃家岗街道</w:t>
            </w:r>
          </w:p>
        </w:tc>
        <w:tc>
          <w:tcPr>
            <w:tcW w:w="86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1</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居民区</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500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大型</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2022</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555" w:hRule="atLeast"/>
        </w:trPr>
        <w:tc>
          <w:tcPr>
            <w:tcW w:w="684" w:type="dxa"/>
            <w:tcBorders>
              <w:top w:val="nil"/>
              <w:left w:val="single" w:color="000000" w:sz="8" w:space="0"/>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8</w:t>
            </w:r>
          </w:p>
        </w:tc>
        <w:tc>
          <w:tcPr>
            <w:tcW w:w="1050"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石井坡综合治理一期</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石井坡街道</w:t>
            </w:r>
          </w:p>
        </w:tc>
        <w:tc>
          <w:tcPr>
            <w:tcW w:w="86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1.5</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居民区</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500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2019</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536" w:hRule="atLeast"/>
        </w:trPr>
        <w:tc>
          <w:tcPr>
            <w:tcW w:w="684"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9</w:t>
            </w:r>
          </w:p>
        </w:tc>
        <w:tc>
          <w:tcPr>
            <w:tcW w:w="105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石井坡综合治理二期</w:t>
            </w:r>
          </w:p>
        </w:tc>
        <w:tc>
          <w:tcPr>
            <w:tcW w:w="83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沙坪坝</w:t>
            </w:r>
          </w:p>
        </w:tc>
        <w:tc>
          <w:tcPr>
            <w:tcW w:w="8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pStyle w:val="17"/>
              <w:jc w:val="center"/>
              <w:rPr>
                <w:sz w:val="16"/>
                <w:szCs w:val="13"/>
              </w:rPr>
            </w:pPr>
            <w:r>
              <w:rPr>
                <w:rFonts w:hint="eastAsia"/>
                <w:sz w:val="16"/>
                <w:szCs w:val="13"/>
              </w:rPr>
              <w:t>石井坡街道</w:t>
            </w:r>
          </w:p>
        </w:tc>
        <w:tc>
          <w:tcPr>
            <w:tcW w:w="866" w:type="dxa"/>
            <w:tcBorders>
              <w:top w:val="nil"/>
              <w:left w:val="nil"/>
              <w:bottom w:val="single" w:color="000000" w:sz="8" w:space="0"/>
              <w:right w:val="single" w:color="000000" w:sz="8" w:space="0"/>
            </w:tcBorders>
            <w:shd w:val="clear" w:color="auto" w:fill="FFFFFF"/>
            <w:tcMar>
              <w:top w:w="10" w:type="dxa"/>
              <w:left w:w="10" w:type="dxa"/>
              <w:right w:w="10" w:type="dxa"/>
            </w:tcMar>
            <w:vAlign w:val="center"/>
          </w:tcPr>
          <w:p>
            <w:pPr>
              <w:pStyle w:val="17"/>
              <w:jc w:val="center"/>
              <w:rPr>
                <w:sz w:val="16"/>
                <w:szCs w:val="13"/>
              </w:rPr>
            </w:pPr>
            <w:r>
              <w:rPr>
                <w:rFonts w:hint="eastAsia"/>
                <w:sz w:val="16"/>
                <w:szCs w:val="13"/>
              </w:rPr>
              <w:t>1.4</w:t>
            </w:r>
          </w:p>
        </w:tc>
        <w:tc>
          <w:tcPr>
            <w:tcW w:w="835"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稳定性较差</w:t>
            </w:r>
          </w:p>
        </w:tc>
        <w:tc>
          <w:tcPr>
            <w:tcW w:w="838"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居民区</w:t>
            </w:r>
          </w:p>
        </w:tc>
        <w:tc>
          <w:tcPr>
            <w:tcW w:w="842"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600</w:t>
            </w:r>
          </w:p>
        </w:tc>
        <w:tc>
          <w:tcPr>
            <w:tcW w:w="836" w:type="dxa"/>
            <w:tcBorders>
              <w:top w:val="nil"/>
              <w:left w:val="nil"/>
              <w:bottom w:val="single" w:color="000000" w:sz="8" w:space="0"/>
              <w:right w:val="single" w:color="000000" w:sz="8" w:space="0"/>
            </w:tcBorders>
            <w:tcMar>
              <w:top w:w="10" w:type="dxa"/>
              <w:left w:w="10" w:type="dxa"/>
              <w:right w:w="10" w:type="dxa"/>
            </w:tcMar>
            <w:vAlign w:val="center"/>
          </w:tcPr>
          <w:p>
            <w:pPr>
              <w:pStyle w:val="17"/>
              <w:jc w:val="center"/>
              <w:rPr>
                <w:sz w:val="16"/>
                <w:szCs w:val="13"/>
              </w:rPr>
            </w:pPr>
            <w:r>
              <w:rPr>
                <w:rFonts w:hint="eastAsia"/>
                <w:sz w:val="16"/>
                <w:szCs w:val="13"/>
              </w:rPr>
              <w:t>中等</w:t>
            </w:r>
          </w:p>
        </w:tc>
        <w:tc>
          <w:tcPr>
            <w:tcW w:w="839" w:type="dxa"/>
            <w:tcBorders>
              <w:top w:val="nil"/>
              <w:left w:val="nil"/>
              <w:bottom w:val="single" w:color="000000" w:sz="8" w:space="0"/>
              <w:right w:val="nil"/>
            </w:tcBorders>
            <w:tcMar>
              <w:top w:w="10" w:type="dxa"/>
              <w:left w:w="10" w:type="dxa"/>
              <w:right w:w="10" w:type="dxa"/>
            </w:tcMar>
            <w:vAlign w:val="center"/>
          </w:tcPr>
          <w:p>
            <w:pPr>
              <w:pStyle w:val="17"/>
              <w:jc w:val="center"/>
              <w:rPr>
                <w:sz w:val="16"/>
                <w:szCs w:val="13"/>
              </w:rPr>
            </w:pPr>
            <w:r>
              <w:rPr>
                <w:rFonts w:hint="eastAsia"/>
                <w:sz w:val="16"/>
                <w:szCs w:val="13"/>
              </w:rPr>
              <w:t>2019</w:t>
            </w:r>
          </w:p>
        </w:tc>
        <w:tc>
          <w:tcPr>
            <w:tcW w:w="83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0" w:firstLineChars="0"/>
              <w:jc w:val="center"/>
              <w:rPr>
                <w:rFonts w:ascii="宋体" w:hAnsi="宋体" w:cs="宋体"/>
                <w:color w:val="000000"/>
                <w:sz w:val="16"/>
                <w:szCs w:val="16"/>
              </w:rPr>
            </w:pPr>
          </w:p>
        </w:tc>
      </w:tr>
    </w:tbl>
    <w:p>
      <w:pPr>
        <w:widowControl/>
        <w:ind w:firstLine="420"/>
        <w:jc w:val="left"/>
        <w:rPr>
          <w:rFonts w:ascii="宋体" w:hAnsi="宋体" w:cs="宋体"/>
          <w:sz w:val="21"/>
          <w:szCs w:val="21"/>
        </w:rPr>
      </w:pPr>
      <w:r>
        <w:rPr>
          <w:rFonts w:hint="eastAsia" w:ascii="宋体" w:hAnsi="宋体" w:cs="宋体"/>
          <w:sz w:val="21"/>
          <w:szCs w:val="21"/>
        </w:rPr>
        <w:t>说明：1、石井坡综合治理包含远祖桥78-90号滑坡、远祖桥91-104号滑坡、前进坡359号不稳定斜坡、前进坡294号滑坡、前进坡169-171号不稳定斜坡、大河沟210号不稳定斜坡、大河沟171号楼不稳定斜坡、和平山265号不稳定斜坡、团结坝268号危岩崩塌、团结坝188危岩崩塌、中心湾70栋不稳定斜坡。2、西永街道已列入高新区范围。</w:t>
      </w:r>
    </w:p>
    <w:p>
      <w:pPr>
        <w:ind w:firstLine="560"/>
      </w:pPr>
      <w:bookmarkStart w:id="263" w:name="_Toc92983361"/>
      <w:bookmarkStart w:id="264" w:name="_Hlt92955253"/>
    </w:p>
    <w:bookmarkEnd w:id="263"/>
    <w:bookmarkEnd w:id="264"/>
    <w:p>
      <w:pPr>
        <w:pStyle w:val="5"/>
        <w:rPr>
          <w:rFonts w:ascii="Times New Roman" w:hAnsi="Times New Roman"/>
          <w:color w:val="000000"/>
          <w:sz w:val="30"/>
          <w:szCs w:val="30"/>
        </w:rPr>
      </w:pPr>
      <w:bookmarkStart w:id="265" w:name="_Toc13300"/>
      <w:bookmarkStart w:id="266" w:name="_Toc92983362"/>
      <w:bookmarkStart w:id="267" w:name="_Toc297029974"/>
      <w:bookmarkStart w:id="268" w:name="_Toc301281430"/>
      <w:bookmarkStart w:id="269" w:name="_Toc125174493"/>
      <w:bookmarkStart w:id="270" w:name="_Toc94865750"/>
      <w:bookmarkStart w:id="271" w:name="_Toc301181753"/>
      <w:r>
        <w:rPr>
          <w:rFonts w:ascii="Times New Roman" w:hAnsi="Times New Roman"/>
          <w:color w:val="000000"/>
          <w:sz w:val="30"/>
          <w:szCs w:val="30"/>
        </w:rPr>
        <w:t>第二节  监测预警</w:t>
      </w:r>
      <w:bookmarkEnd w:id="265"/>
    </w:p>
    <w:p>
      <w:pPr>
        <w:ind w:firstLine="560"/>
        <w:rPr>
          <w:color w:val="000000"/>
        </w:rPr>
      </w:pPr>
      <w:r>
        <w:rPr>
          <w:rFonts w:hint="eastAsia"/>
          <w:color w:val="000000"/>
        </w:rPr>
        <w:t>根据排查报告中确定的地质灾害隐患点在地质灾害年度防治方案中纳入地质灾害群测群防体系，为及时了解地灾隐患的发展趋势，并及时预报，按监测手段及方式，沙坪坝区地质灾害点监测预警方式有一级监测预警及三级监测预警。</w:t>
      </w:r>
    </w:p>
    <w:p>
      <w:pPr>
        <w:pStyle w:val="6"/>
        <w:rPr>
          <w:color w:val="000000"/>
        </w:rPr>
      </w:pPr>
      <w:r>
        <w:rPr>
          <w:rFonts w:hint="eastAsia"/>
          <w:color w:val="000000"/>
        </w:rPr>
        <w:t>一、群测群防</w:t>
      </w:r>
    </w:p>
    <w:p>
      <w:pPr>
        <w:ind w:firstLine="560"/>
        <w:rPr>
          <w:color w:val="000000"/>
        </w:rPr>
      </w:pPr>
      <w:r>
        <w:rPr>
          <w:rFonts w:hint="eastAsia"/>
          <w:color w:val="000000"/>
        </w:rPr>
        <w:t>“规划”期间我区将全面继续进行群测群防“四重”网格化体系完善，市级财政将补贴19.6万元对我区群测群防员及片区负责人（表7.2）。</w:t>
      </w:r>
    </w:p>
    <w:p>
      <w:pPr>
        <w:ind w:firstLine="482"/>
        <w:rPr>
          <w:rFonts w:ascii="宋体" w:hAnsi="宋体" w:cs="宋体"/>
          <w:b/>
          <w:bCs/>
          <w:color w:val="000000"/>
          <w:sz w:val="24"/>
        </w:rPr>
      </w:pPr>
      <w:r>
        <w:rPr>
          <w:rFonts w:hint="eastAsia" w:ascii="宋体" w:hAnsi="宋体" w:cs="宋体"/>
          <w:b/>
          <w:bCs/>
          <w:color w:val="000000"/>
          <w:sz w:val="24"/>
        </w:rPr>
        <w:br w:type="page"/>
      </w:r>
    </w:p>
    <w:p>
      <w:pPr>
        <w:ind w:firstLine="0" w:firstLineChars="0"/>
        <w:jc w:val="center"/>
        <w:rPr>
          <w:color w:val="000000"/>
        </w:rPr>
      </w:pPr>
      <w:r>
        <w:rPr>
          <w:rFonts w:hint="eastAsia" w:ascii="宋体" w:hAnsi="宋体" w:cs="宋体"/>
          <w:b/>
          <w:bCs/>
          <w:color w:val="000000"/>
          <w:sz w:val="24"/>
        </w:rPr>
        <w:t>表7.2 沙坪坝区地质隐患点群测群防部署及费用表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47"/>
        <w:gridCol w:w="830"/>
        <w:gridCol w:w="766"/>
        <w:gridCol w:w="766"/>
        <w:gridCol w:w="765"/>
        <w:gridCol w:w="766"/>
        <w:gridCol w:w="767"/>
        <w:gridCol w:w="764"/>
        <w:gridCol w:w="766"/>
        <w:gridCol w:w="765"/>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区县</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地灾点个数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群测群防员及片区负责人人数</w:t>
            </w:r>
          </w:p>
        </w:tc>
        <w:tc>
          <w:tcPr>
            <w:tcW w:w="61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补贴费用（万元）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2020年</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2021年</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2022年</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2023年</w:t>
            </w:r>
          </w:p>
        </w:tc>
        <w:tc>
          <w:tcPr>
            <w:tcW w:w="854" w:type="dxa"/>
            <w:vMerge w:val="restart"/>
            <w:tcBorders>
              <w:top w:val="single" w:color="000000" w:sz="4" w:space="0"/>
              <w:left w:val="single" w:color="000000" w:sz="4" w:space="0"/>
              <w:right w:val="single" w:color="000000" w:sz="4" w:space="0"/>
            </w:tcBorders>
            <w:shd w:val="clear" w:color="auto" w:fill="auto"/>
            <w:vAlign w:val="center"/>
          </w:tcPr>
          <w:p>
            <w:pPr>
              <w:pStyle w:val="1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群测群防工作补贴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专用手机通讯补贴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群测群防工作补贴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专用手机通讯补贴</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群测群防工作补贴</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专用手机通讯补贴</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群测群防工作补贴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r>
              <w:rPr>
                <w:rFonts w:hint="eastAsia"/>
                <w:b/>
                <w:bCs/>
                <w:color w:val="000000"/>
                <w:sz w:val="21"/>
                <w:szCs w:val="18"/>
              </w:rPr>
              <w:t>专用手机通讯补贴</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沙坪坝</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176</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kern w:val="0"/>
                <w:sz w:val="21"/>
                <w:szCs w:val="21"/>
                <w:lang w:bidi="ar"/>
              </w:rPr>
              <w:t>205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kern w:val="0"/>
                <w:sz w:val="21"/>
                <w:szCs w:val="21"/>
                <w:lang w:bidi="ar"/>
              </w:rPr>
              <w:t>49.44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14.28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49.44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14.28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49.44</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14.28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49.44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14.28</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sz w:val="21"/>
                <w:szCs w:val="21"/>
              </w:rPr>
            </w:pPr>
            <w:r>
              <w:rPr>
                <w:rFonts w:hint="eastAsia" w:ascii="宋体" w:hAnsi="宋体" w:cs="宋体"/>
                <w:color w:val="000000"/>
                <w:kern w:val="0"/>
                <w:sz w:val="21"/>
                <w:szCs w:val="21"/>
                <w:lang w:bidi="ar"/>
              </w:rPr>
              <w:t>332.4万元</w:t>
            </w:r>
          </w:p>
        </w:tc>
      </w:tr>
    </w:tbl>
    <w:p>
      <w:pPr>
        <w:pStyle w:val="14"/>
        <w:spacing w:line="600" w:lineRule="exact"/>
        <w:ind w:firstLine="0" w:firstLineChars="0"/>
        <w:jc w:val="center"/>
        <w:rPr>
          <w:rFonts w:ascii="宋体" w:hAnsi="宋体" w:eastAsia="宋体" w:cs="宋体"/>
          <w:b/>
          <w:bCs/>
          <w:color w:val="000000"/>
          <w:sz w:val="24"/>
        </w:rPr>
      </w:pPr>
    </w:p>
    <w:p>
      <w:pPr>
        <w:pStyle w:val="6"/>
        <w:rPr>
          <w:color w:val="000000"/>
        </w:rPr>
      </w:pPr>
      <w:r>
        <w:rPr>
          <w:rFonts w:hint="eastAsia"/>
          <w:color w:val="000000"/>
        </w:rPr>
        <w:t>二、智能化监测</w:t>
      </w:r>
    </w:p>
    <w:p>
      <w:pPr>
        <w:ind w:firstLine="560"/>
        <w:rPr>
          <w:color w:val="000000"/>
        </w:rPr>
      </w:pPr>
      <w:r>
        <w:rPr>
          <w:rFonts w:hint="eastAsia"/>
          <w:color w:val="000000"/>
        </w:rPr>
        <w:t>歌乐山片区位于歌乐山岩溶高位槽谷，主要分布嘉陵江和雷口坡地层，为岩溶塌陷高易发区，被列为重庆市和沙区政府地质灾害重点防治区。由于该带岩溶塌陷不断地产生导致地面地表水、地下水严重漏失，耕地荒废，根据现状调查，在该地区已经产生地面塌陷 200余处。这些岩溶塌陷给当地村民带来恐慌与不安，塌陷坑也存在安全隐患。近几年相关部门对歌乐山地区发生的地质灾害造成危害高度重视，对受灾区域进行监测预警、群测群防工作，避免了受灾区人生伤亡，减少受灾损失。目前，歌乐山片区因水资源遭到破坏、岩溶塌陷与日俱增，已造成部分居民房屋、学校、厂矿受到破坏和影响，也严重危害当地居（村）民生产生活及生命财产安全。其中主要集中危害的有新开寺、西藏中学等学校、医院、歌乐山街道及中梁镇部分集镇地区。威胁居民居民 818 户 2715 人；影响余家湾水库等 100 余处水库（塘）蓄水结构 ，房屋（厂房）47415m</w:t>
      </w:r>
      <w:r>
        <w:rPr>
          <w:rFonts w:hint="eastAsia"/>
          <w:color w:val="000000"/>
          <w:vertAlign w:val="superscript"/>
        </w:rPr>
        <w:t>2</w:t>
      </w:r>
      <w:r>
        <w:rPr>
          <w:rFonts w:hint="eastAsia"/>
          <w:color w:val="000000"/>
        </w:rPr>
        <w:t>，综上：区内地面岩溶塌陷、地表水体及井泉干枯与下部隧道施工排水、水位下降密切相关。每条隧道施工之后伴生着一连串的塌陷产生，塌陷的个数和规模也相继增加，区内地质环境不断恶化，塌陷灾情不断发生，危害区域随之扩大，故须加强该区域的监测预警工作，市级财政资金拟投入680万元对整个歌乐山岩溶塌陷进行一级监测。</w:t>
      </w:r>
    </w:p>
    <w:p>
      <w:pPr>
        <w:ind w:firstLine="560"/>
        <w:rPr>
          <w:color w:val="000000"/>
        </w:rPr>
      </w:pPr>
      <w:r>
        <w:rPr>
          <w:rFonts w:hint="eastAsia"/>
          <w:color w:val="000000"/>
        </w:rPr>
        <w:t>对一般隐患点主要采用三级监测预警以群测群防、周期性地面调查、巡视为主；对于滑坡、崩塌体等隐患点边界和受影响房屋采用埋桩法、埋钉法、上漆法、贴片法等简易方法进行预警。根据《重庆市地质灾害综合防治体系建设方案》（2019-2023 年）安排全区共计划建设176处地灾灾害三级现场监测预警点，2020年建设176处，2020年之后开始运行，共计1408万元（表7.3）。</w:t>
      </w:r>
    </w:p>
    <w:p>
      <w:pPr>
        <w:pStyle w:val="14"/>
        <w:spacing w:line="600" w:lineRule="exact"/>
        <w:ind w:firstLine="422"/>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表7.3  沙坪坝区地质隐患点三级监测部署及费用表</w:t>
      </w:r>
    </w:p>
    <w:tbl>
      <w:tblPr>
        <w:tblStyle w:val="36"/>
        <w:tblW w:w="0" w:type="auto"/>
        <w:tblInd w:w="0" w:type="dxa"/>
        <w:tblLayout w:type="fixed"/>
        <w:tblCellMar>
          <w:top w:w="15" w:type="dxa"/>
          <w:left w:w="15" w:type="dxa"/>
          <w:bottom w:w="15" w:type="dxa"/>
          <w:right w:w="15" w:type="dxa"/>
        </w:tblCellMar>
      </w:tblPr>
      <w:tblGrid>
        <w:gridCol w:w="1140"/>
        <w:gridCol w:w="2398"/>
        <w:gridCol w:w="1141"/>
        <w:gridCol w:w="1141"/>
        <w:gridCol w:w="1140"/>
        <w:gridCol w:w="1140"/>
        <w:gridCol w:w="1140"/>
      </w:tblGrid>
      <w:tr>
        <w:tblPrEx>
          <w:tblCellMar>
            <w:top w:w="15" w:type="dxa"/>
            <w:left w:w="15" w:type="dxa"/>
            <w:bottom w:w="15" w:type="dxa"/>
            <w:right w:w="15" w:type="dxa"/>
          </w:tblCellMar>
        </w:tblPrEx>
        <w:trPr>
          <w:trHeight w:val="457" w:hRule="atLeast"/>
        </w:trPr>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区县</w:t>
            </w:r>
          </w:p>
        </w:tc>
        <w:tc>
          <w:tcPr>
            <w:tcW w:w="239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地质灾害数量（处）</w:t>
            </w:r>
          </w:p>
        </w:tc>
        <w:tc>
          <w:tcPr>
            <w:tcW w:w="5702"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费用预算（万元）</w:t>
            </w:r>
          </w:p>
        </w:tc>
      </w:tr>
      <w:tr>
        <w:tblPrEx>
          <w:tblCellMar>
            <w:top w:w="15" w:type="dxa"/>
            <w:left w:w="15" w:type="dxa"/>
            <w:bottom w:w="15" w:type="dxa"/>
            <w:right w:w="15" w:type="dxa"/>
          </w:tblCellMar>
        </w:tblPrEx>
        <w:trPr>
          <w:trHeight w:val="457"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b/>
                <w:bCs/>
                <w:color w:val="000000"/>
                <w:sz w:val="21"/>
                <w:szCs w:val="21"/>
              </w:rPr>
            </w:pPr>
          </w:p>
        </w:tc>
        <w:tc>
          <w:tcPr>
            <w:tcW w:w="2398"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b/>
                <w:bCs/>
                <w:color w:val="000000"/>
                <w:sz w:val="21"/>
                <w:szCs w:val="21"/>
              </w:rPr>
            </w:pP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建设期</w:t>
            </w:r>
          </w:p>
        </w:tc>
        <w:tc>
          <w:tcPr>
            <w:tcW w:w="4561"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运行期</w:t>
            </w:r>
          </w:p>
        </w:tc>
      </w:tr>
      <w:tr>
        <w:tblPrEx>
          <w:tblCellMar>
            <w:top w:w="15" w:type="dxa"/>
            <w:left w:w="15" w:type="dxa"/>
            <w:bottom w:w="15" w:type="dxa"/>
            <w:right w:w="15" w:type="dxa"/>
          </w:tblCellMar>
        </w:tblPrEx>
        <w:trPr>
          <w:trHeight w:val="357"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b/>
                <w:bCs/>
                <w:color w:val="000000"/>
                <w:sz w:val="21"/>
                <w:szCs w:val="21"/>
              </w:rPr>
            </w:pPr>
          </w:p>
        </w:tc>
        <w:tc>
          <w:tcPr>
            <w:tcW w:w="2398" w:type="dxa"/>
            <w:vMerge w:val="continue"/>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ascii="宋体" w:hAnsi="宋体" w:cs="宋体"/>
                <w:b/>
                <w:bCs/>
                <w:color w:val="000000"/>
                <w:sz w:val="21"/>
                <w:szCs w:val="21"/>
              </w:rPr>
            </w:pP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2020</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2020</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2021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2022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2023</w:t>
            </w:r>
          </w:p>
        </w:tc>
      </w:tr>
      <w:tr>
        <w:tblPrEx>
          <w:tblCellMar>
            <w:top w:w="15" w:type="dxa"/>
            <w:left w:w="15" w:type="dxa"/>
            <w:bottom w:w="15" w:type="dxa"/>
            <w:right w:w="15" w:type="dxa"/>
          </w:tblCellMar>
        </w:tblPrEx>
        <w:trPr>
          <w:trHeight w:val="488" w:hRule="atLeast"/>
        </w:trPr>
        <w:tc>
          <w:tcPr>
            <w:tcW w:w="1140"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沙坪坝区</w:t>
            </w:r>
          </w:p>
        </w:tc>
        <w:tc>
          <w:tcPr>
            <w:tcW w:w="2398"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176</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704</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176</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176</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176</w:t>
            </w:r>
          </w:p>
        </w:tc>
        <w:tc>
          <w:tcPr>
            <w:tcW w:w="1140" w:type="dxa"/>
            <w:tcBorders>
              <w:top w:val="single" w:color="000000" w:sz="4" w:space="0"/>
              <w:left w:val="single" w:color="000000" w:sz="4" w:space="0"/>
              <w:bottom w:val="single" w:color="000000" w:sz="4" w:space="0"/>
              <w:right w:val="single" w:color="000000" w:sz="4" w:space="0"/>
            </w:tcBorders>
            <w:vAlign w:val="center"/>
          </w:tcPr>
          <w:p>
            <w:pPr>
              <w:pStyle w:val="17"/>
              <w:jc w:val="center"/>
              <w:rPr>
                <w:color w:val="000000"/>
              </w:rPr>
            </w:pPr>
            <w:r>
              <w:rPr>
                <w:rFonts w:hint="eastAsia"/>
                <w:color w:val="000000"/>
              </w:rPr>
              <w:t>176</w:t>
            </w:r>
          </w:p>
        </w:tc>
      </w:tr>
    </w:tbl>
    <w:p>
      <w:pPr>
        <w:pStyle w:val="14"/>
        <w:spacing w:line="600" w:lineRule="exact"/>
        <w:ind w:firstLine="422"/>
        <w:rPr>
          <w:rFonts w:ascii="Times New Roman" w:eastAsia="宋体"/>
          <w:b/>
          <w:bCs/>
          <w:color w:val="000000"/>
          <w:sz w:val="21"/>
          <w:szCs w:val="21"/>
        </w:rPr>
      </w:pPr>
      <w:r>
        <w:rPr>
          <w:rFonts w:hint="eastAsia" w:ascii="Times New Roman" w:eastAsia="宋体"/>
          <w:b/>
          <w:bCs/>
          <w:color w:val="000000"/>
          <w:sz w:val="21"/>
          <w:szCs w:val="21"/>
        </w:rPr>
        <w:t>备注：调查设计费1万元/处，建设费3万元/处，运行费用为1万/年/处（高新区范围人员未统计）</w:t>
      </w:r>
    </w:p>
    <w:p>
      <w:pPr>
        <w:pStyle w:val="14"/>
        <w:spacing w:line="600" w:lineRule="exact"/>
        <w:ind w:firstLine="422"/>
        <w:rPr>
          <w:rFonts w:ascii="Times New Roman" w:eastAsia="宋体"/>
          <w:b/>
          <w:bCs/>
          <w:color w:val="000000"/>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p>
      <w:pPr>
        <w:pStyle w:val="14"/>
        <w:spacing w:line="600" w:lineRule="exact"/>
        <w:ind w:firstLine="422"/>
        <w:rPr>
          <w:rFonts w:ascii="Times New Roman" w:eastAsia="宋体"/>
          <w:b/>
          <w:bCs/>
          <w:sz w:val="21"/>
          <w:szCs w:val="21"/>
        </w:rPr>
      </w:pPr>
    </w:p>
    <w:bookmarkEnd w:id="266"/>
    <w:bookmarkEnd w:id="267"/>
    <w:bookmarkEnd w:id="268"/>
    <w:bookmarkEnd w:id="269"/>
    <w:bookmarkEnd w:id="270"/>
    <w:bookmarkEnd w:id="271"/>
    <w:p>
      <w:pPr>
        <w:pStyle w:val="5"/>
        <w:numPr>
          <w:ilvl w:val="0"/>
          <w:numId w:val="3"/>
        </w:numPr>
        <w:rPr>
          <w:rFonts w:ascii="Times New Roman" w:hAnsi="Times New Roman"/>
          <w:sz w:val="30"/>
          <w:szCs w:val="30"/>
        </w:rPr>
      </w:pPr>
      <w:r>
        <w:rPr>
          <w:rFonts w:hint="eastAsia" w:ascii="Times New Roman" w:hAnsi="Times New Roman"/>
          <w:sz w:val="30"/>
          <w:szCs w:val="30"/>
        </w:rPr>
        <w:t xml:space="preserve">  </w:t>
      </w:r>
      <w:bookmarkStart w:id="272" w:name="_Toc1972"/>
      <w:r>
        <w:rPr>
          <w:rFonts w:hint="eastAsia" w:ascii="Times New Roman" w:hAnsi="Times New Roman"/>
          <w:sz w:val="30"/>
          <w:szCs w:val="30"/>
        </w:rPr>
        <w:t>地质灾害综合防治</w:t>
      </w:r>
      <w:bookmarkEnd w:id="272"/>
    </w:p>
    <w:p>
      <w:pPr>
        <w:pStyle w:val="6"/>
        <w:rPr>
          <w:rFonts w:ascii="Times New Roman" w:eastAsia="宋体"/>
        </w:rPr>
      </w:pPr>
      <w:r>
        <w:rPr>
          <w:rFonts w:hint="eastAsia" w:ascii="Times New Roman" w:eastAsia="宋体"/>
        </w:rPr>
        <w:t>一、工程治理</w:t>
      </w:r>
    </w:p>
    <w:p>
      <w:pPr>
        <w:pStyle w:val="6"/>
        <w:rPr>
          <w:rFonts w:ascii="Times New Roman" w:eastAsia="宋体"/>
        </w:rPr>
      </w:pPr>
      <w:bookmarkStart w:id="273" w:name="_Toc332789310"/>
      <w:bookmarkStart w:id="274" w:name="_Toc305943831"/>
      <w:bookmarkStart w:id="275" w:name="_Toc323374895"/>
      <w:bookmarkStart w:id="276" w:name="_Toc329604336"/>
      <w:bookmarkStart w:id="277" w:name="_Toc326329043"/>
      <w:bookmarkStart w:id="278" w:name="_Toc305943677"/>
      <w:bookmarkStart w:id="279" w:name="_Toc333392587"/>
      <w:r>
        <w:rPr>
          <w:rFonts w:hint="eastAsia" w:ascii="Times New Roman" w:eastAsia="宋体"/>
        </w:rPr>
        <w:t>（一）防治</w:t>
      </w:r>
      <w:r>
        <w:rPr>
          <w:rFonts w:ascii="Times New Roman" w:eastAsia="宋体"/>
        </w:rPr>
        <w:t>对象</w:t>
      </w:r>
      <w:bookmarkEnd w:id="273"/>
      <w:bookmarkEnd w:id="274"/>
      <w:bookmarkEnd w:id="275"/>
      <w:bookmarkEnd w:id="276"/>
      <w:bookmarkEnd w:id="277"/>
      <w:bookmarkEnd w:id="278"/>
      <w:bookmarkEnd w:id="279"/>
    </w:p>
    <w:p>
      <w:pPr>
        <w:ind w:firstLine="560"/>
      </w:pPr>
      <w:r>
        <w:t>对险情重、危害性大、稳定性差、社会影响大，且无法进行搬迁避让的地质灾害隐患点，应进行工程治理。对人为诱发的地质灾害实行谁诱发、谁治理的原则；对自然作用形成的地质灾害，则实行国家、地方和受威胁单位出资进行治理。</w:t>
      </w:r>
    </w:p>
    <w:p>
      <w:pPr>
        <w:pStyle w:val="6"/>
        <w:rPr>
          <w:rFonts w:ascii="Times New Roman" w:eastAsia="宋体"/>
        </w:rPr>
      </w:pPr>
      <w:bookmarkStart w:id="280" w:name="_Toc323374897"/>
      <w:bookmarkStart w:id="281" w:name="_Toc305943833"/>
      <w:bookmarkStart w:id="282" w:name="_Toc329604338"/>
      <w:bookmarkStart w:id="283" w:name="_Toc333392589"/>
      <w:bookmarkStart w:id="284" w:name="_Toc326329045"/>
      <w:bookmarkStart w:id="285" w:name="_Toc332789312"/>
      <w:bookmarkStart w:id="286" w:name="_Toc305943679"/>
      <w:r>
        <w:rPr>
          <w:rFonts w:hint="eastAsia" w:ascii="Times New Roman" w:eastAsia="宋体"/>
        </w:rPr>
        <w:t>（二）防治</w:t>
      </w:r>
      <w:r>
        <w:rPr>
          <w:rFonts w:ascii="Times New Roman" w:eastAsia="宋体"/>
        </w:rPr>
        <w:t>项目</w:t>
      </w:r>
      <w:bookmarkEnd w:id="280"/>
      <w:bookmarkEnd w:id="281"/>
      <w:bookmarkEnd w:id="282"/>
      <w:bookmarkEnd w:id="283"/>
      <w:bookmarkEnd w:id="284"/>
      <w:bookmarkEnd w:id="285"/>
      <w:bookmarkEnd w:id="286"/>
    </w:p>
    <w:p>
      <w:pPr>
        <w:ind w:firstLine="560"/>
      </w:pPr>
      <w:r>
        <w:rPr>
          <w:rFonts w:hint="eastAsia"/>
        </w:rPr>
        <w:t>沙坪坝区为重庆市主城区，其工业发达、人口密集，地质灾害影响较大，人为诱发的地质灾害实行谁诱发、谁治理的原则，并</w:t>
      </w:r>
      <w:r>
        <w:t>制定相应的防灾预案，认真贯彻落实。</w:t>
      </w:r>
      <w:r>
        <w:rPr>
          <w:rFonts w:hint="eastAsia"/>
        </w:rPr>
        <w:t>自然作用形成的地质灾害，则实行国家、省、市、县和受威胁单位或个人共同出资治理的方式，确保危害严重并需要治理的地质灾害危险点得到有效治理。</w:t>
      </w:r>
      <w:r>
        <w:t>治理项目应根据规划期内地质灾害变化情况进行动态调整。</w:t>
      </w:r>
    </w:p>
    <w:p>
      <w:pPr>
        <w:ind w:firstLine="560"/>
      </w:pPr>
      <w:r>
        <w:rPr>
          <w:rFonts w:hint="eastAsia"/>
        </w:rPr>
        <w:t>进一步</w:t>
      </w:r>
      <w:r>
        <w:t>做好三峡后续地质灾害防治工作，确保三峡库区地质灾害防治工作的顺利实施，按照国家对三峡库区地质灾害防治工作要求，及时开展三峡库区地质灾害防治后续规划提出的治理工作。</w:t>
      </w:r>
    </w:p>
    <w:p>
      <w:pPr>
        <w:ind w:firstLine="560"/>
      </w:pPr>
      <w:r>
        <w:rPr>
          <w:rFonts w:hint="eastAsia"/>
        </w:rPr>
        <w:t>“本次规划”期间逐步在全区城区、重要集镇和居民聚居区对威胁城（集）镇、学校、村庄等人口密集区域和重要设施的地灾隐患点进行治理，其中1个重庆市特大型地质灾害治理工程、其中6个重庆市大型地质灾害治理工程、2处高位地质灾害隐患点治理工程、1处重庆市（山洞街道）重点集镇综合治理工程，申请国家级市级财政资金7090万元（表7.4），另区每年拟投入约200万元（共1000万元）对突发性地质灾害、中小型地质灾害隐患进行应急治理。</w:t>
      </w:r>
    </w:p>
    <w:p>
      <w:pPr>
        <w:pStyle w:val="14"/>
        <w:spacing w:line="600" w:lineRule="exact"/>
        <w:ind w:firstLine="482"/>
        <w:jc w:val="center"/>
        <w:rPr>
          <w:rFonts w:ascii="宋体" w:hAnsi="宋体" w:eastAsia="宋体" w:cs="宋体"/>
          <w:b/>
          <w:bCs/>
          <w:sz w:val="24"/>
        </w:rPr>
      </w:pPr>
      <w:r>
        <w:rPr>
          <w:rFonts w:hint="eastAsia" w:ascii="宋体" w:hAnsi="宋体" w:eastAsia="宋体" w:cs="宋体"/>
          <w:b/>
          <w:bCs/>
          <w:sz w:val="24"/>
        </w:rPr>
        <w:t>表7.4 本次规划治理项目部署及费用表</w:t>
      </w:r>
    </w:p>
    <w:tbl>
      <w:tblPr>
        <w:tblStyle w:val="36"/>
        <w:tblW w:w="0" w:type="auto"/>
        <w:tblInd w:w="-527" w:type="dxa"/>
        <w:tblLayout w:type="fixed"/>
        <w:tblCellMar>
          <w:top w:w="15" w:type="dxa"/>
          <w:left w:w="15" w:type="dxa"/>
          <w:bottom w:w="15" w:type="dxa"/>
          <w:right w:w="15" w:type="dxa"/>
        </w:tblCellMar>
      </w:tblPr>
      <w:tblGrid>
        <w:gridCol w:w="809"/>
        <w:gridCol w:w="1475"/>
        <w:gridCol w:w="1598"/>
        <w:gridCol w:w="1131"/>
        <w:gridCol w:w="1493"/>
        <w:gridCol w:w="904"/>
        <w:gridCol w:w="903"/>
        <w:gridCol w:w="1001"/>
        <w:gridCol w:w="806"/>
      </w:tblGrid>
      <w:tr>
        <w:tblPrEx>
          <w:tblCellMar>
            <w:top w:w="15" w:type="dxa"/>
            <w:left w:w="15" w:type="dxa"/>
            <w:bottom w:w="15" w:type="dxa"/>
            <w:right w:w="15" w:type="dxa"/>
          </w:tblCellMar>
        </w:tblPrEx>
        <w:trPr>
          <w:trHeight w:val="849"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序号</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类型</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地灾灾害名称</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体积（10</w:t>
            </w:r>
            <w:r>
              <w:rPr>
                <w:rFonts w:hint="eastAsia"/>
                <w:b/>
                <w:bCs/>
                <w:vertAlign w:val="superscript"/>
              </w:rPr>
              <w:t>4</w:t>
            </w:r>
            <w:r>
              <w:rPr>
                <w:rFonts w:hint="eastAsia"/>
                <w:b/>
                <w:bCs/>
              </w:rPr>
              <w:t>m</w:t>
            </w:r>
            <w:r>
              <w:rPr>
                <w:rFonts w:hint="eastAsia"/>
                <w:b/>
                <w:bCs/>
                <w:vertAlign w:val="superscript"/>
              </w:rPr>
              <w:t>3</w:t>
            </w:r>
            <w:r>
              <w:rPr>
                <w:rFonts w:hint="eastAsia"/>
                <w:b/>
                <w:bCs/>
              </w:rPr>
              <w:t>）</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威胁对象</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威胁</w:t>
            </w:r>
          </w:p>
          <w:p>
            <w:pPr>
              <w:pStyle w:val="17"/>
              <w:jc w:val="center"/>
              <w:rPr>
                <w:b/>
                <w:bCs/>
              </w:rPr>
            </w:pPr>
            <w:r>
              <w:rPr>
                <w:rFonts w:hint="eastAsia"/>
                <w:b/>
                <w:bCs/>
              </w:rPr>
              <w:t>财产</w:t>
            </w:r>
          </w:p>
          <w:p>
            <w:pPr>
              <w:pStyle w:val="17"/>
              <w:jc w:val="center"/>
              <w:rPr>
                <w:b/>
                <w:bCs/>
              </w:rPr>
            </w:pPr>
            <w:r>
              <w:rPr>
                <w:rFonts w:hint="eastAsia"/>
                <w:b/>
                <w:bCs/>
              </w:rPr>
              <w:t>（万元）</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拟采取治理措施</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估算费用（万元）</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rPr>
                <w:b/>
                <w:bCs/>
              </w:rPr>
            </w:pPr>
            <w:r>
              <w:rPr>
                <w:rFonts w:hint="eastAsia"/>
                <w:b/>
                <w:bCs/>
              </w:rPr>
              <w:t>实施</w:t>
            </w:r>
          </w:p>
          <w:p>
            <w:pPr>
              <w:pStyle w:val="17"/>
              <w:jc w:val="center"/>
              <w:rPr>
                <w:b/>
                <w:bCs/>
              </w:rPr>
            </w:pPr>
            <w:r>
              <w:rPr>
                <w:rFonts w:hint="eastAsia"/>
                <w:b/>
                <w:bCs/>
              </w:rPr>
              <w:t>年度</w:t>
            </w:r>
          </w:p>
        </w:tc>
      </w:tr>
      <w:tr>
        <w:tblPrEx>
          <w:tblCellMar>
            <w:top w:w="15" w:type="dxa"/>
            <w:left w:w="15" w:type="dxa"/>
            <w:bottom w:w="15" w:type="dxa"/>
            <w:right w:w="15" w:type="dxa"/>
          </w:tblCellMar>
        </w:tblPrEx>
        <w:trPr>
          <w:trHeight w:val="849"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特大型地灾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青木关镇中学东不稳定斜坡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122.6</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青木关中学</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桩板挡墙+排水沟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587</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2019</w:t>
            </w:r>
          </w:p>
        </w:tc>
      </w:tr>
      <w:tr>
        <w:tblPrEx>
          <w:tblCellMar>
            <w:top w:w="15" w:type="dxa"/>
            <w:left w:w="15" w:type="dxa"/>
            <w:bottom w:w="15" w:type="dxa"/>
            <w:right w:w="15" w:type="dxa"/>
          </w:tblCellMar>
        </w:tblPrEx>
        <w:trPr>
          <w:trHeight w:val="849"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山鸡嘴不稳定斜坡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16.2</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居民区500人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1450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削方减载+排水沟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877</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2020</w:t>
            </w:r>
          </w:p>
        </w:tc>
      </w:tr>
      <w:tr>
        <w:tblPrEx>
          <w:tblCellMar>
            <w:top w:w="15" w:type="dxa"/>
            <w:left w:w="15" w:type="dxa"/>
            <w:bottom w:w="15" w:type="dxa"/>
            <w:right w:w="15" w:type="dxa"/>
          </w:tblCellMar>
        </w:tblPrEx>
        <w:trPr>
          <w:trHeight w:val="849"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3</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凤天竹苑不稳定斜坡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居民700人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板肋式挡墙+排水沟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1023</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2022</w:t>
            </w:r>
          </w:p>
        </w:tc>
      </w:tr>
      <w:tr>
        <w:tblPrEx>
          <w:tblCellMar>
            <w:top w:w="15" w:type="dxa"/>
            <w:left w:w="15" w:type="dxa"/>
            <w:bottom w:w="15" w:type="dxa"/>
            <w:right w:w="15" w:type="dxa"/>
          </w:tblCellMar>
        </w:tblPrEx>
        <w:trPr>
          <w:trHeight w:val="1401"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4</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平正村37号不稳定斜坡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1.2</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居民、幼儿园500人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600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清除+锚固+削方减载+排水沟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400</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2020</w:t>
            </w:r>
          </w:p>
        </w:tc>
      </w:tr>
      <w:tr>
        <w:tblPrEx>
          <w:tblCellMar>
            <w:top w:w="15" w:type="dxa"/>
            <w:left w:w="15" w:type="dxa"/>
            <w:bottom w:w="15" w:type="dxa"/>
            <w:right w:w="15" w:type="dxa"/>
          </w:tblCellMar>
        </w:tblPrEx>
        <w:trPr>
          <w:trHeight w:val="121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5</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马家岩加油站后侧不稳定斜坡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3.7</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加油站、公路居民区300人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6000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清除+锚固+削方减载+排水沟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1000</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2019</w:t>
            </w:r>
          </w:p>
        </w:tc>
      </w:tr>
      <w:tr>
        <w:tblPrEx>
          <w:tblCellMar>
            <w:top w:w="15" w:type="dxa"/>
            <w:left w:w="15" w:type="dxa"/>
            <w:bottom w:w="15" w:type="dxa"/>
            <w:right w:w="15" w:type="dxa"/>
          </w:tblCellMar>
        </w:tblPrEx>
        <w:trPr>
          <w:trHeight w:val="908"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6</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大型地灾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歌乐山镇-中梁镇地面塌陷治理</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2.5</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医院、学校、公路等</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多种回填</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850</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2019</w:t>
            </w:r>
          </w:p>
        </w:tc>
      </w:tr>
      <w:tr>
        <w:tblPrEx>
          <w:tblCellMar>
            <w:top w:w="15" w:type="dxa"/>
            <w:left w:w="15" w:type="dxa"/>
            <w:bottom w:w="15" w:type="dxa"/>
            <w:right w:w="15" w:type="dxa"/>
          </w:tblCellMar>
        </w:tblPrEx>
        <w:trPr>
          <w:trHeight w:val="443"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7</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高位地灾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铁泥湾滑坡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32</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居民45人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309</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85</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2023</w:t>
            </w:r>
          </w:p>
        </w:tc>
      </w:tr>
      <w:tr>
        <w:tblPrEx>
          <w:tblCellMar>
            <w:top w:w="15" w:type="dxa"/>
            <w:left w:w="15" w:type="dxa"/>
            <w:bottom w:w="15" w:type="dxa"/>
            <w:right w:w="15" w:type="dxa"/>
          </w:tblCellMar>
        </w:tblPrEx>
        <w:trPr>
          <w:trHeight w:val="284"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8</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高位地灾</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一道拐2#不稳定斜坡</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21</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居民51人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572</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桩板挡墙+排水沟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415</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2020</w:t>
            </w:r>
          </w:p>
        </w:tc>
      </w:tr>
      <w:tr>
        <w:tblPrEx>
          <w:tblCellMar>
            <w:top w:w="15" w:type="dxa"/>
            <w:left w:w="15" w:type="dxa"/>
            <w:bottom w:w="15" w:type="dxa"/>
            <w:right w:w="15" w:type="dxa"/>
          </w:tblCellMar>
        </w:tblPrEx>
        <w:trPr>
          <w:trHeight w:val="2046"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9</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重点集镇综合治理</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山洞街道集镇综合治理项目</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12</w:t>
            </w:r>
          </w:p>
        </w:tc>
        <w:tc>
          <w:tcPr>
            <w:tcW w:w="149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企事业单位、工厂、居民约360人</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2600</w:t>
            </w:r>
          </w:p>
        </w:tc>
        <w:tc>
          <w:tcPr>
            <w:tcW w:w="903"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削方减载+抗滑桩+格构+护坡+排水沟</w:t>
            </w:r>
          </w:p>
        </w:tc>
        <w:tc>
          <w:tcPr>
            <w:tcW w:w="1001"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1034</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7"/>
              <w:jc w:val="center"/>
            </w:pPr>
            <w:r>
              <w:rPr>
                <w:rFonts w:hint="eastAsia"/>
              </w:rPr>
              <w:t>2023</w:t>
            </w:r>
          </w:p>
        </w:tc>
      </w:tr>
    </w:tbl>
    <w:p>
      <w:pPr>
        <w:spacing w:line="560" w:lineRule="exact"/>
        <w:ind w:firstLine="560"/>
      </w:pPr>
      <w:r>
        <w:rPr>
          <w:rFonts w:hint="eastAsia"/>
        </w:rPr>
        <w:t>注：一道拐2#不稳定斜坡属西永街道，已纳入高新区，后续事宜由高新区推进。</w:t>
      </w:r>
    </w:p>
    <w:p>
      <w:pPr>
        <w:pStyle w:val="6"/>
        <w:spacing w:line="600" w:lineRule="exact"/>
        <w:rPr>
          <w:rFonts w:ascii="Times New Roman" w:eastAsia="宋体"/>
        </w:rPr>
      </w:pPr>
      <w:bookmarkStart w:id="287" w:name="_Toc92983366"/>
      <w:r>
        <w:rPr>
          <w:rFonts w:hint="eastAsia" w:ascii="Times New Roman" w:eastAsia="宋体"/>
        </w:rPr>
        <w:t>二、搬迁避让</w:t>
      </w:r>
      <w:bookmarkEnd w:id="287"/>
    </w:p>
    <w:p>
      <w:pPr>
        <w:pStyle w:val="6"/>
        <w:spacing w:line="600" w:lineRule="exact"/>
        <w:rPr>
          <w:rFonts w:ascii="Times New Roman" w:eastAsia="宋体"/>
        </w:rPr>
      </w:pPr>
      <w:bookmarkStart w:id="288" w:name="_Toc305943674"/>
      <w:bookmarkStart w:id="289" w:name="_Toc323374892"/>
      <w:bookmarkStart w:id="290" w:name="_Toc333392584"/>
      <w:bookmarkStart w:id="291" w:name="_Toc305943828"/>
      <w:bookmarkStart w:id="292" w:name="_Toc326329040"/>
      <w:bookmarkStart w:id="293" w:name="_Toc329604333"/>
      <w:bookmarkStart w:id="294" w:name="_Toc332789307"/>
      <w:r>
        <w:rPr>
          <w:rFonts w:hint="eastAsia" w:ascii="Times New Roman" w:eastAsia="宋体"/>
        </w:rPr>
        <w:t>（一）</w:t>
      </w:r>
      <w:r>
        <w:rPr>
          <w:rFonts w:ascii="Times New Roman" w:eastAsia="宋体"/>
        </w:rPr>
        <w:t>搬迁避让对象</w:t>
      </w:r>
      <w:bookmarkEnd w:id="288"/>
      <w:bookmarkEnd w:id="289"/>
      <w:bookmarkEnd w:id="290"/>
      <w:bookmarkEnd w:id="291"/>
      <w:bookmarkEnd w:id="292"/>
      <w:bookmarkEnd w:id="293"/>
      <w:bookmarkEnd w:id="294"/>
    </w:p>
    <w:p>
      <w:pPr>
        <w:ind w:firstLine="560"/>
      </w:pPr>
      <w:r>
        <w:t>地质灾害一般具有突发性和不确定性，本着“以人为本”的原则，为了保护人民的生命财产安全，避让是一种比较有效的防治地质灾害的措施。对于广大农村地区的地质灾害体，威胁对象分散，且重要性一般，但从保护人民群众生命财产安全的角度必须进行防治。所以当其人数较少，治理费用过高、耕地面积不大的灾害隐患点；或是危险性很高，已经造成大量房屋明显变形破坏极易成灾的灾害隐患点，宜采取搬迁避让的防治措施。搬迁避让将成为防治农村地质灾害最主要的方式。地质灾害点在搬迁前还应加强监测预警工作，确保人民群众生命财产安全。</w:t>
      </w:r>
    </w:p>
    <w:p>
      <w:pPr>
        <w:pStyle w:val="6"/>
        <w:spacing w:line="600" w:lineRule="exact"/>
        <w:rPr>
          <w:rFonts w:ascii="Times New Roman" w:eastAsia="宋体"/>
        </w:rPr>
      </w:pPr>
      <w:bookmarkStart w:id="295" w:name="_Toc305943675"/>
      <w:bookmarkStart w:id="296" w:name="_Toc305943829"/>
      <w:bookmarkStart w:id="297" w:name="_Toc323374893"/>
      <w:bookmarkStart w:id="298" w:name="_Toc326329041"/>
      <w:bookmarkStart w:id="299" w:name="_Toc332789308"/>
      <w:bookmarkStart w:id="300" w:name="_Toc333392585"/>
      <w:bookmarkStart w:id="301" w:name="_Toc329604334"/>
      <w:r>
        <w:rPr>
          <w:rFonts w:hint="eastAsia" w:ascii="Times New Roman" w:eastAsia="宋体"/>
        </w:rPr>
        <w:t>（二）</w:t>
      </w:r>
      <w:r>
        <w:rPr>
          <w:rFonts w:ascii="Times New Roman" w:eastAsia="宋体"/>
        </w:rPr>
        <w:t>搬迁避让项目</w:t>
      </w:r>
      <w:bookmarkEnd w:id="295"/>
      <w:bookmarkEnd w:id="296"/>
      <w:bookmarkEnd w:id="297"/>
      <w:bookmarkEnd w:id="298"/>
      <w:bookmarkEnd w:id="299"/>
      <w:bookmarkEnd w:id="300"/>
      <w:bookmarkEnd w:id="301"/>
    </w:p>
    <w:p>
      <w:pPr>
        <w:ind w:firstLine="560"/>
      </w:pPr>
      <w:r>
        <w:t>根据地质灾害隐患点的稳定程度及危害程度，按紧迫、较紧迫、一般三种类型进行划分。在搬迁项目实施过程中，优先对紧迫型地质灾害进行搬迁，再对较紧迫型地质灾害点搬迁，最后对一般型地质灾害点进行搬迁。</w:t>
      </w:r>
    </w:p>
    <w:p>
      <w:pPr>
        <w:ind w:firstLine="560"/>
      </w:pPr>
      <w:r>
        <w:t>根据沙坪坝区地质灾害排查资料，选择紧迫、较紧迫的</w:t>
      </w:r>
      <w:r>
        <w:rPr>
          <w:rFonts w:hint="eastAsia"/>
        </w:rPr>
        <w:t>5</w:t>
      </w:r>
      <w:r>
        <w:t>个地质灾害隐患点实施搬迁避让，搬迁受威胁群众</w:t>
      </w:r>
      <w:r>
        <w:rPr>
          <w:rFonts w:hint="eastAsia"/>
        </w:rPr>
        <w:t>30</w:t>
      </w:r>
      <w:r>
        <w:t>人。</w:t>
      </w:r>
      <w:r>
        <w:rPr>
          <w:rFonts w:hint="eastAsia"/>
        </w:rPr>
        <w:t>对于受地质隐患灾害点影响大的对象，年计划安排地灾资金50万元安排50人进行地质灾害搬迁避让（市级地灾资金每人补助4000元）</w:t>
      </w:r>
      <w:r>
        <w:t>。</w:t>
      </w:r>
    </w:p>
    <w:p>
      <w:pPr>
        <w:ind w:firstLine="560"/>
      </w:pPr>
      <w:bookmarkStart w:id="302" w:name="_Hlt123974832"/>
      <w:bookmarkEnd w:id="302"/>
      <w:bookmarkStart w:id="303" w:name="_Toc92983368"/>
    </w:p>
    <w:p>
      <w:pPr>
        <w:pStyle w:val="5"/>
        <w:spacing w:line="600" w:lineRule="exact"/>
        <w:rPr>
          <w:rFonts w:ascii="Times New Roman" w:hAnsi="Times New Roman"/>
          <w:sz w:val="30"/>
          <w:szCs w:val="30"/>
        </w:rPr>
      </w:pPr>
      <w:bookmarkStart w:id="304" w:name="_Toc7078"/>
      <w:r>
        <w:rPr>
          <w:rFonts w:ascii="Times New Roman" w:hAnsi="Times New Roman"/>
          <w:sz w:val="30"/>
          <w:szCs w:val="30"/>
        </w:rPr>
        <w:t>第</w:t>
      </w:r>
      <w:r>
        <w:rPr>
          <w:rFonts w:hint="eastAsia" w:ascii="Times New Roman" w:hAnsi="Times New Roman"/>
          <w:sz w:val="30"/>
          <w:szCs w:val="30"/>
        </w:rPr>
        <w:t>四</w:t>
      </w:r>
      <w:r>
        <w:rPr>
          <w:rFonts w:ascii="Times New Roman" w:hAnsi="Times New Roman"/>
          <w:sz w:val="30"/>
          <w:szCs w:val="30"/>
        </w:rPr>
        <w:t xml:space="preserve">节  </w:t>
      </w:r>
      <w:r>
        <w:rPr>
          <w:rFonts w:hint="eastAsia" w:ascii="Times New Roman" w:hAnsi="Times New Roman"/>
          <w:sz w:val="30"/>
          <w:szCs w:val="30"/>
        </w:rPr>
        <w:t>科普</w:t>
      </w:r>
      <w:r>
        <w:rPr>
          <w:rFonts w:ascii="Times New Roman" w:hAnsi="Times New Roman"/>
          <w:sz w:val="30"/>
          <w:szCs w:val="30"/>
        </w:rPr>
        <w:t>宣传培训</w:t>
      </w:r>
      <w:bookmarkEnd w:id="303"/>
      <w:bookmarkEnd w:id="304"/>
    </w:p>
    <w:p>
      <w:pPr>
        <w:ind w:firstLine="560"/>
      </w:pPr>
      <w:r>
        <w:t>1</w:t>
      </w:r>
      <w:r>
        <w:rPr>
          <w:rFonts w:hint="eastAsia"/>
        </w:rPr>
        <w:t>.</w:t>
      </w:r>
      <w:r>
        <w:t>每年由</w:t>
      </w:r>
      <w:r>
        <w:rPr>
          <w:rFonts w:hint="eastAsia"/>
        </w:rPr>
        <w:t>区规划和自然资源局</w:t>
      </w:r>
      <w:r>
        <w:t>主管部门主办一次地质灾害培训。培训范围：各镇（街）分管领导、从事地质灾害防治管理人员，</w:t>
      </w:r>
      <w:r>
        <w:rPr>
          <w:rFonts w:hint="eastAsia"/>
        </w:rPr>
        <w:t>国土</w:t>
      </w:r>
      <w:r>
        <w:t>所长，区级各职能部门地质灾害防治负责人及经办人员。各镇（街）政府再分别组织培训各村（组）监测责任人、监测人，预计全区每年约有</w:t>
      </w:r>
      <w:r>
        <w:rPr>
          <w:rFonts w:hint="eastAsia"/>
        </w:rPr>
        <w:t>4</w:t>
      </w:r>
      <w:r>
        <w:t>00人参加培训。</w:t>
      </w:r>
      <w:r>
        <w:rPr>
          <w:rFonts w:hint="eastAsia"/>
        </w:rPr>
        <w:t>区规划和自然资源局</w:t>
      </w:r>
      <w:r>
        <w:t>主管部门、各镇（街）政府对培训情况报区政府备案。</w:t>
      </w:r>
    </w:p>
    <w:p>
      <w:pPr>
        <w:ind w:firstLine="560"/>
      </w:pPr>
      <w:r>
        <w:t>2</w:t>
      </w:r>
      <w:r>
        <w:rPr>
          <w:rFonts w:hint="eastAsia"/>
        </w:rPr>
        <w:t>.</w:t>
      </w:r>
      <w:r>
        <w:t>每年不定期的利用报纸、电视和广播进行科普知识宣传，</w:t>
      </w:r>
      <w:r>
        <w:rPr>
          <w:rFonts w:hint="eastAsia"/>
        </w:rPr>
        <w:t>联系教委发放地灾宣传资料于中小学校，</w:t>
      </w:r>
      <w:r>
        <w:t>大力宣传滑坡</w:t>
      </w:r>
      <w:r>
        <w:rPr>
          <w:rFonts w:hint="eastAsia"/>
        </w:rPr>
        <w:t>、</w:t>
      </w:r>
      <w:r>
        <w:t>崩塌</w:t>
      </w:r>
      <w:r>
        <w:rPr>
          <w:rFonts w:hint="eastAsia"/>
        </w:rPr>
        <w:t>、塌陷</w:t>
      </w:r>
      <w:r>
        <w:t>等山区地质灾害科普知识。</w:t>
      </w:r>
      <w:bookmarkStart w:id="305" w:name="_Toc92983369"/>
    </w:p>
    <w:p>
      <w:pPr>
        <w:ind w:firstLine="560"/>
      </w:pPr>
    </w:p>
    <w:p>
      <w:pPr>
        <w:pStyle w:val="5"/>
        <w:rPr>
          <w:rFonts w:ascii="Times New Roman" w:hAnsi="Times New Roman"/>
          <w:sz w:val="30"/>
          <w:szCs w:val="30"/>
        </w:rPr>
      </w:pPr>
      <w:bookmarkStart w:id="306" w:name="_Toc25262"/>
      <w:r>
        <w:rPr>
          <w:rFonts w:ascii="Times New Roman" w:hAnsi="Times New Roman"/>
          <w:sz w:val="30"/>
          <w:szCs w:val="30"/>
        </w:rPr>
        <w:t>第</w:t>
      </w:r>
      <w:r>
        <w:rPr>
          <w:rFonts w:hint="eastAsia" w:ascii="Times New Roman" w:hAnsi="Times New Roman"/>
          <w:sz w:val="30"/>
          <w:szCs w:val="30"/>
        </w:rPr>
        <w:t>五</w:t>
      </w:r>
      <w:r>
        <w:rPr>
          <w:rFonts w:ascii="Times New Roman" w:hAnsi="Times New Roman"/>
          <w:sz w:val="30"/>
          <w:szCs w:val="30"/>
        </w:rPr>
        <w:t>节  应急</w:t>
      </w:r>
      <w:r>
        <w:rPr>
          <w:rFonts w:hint="eastAsia" w:ascii="Times New Roman" w:hAnsi="Times New Roman"/>
          <w:sz w:val="30"/>
          <w:szCs w:val="30"/>
        </w:rPr>
        <w:t>体系建设</w:t>
      </w:r>
      <w:bookmarkEnd w:id="306"/>
    </w:p>
    <w:p>
      <w:pPr>
        <w:ind w:firstLine="560"/>
      </w:pPr>
      <w:r>
        <w:t>根据沙坪坝区现有资源，以地质灾害应急管理和应急救援处置为核心，“十</w:t>
      </w:r>
      <w:r>
        <w:rPr>
          <w:rFonts w:hint="eastAsia"/>
        </w:rPr>
        <w:t>三</w:t>
      </w:r>
      <w:r>
        <w:t>五”期间逐步完善适应于公共管理需要的地质灾害应急管理机构、应急平台、应急技术机构和</w:t>
      </w:r>
      <w:r>
        <w:rPr>
          <w:rFonts w:hint="eastAsia"/>
        </w:rPr>
        <w:t>应急</w:t>
      </w:r>
      <w:r>
        <w:t>救援队伍。</w:t>
      </w:r>
    </w:p>
    <w:p>
      <w:pPr>
        <w:pStyle w:val="6"/>
        <w:rPr>
          <w:rFonts w:ascii="Times New Roman" w:eastAsia="宋体"/>
        </w:rPr>
      </w:pPr>
      <w:bookmarkStart w:id="307" w:name="_Toc323374900"/>
      <w:bookmarkStart w:id="308" w:name="_Toc305943836"/>
      <w:bookmarkStart w:id="309" w:name="_Toc332789315"/>
      <w:bookmarkStart w:id="310" w:name="_Toc329604346"/>
      <w:bookmarkStart w:id="311" w:name="_Toc326329048"/>
      <w:bookmarkStart w:id="312" w:name="_Toc305943682"/>
      <w:bookmarkStart w:id="313" w:name="_Toc333392592"/>
      <w:r>
        <w:rPr>
          <w:rFonts w:hint="eastAsia" w:ascii="Times New Roman" w:eastAsia="宋体"/>
        </w:rPr>
        <w:t>一、</w:t>
      </w:r>
      <w:r>
        <w:rPr>
          <w:rFonts w:ascii="Times New Roman" w:eastAsia="宋体"/>
        </w:rPr>
        <w:t>地质灾害应急管理</w:t>
      </w:r>
      <w:r>
        <w:rPr>
          <w:rFonts w:hint="eastAsia" w:ascii="Times New Roman" w:eastAsia="宋体"/>
        </w:rPr>
        <w:t>体系</w:t>
      </w:r>
      <w:r>
        <w:rPr>
          <w:rFonts w:ascii="Times New Roman" w:eastAsia="宋体"/>
        </w:rPr>
        <w:t>建设</w:t>
      </w:r>
      <w:bookmarkEnd w:id="307"/>
      <w:bookmarkEnd w:id="308"/>
      <w:bookmarkEnd w:id="309"/>
      <w:bookmarkEnd w:id="310"/>
      <w:bookmarkEnd w:id="311"/>
      <w:bookmarkEnd w:id="312"/>
      <w:bookmarkEnd w:id="313"/>
    </w:p>
    <w:p>
      <w:pPr>
        <w:ind w:firstLine="560"/>
      </w:pPr>
      <w:r>
        <w:t>沙坪坝区</w:t>
      </w:r>
      <w:r>
        <w:rPr>
          <w:rFonts w:hint="eastAsia"/>
        </w:rPr>
        <w:t>完善</w:t>
      </w:r>
      <w:r>
        <w:t>区级地质灾害应急中心，各镇（街道）建立镇（街道）应急管理机构。区政府应加强区、镇（街道）应急管理机构人员、装备配置和经费保障，区地质灾害应急管理机构必须配备地质灾害专业技术人员参与应急管理工作。</w:t>
      </w:r>
    </w:p>
    <w:p>
      <w:pPr>
        <w:pStyle w:val="6"/>
        <w:rPr>
          <w:rFonts w:ascii="Times New Roman" w:eastAsia="宋体"/>
        </w:rPr>
      </w:pPr>
      <w:bookmarkStart w:id="314" w:name="_Toc333392593"/>
      <w:bookmarkStart w:id="315" w:name="_Toc305943683"/>
      <w:bookmarkStart w:id="316" w:name="_Toc323374901"/>
      <w:bookmarkStart w:id="317" w:name="_Toc332789316"/>
      <w:bookmarkStart w:id="318" w:name="_Toc329604347"/>
      <w:bookmarkStart w:id="319" w:name="_Toc305943837"/>
      <w:bookmarkStart w:id="320" w:name="_Toc326329049"/>
      <w:r>
        <w:rPr>
          <w:rFonts w:hint="eastAsia" w:ascii="Times New Roman" w:eastAsia="宋体"/>
        </w:rPr>
        <w:t>二、</w:t>
      </w:r>
      <w:r>
        <w:rPr>
          <w:rFonts w:ascii="Times New Roman" w:eastAsia="宋体"/>
        </w:rPr>
        <w:t>应急平台建设</w:t>
      </w:r>
      <w:bookmarkEnd w:id="314"/>
      <w:bookmarkEnd w:id="315"/>
      <w:bookmarkEnd w:id="316"/>
      <w:bookmarkEnd w:id="317"/>
      <w:bookmarkEnd w:id="318"/>
      <w:bookmarkEnd w:id="319"/>
      <w:bookmarkEnd w:id="320"/>
    </w:p>
    <w:p>
      <w:pPr>
        <w:spacing w:line="360" w:lineRule="auto"/>
        <w:ind w:right="53" w:rightChars="19" w:firstLine="630" w:firstLineChars="225"/>
      </w:pPr>
      <w:r>
        <w:t>应急平台是针对突发地质灾害防范与应急处置的平台，具备语音通讯、</w:t>
      </w:r>
      <w:r>
        <w:rPr>
          <w:rFonts w:hint="eastAsia"/>
          <w:lang w:eastAsia="zh-CN"/>
        </w:rPr>
        <w:t>视频</w:t>
      </w:r>
      <w:r>
        <w:t>会议、图像显示及预警预报、动态决策、综合协调与应急联动等功能的综合性软硬件集成的平台。主要有基础支撑系统、综合应用系统、数据库系统、信息速报与发布系统、移动应急平台、应急指挥场所、安全保障体系组成。</w:t>
      </w:r>
    </w:p>
    <w:p>
      <w:pPr>
        <w:ind w:firstLine="560"/>
      </w:pPr>
      <w:r>
        <w:t>沙坪坝区地质灾害应急平台，应有专业技术人员作为工作人员参与应急管理工作。应急平台建设应针对本区域重点监测、防治的地质灾害信息进行接报处理、远程会商、应急处置，与市相应平台实现互联互通。于201</w:t>
      </w:r>
      <w:r>
        <w:rPr>
          <w:rFonts w:hint="eastAsia"/>
        </w:rPr>
        <w:t>3</w:t>
      </w:r>
      <w:r>
        <w:t>年前建成沙坪坝区应急平台。</w:t>
      </w:r>
    </w:p>
    <w:p>
      <w:pPr>
        <w:pStyle w:val="6"/>
        <w:rPr>
          <w:rFonts w:ascii="Times New Roman" w:eastAsia="宋体"/>
        </w:rPr>
      </w:pPr>
      <w:bookmarkStart w:id="321" w:name="_Toc333392594"/>
      <w:bookmarkStart w:id="322" w:name="_Toc323374902"/>
      <w:bookmarkStart w:id="323" w:name="_Toc305943684"/>
      <w:bookmarkStart w:id="324" w:name="_Toc332789317"/>
      <w:bookmarkStart w:id="325" w:name="_Toc305943838"/>
      <w:bookmarkStart w:id="326" w:name="_Toc326329050"/>
      <w:bookmarkStart w:id="327" w:name="_Toc329604348"/>
      <w:r>
        <w:rPr>
          <w:rFonts w:hint="eastAsia" w:ascii="Times New Roman" w:eastAsia="宋体"/>
        </w:rPr>
        <w:t>三、</w:t>
      </w:r>
      <w:r>
        <w:rPr>
          <w:rFonts w:ascii="Times New Roman" w:eastAsia="宋体"/>
        </w:rPr>
        <w:t>应急技术机构</w:t>
      </w:r>
      <w:r>
        <w:rPr>
          <w:rFonts w:hint="eastAsia" w:ascii="Times New Roman" w:eastAsia="宋体"/>
        </w:rPr>
        <w:t>及信息系统</w:t>
      </w:r>
      <w:r>
        <w:rPr>
          <w:rFonts w:ascii="Times New Roman" w:eastAsia="宋体"/>
        </w:rPr>
        <w:t>建设</w:t>
      </w:r>
      <w:bookmarkEnd w:id="321"/>
      <w:bookmarkEnd w:id="322"/>
      <w:bookmarkEnd w:id="323"/>
      <w:bookmarkEnd w:id="324"/>
      <w:bookmarkEnd w:id="325"/>
      <w:bookmarkEnd w:id="326"/>
      <w:bookmarkEnd w:id="327"/>
    </w:p>
    <w:p>
      <w:pPr>
        <w:ind w:firstLine="560"/>
      </w:pPr>
      <w:r>
        <w:t>先安排专业的技术支撑单位，在此基础上继续完善区级专家库。</w:t>
      </w:r>
    </w:p>
    <w:p>
      <w:pPr>
        <w:ind w:firstLine="560"/>
      </w:pPr>
      <w:r>
        <w:rPr>
          <w:rFonts w:hint="eastAsia"/>
        </w:rPr>
        <w:t>（一）</w:t>
      </w:r>
      <w:r>
        <w:t>技术支撑单位</w:t>
      </w:r>
    </w:p>
    <w:p>
      <w:pPr>
        <w:ind w:firstLine="560"/>
      </w:pPr>
      <w:r>
        <w:t>具有地质灾害勘查、设计、监测、治理资质的重庆市地勘队伍，在市</w:t>
      </w:r>
      <w:r>
        <w:rPr>
          <w:rFonts w:hint="eastAsia"/>
        </w:rPr>
        <w:t>规划和自然资源局协调下</w:t>
      </w:r>
      <w:r>
        <w:t>，由沙坪坝区政府邀请，并已落实重庆市地勘局南江地质队、208地质队、</w:t>
      </w:r>
      <w:r>
        <w:rPr>
          <w:rFonts w:hint="eastAsia"/>
        </w:rPr>
        <w:t>川东南地质大队</w:t>
      </w:r>
      <w:r>
        <w:t>等单位作为沙坪坝区的地质灾害防治技术支撑单位，为沙坪坝区地质灾害防治服务。</w:t>
      </w:r>
    </w:p>
    <w:p>
      <w:pPr>
        <w:ind w:firstLine="560"/>
      </w:pPr>
      <w:r>
        <w:rPr>
          <w:rFonts w:hint="eastAsia"/>
        </w:rPr>
        <w:t>（二）</w:t>
      </w:r>
      <w:r>
        <w:t>专家库</w:t>
      </w:r>
    </w:p>
    <w:p>
      <w:pPr>
        <w:ind w:firstLine="560"/>
      </w:pPr>
      <w:r>
        <w:t>从当地</w:t>
      </w:r>
      <w:r>
        <w:rPr>
          <w:rFonts w:hint="eastAsia"/>
        </w:rPr>
        <w:t>及周边城市</w:t>
      </w:r>
      <w:r>
        <w:t>有关单位专业技术人员中遴选聘任具有丰富地质灾害应急防治经验的专家，继续完善沙坪坝区专家库。</w:t>
      </w:r>
    </w:p>
    <w:p>
      <w:pPr>
        <w:ind w:firstLine="560"/>
      </w:pPr>
      <w:r>
        <w:rPr>
          <w:rFonts w:hint="eastAsia"/>
        </w:rPr>
        <w:t>（三）地灾驻守</w:t>
      </w:r>
    </w:p>
    <w:p>
      <w:pPr>
        <w:ind w:firstLine="560"/>
      </w:pPr>
      <w:r>
        <w:rPr>
          <w:rFonts w:hint="eastAsia"/>
        </w:rPr>
        <w:t>结合重庆市规划和自然资源局安排及沙坪坝实际，在</w:t>
      </w:r>
      <w:r>
        <w:t>市地勘局南江地质队、208地质队、</w:t>
      </w:r>
      <w:r>
        <w:rPr>
          <w:rFonts w:hint="eastAsia"/>
        </w:rPr>
        <w:t>川东南地质大队三个技术支持单位中安排6人在汛期对沙坪坝进行地灾驻守工作，并由市级财政拨付驻守支撑单位驻守费用300万元。</w:t>
      </w:r>
    </w:p>
    <w:p>
      <w:pPr>
        <w:ind w:firstLine="560"/>
      </w:pPr>
      <w:r>
        <w:rPr>
          <w:rFonts w:hint="eastAsia"/>
        </w:rPr>
        <w:t>（四）地质灾害信息系统建设及维护</w:t>
      </w:r>
    </w:p>
    <w:p>
      <w:pPr>
        <w:ind w:firstLine="560"/>
      </w:pPr>
      <w:r>
        <w:rPr>
          <w:rFonts w:hint="eastAsia"/>
        </w:rPr>
        <w:t>对全区内的所有地质灾害点建立整体的地质灾害信息系统，并把各个点的危害对象、监测情况纳入该系统。对新发生的地质灾害点应及时对系统进行维护，并把无危害对象的地质灾害点进行销号。</w:t>
      </w:r>
    </w:p>
    <w:p>
      <w:pPr>
        <w:pStyle w:val="6"/>
        <w:rPr>
          <w:rFonts w:ascii="Times New Roman" w:eastAsia="宋体"/>
        </w:rPr>
      </w:pPr>
      <w:bookmarkStart w:id="328" w:name="_Toc332789318"/>
      <w:bookmarkStart w:id="329" w:name="_Toc333392595"/>
      <w:r>
        <w:rPr>
          <w:rFonts w:hint="eastAsia" w:ascii="Times New Roman" w:eastAsia="宋体"/>
        </w:rPr>
        <w:t>四、</w:t>
      </w:r>
      <w:r>
        <w:rPr>
          <w:rFonts w:ascii="Times New Roman" w:eastAsia="宋体"/>
        </w:rPr>
        <w:t>应急</w:t>
      </w:r>
      <w:r>
        <w:rPr>
          <w:rFonts w:hint="eastAsia" w:ascii="Times New Roman" w:eastAsia="宋体"/>
        </w:rPr>
        <w:t>救援</w:t>
      </w:r>
      <w:bookmarkEnd w:id="328"/>
      <w:bookmarkEnd w:id="329"/>
    </w:p>
    <w:p>
      <w:pPr>
        <w:ind w:firstLine="560"/>
      </w:pPr>
      <w:r>
        <w:t>对我区突发地质灾害灾（险）情开展应急抢险救援工作</w:t>
      </w:r>
      <w:r>
        <w:rPr>
          <w:rFonts w:hint="eastAsia"/>
        </w:rPr>
        <w:t>，</w:t>
      </w:r>
      <w:r>
        <w:t>确保未纳入规划的地质灾害灾（险）情得到及时有效外置。应急抢险救援</w:t>
      </w:r>
      <w:r>
        <w:rPr>
          <w:rFonts w:hint="eastAsia"/>
        </w:rPr>
        <w:t>主要</w:t>
      </w:r>
      <w:r>
        <w:t>针对</w:t>
      </w:r>
      <w:r>
        <w:rPr>
          <w:rFonts w:hint="eastAsia"/>
        </w:rPr>
        <w:t>沙坪坝区</w:t>
      </w:r>
      <w:r>
        <w:t>内所发生险情和灾情的地质灾害，加强对新发生地质灾害灾（险）情的应急处置。应急抢险救援包括应急调查、应急勘查、应急监测和应急搬迁等工作内容。</w:t>
      </w:r>
    </w:p>
    <w:p>
      <w:pPr>
        <w:ind w:firstLine="560"/>
      </w:pPr>
      <w:r>
        <w:t>按照“属地管理，分级处置”的原则，特大型突发地质灾害的应急处置由市级负责，大、中型突发地质灾害的应急处置由区负责，小型突发地质灾害的应急处置由镇（街道）负责，各级逐级指导下级开展应急处置工作。</w:t>
      </w:r>
    </w:p>
    <w:p>
      <w:pPr>
        <w:ind w:firstLine="560"/>
      </w:pPr>
      <w:r>
        <w:t>沙坪坝区应成立区地质灾害应急救援队。区地质灾害应急救援队由沙坪坝区政府组织，由区</w:t>
      </w:r>
      <w:r>
        <w:rPr>
          <w:rFonts w:hint="eastAsia"/>
        </w:rPr>
        <w:t>应急局及规划和自然资源局</w:t>
      </w:r>
      <w:r>
        <w:t>行政主管部门牵头，</w:t>
      </w:r>
      <w:r>
        <w:rPr>
          <w:rFonts w:hint="eastAsia"/>
        </w:rPr>
        <w:t>并结合技术支撑单位，区应急局、区发改委、区住建委、区城市管理局、区交通局、区文化旅游委、区农业农村委、区经信委、区公安分局、区卫生健康委、区气象局、区财政局、区政府办督查室</w:t>
      </w:r>
      <w:r>
        <w:t>等部门配合</w:t>
      </w:r>
      <w:r>
        <w:rPr>
          <w:rFonts w:hint="eastAsia"/>
        </w:rPr>
        <w:t>共同</w:t>
      </w:r>
      <w:r>
        <w:t>成立沙坪坝区地质灾害应急救援队，承担区地质灾害</w:t>
      </w:r>
      <w:r>
        <w:rPr>
          <w:rFonts w:hint="eastAsia"/>
        </w:rPr>
        <w:t>受影响群众的</w:t>
      </w:r>
      <w:r>
        <w:t>应急救援及综合管理工作。“十</w:t>
      </w:r>
      <w:r>
        <w:rPr>
          <w:rFonts w:hint="eastAsia"/>
        </w:rPr>
        <w:t>三</w:t>
      </w:r>
      <w:r>
        <w:t>五”期间，重点加强应急救援队伍建设和专用应急装备配置，</w:t>
      </w:r>
      <w:r>
        <w:rPr>
          <w:rFonts w:hint="eastAsia"/>
        </w:rPr>
        <w:t>并组织各部门</w:t>
      </w:r>
      <w:r>
        <w:t>开展应急演练。</w:t>
      </w:r>
    </w:p>
    <w:p>
      <w:pPr>
        <w:spacing w:line="360" w:lineRule="auto"/>
        <w:ind w:firstLine="560"/>
        <w:jc w:val="center"/>
      </w:pPr>
      <w:r>
        <w:rPr>
          <w:bdr w:val="single" w:color="auto" w:sz="4" w:space="0"/>
        </w:rPr>
        <w:drawing>
          <wp:inline distT="0" distB="0" distL="0" distR="0">
            <wp:extent cx="5221605" cy="4950460"/>
            <wp:effectExtent l="0" t="0" r="0" b="2540"/>
            <wp:docPr id="2" name="图片 2" descr="360截图201211201606238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360截图20121120160623875"/>
                    <pic:cNvPicPr>
                      <a:picLocks noChangeAspect="true" noChangeArrowheads="true"/>
                    </pic:cNvPicPr>
                  </pic:nvPicPr>
                  <pic:blipFill>
                    <a:blip r:embed="rId20">
                      <a:extLst>
                        <a:ext uri="{28A0092B-C50C-407E-A947-70E740481C1C}">
                          <a14:useLocalDpi xmlns:a14="http://schemas.microsoft.com/office/drawing/2010/main" val="false"/>
                        </a:ext>
                      </a:extLst>
                    </a:blip>
                    <a:srcRect/>
                    <a:stretch>
                      <a:fillRect/>
                    </a:stretch>
                  </pic:blipFill>
                  <pic:spPr>
                    <a:xfrm>
                      <a:off x="0" y="0"/>
                      <a:ext cx="5221605" cy="4950460"/>
                    </a:xfrm>
                    <a:prstGeom prst="rect">
                      <a:avLst/>
                    </a:prstGeom>
                    <a:noFill/>
                    <a:ln>
                      <a:noFill/>
                    </a:ln>
                  </pic:spPr>
                </pic:pic>
              </a:graphicData>
            </a:graphic>
          </wp:inline>
        </w:drawing>
      </w:r>
    </w:p>
    <w:p>
      <w:pPr>
        <w:spacing w:line="360" w:lineRule="auto"/>
        <w:ind w:firstLine="482"/>
        <w:jc w:val="center"/>
        <w:rPr>
          <w:b/>
          <w:bCs/>
          <w:szCs w:val="28"/>
        </w:rPr>
      </w:pPr>
      <w:r>
        <w:rPr>
          <w:rFonts w:hint="eastAsia"/>
          <w:b/>
          <w:bCs/>
          <w:sz w:val="24"/>
        </w:rPr>
        <w:t xml:space="preserve">图7-1       </w:t>
      </w:r>
      <w:r>
        <w:rPr>
          <w:b/>
          <w:bCs/>
          <w:sz w:val="24"/>
        </w:rPr>
        <w:t>地质灾害应急管理</w:t>
      </w:r>
      <w:r>
        <w:rPr>
          <w:rFonts w:hint="eastAsia"/>
          <w:b/>
          <w:bCs/>
          <w:sz w:val="24"/>
        </w:rPr>
        <w:t xml:space="preserve">体系 </w:t>
      </w:r>
      <w:r>
        <w:rPr>
          <w:rFonts w:hint="eastAsia"/>
          <w:b/>
          <w:bCs/>
          <w:szCs w:val="28"/>
        </w:rPr>
        <w:t xml:space="preserve">    </w:t>
      </w:r>
    </w:p>
    <w:p>
      <w:pPr>
        <w:ind w:firstLine="0" w:firstLineChars="0"/>
      </w:pPr>
    </w:p>
    <w:p>
      <w:pPr>
        <w:pStyle w:val="5"/>
        <w:numPr>
          <w:ilvl w:val="0"/>
          <w:numId w:val="4"/>
        </w:numPr>
        <w:spacing w:line="540" w:lineRule="exact"/>
        <w:rPr>
          <w:rFonts w:ascii="Times New Roman" w:hAnsi="Times New Roman"/>
          <w:sz w:val="30"/>
          <w:szCs w:val="30"/>
        </w:rPr>
      </w:pPr>
      <w:r>
        <w:rPr>
          <w:rFonts w:hint="eastAsia" w:ascii="Times New Roman" w:hAnsi="Times New Roman"/>
          <w:sz w:val="30"/>
          <w:szCs w:val="30"/>
        </w:rPr>
        <w:t xml:space="preserve"> </w:t>
      </w:r>
      <w:bookmarkStart w:id="330" w:name="_Toc13234"/>
      <w:r>
        <w:rPr>
          <w:rFonts w:hint="eastAsia" w:ascii="Times New Roman" w:hAnsi="Times New Roman"/>
          <w:sz w:val="30"/>
          <w:szCs w:val="30"/>
        </w:rPr>
        <w:t>培训交流及地灾演练</w:t>
      </w:r>
      <w:bookmarkEnd w:id="330"/>
    </w:p>
    <w:p>
      <w:pPr>
        <w:ind w:firstLine="560"/>
      </w:pPr>
      <w:r>
        <w:rPr>
          <w:rFonts w:hint="eastAsia"/>
        </w:rPr>
        <w:t>“本次规划”提高地质灾害群测群防“四重”网格化人员的业务水平；向受灾害影响范围内的群众开展应急避险演练；提高一般群众对地质灾害的认识，提高群众的避灾，防灾，救灾的认识（表7.5）。</w:t>
      </w:r>
    </w:p>
    <w:p>
      <w:pPr>
        <w:pStyle w:val="14"/>
        <w:spacing w:line="360" w:lineRule="auto"/>
        <w:ind w:firstLine="482"/>
        <w:jc w:val="center"/>
        <w:rPr>
          <w:rFonts w:ascii="宋体" w:hAnsi="宋体" w:eastAsia="宋体" w:cs="宋体"/>
          <w:b/>
          <w:bCs/>
          <w:sz w:val="24"/>
        </w:rPr>
        <w:sectPr>
          <w:pgSz w:w="11906" w:h="16838"/>
          <w:pgMar w:top="1418" w:right="1134" w:bottom="1418" w:left="1701" w:header="851" w:footer="992" w:gutter="0"/>
          <w:cols w:space="720" w:num="1"/>
          <w:docGrid w:linePitch="312" w:charSpace="0"/>
        </w:sectPr>
      </w:pPr>
    </w:p>
    <w:p>
      <w:pPr>
        <w:pStyle w:val="14"/>
        <w:spacing w:line="360" w:lineRule="auto"/>
        <w:ind w:firstLine="482"/>
        <w:jc w:val="center"/>
        <w:rPr>
          <w:rFonts w:ascii="宋体" w:hAnsi="宋体" w:eastAsia="宋体" w:cs="宋体"/>
          <w:b/>
          <w:bCs/>
          <w:color w:val="000000"/>
          <w:sz w:val="24"/>
        </w:rPr>
      </w:pPr>
      <w:r>
        <w:rPr>
          <w:rFonts w:hint="eastAsia" w:ascii="宋体" w:hAnsi="宋体" w:eastAsia="宋体" w:cs="宋体"/>
          <w:b/>
          <w:bCs/>
          <w:color w:val="000000"/>
          <w:sz w:val="24"/>
        </w:rPr>
        <w:t>表7.5 沙坪坝区“本次规划”期培训交流部署及费用表</w:t>
      </w:r>
    </w:p>
    <w:tbl>
      <w:tblPr>
        <w:tblStyle w:val="36"/>
        <w:tblW w:w="0" w:type="auto"/>
        <w:tblInd w:w="0" w:type="dxa"/>
        <w:tblLayout w:type="fixed"/>
        <w:tblCellMar>
          <w:top w:w="0" w:type="dxa"/>
          <w:left w:w="0" w:type="dxa"/>
          <w:bottom w:w="0" w:type="dxa"/>
          <w:right w:w="0" w:type="dxa"/>
        </w:tblCellMar>
      </w:tblPr>
      <w:tblGrid>
        <w:gridCol w:w="527"/>
        <w:gridCol w:w="1294"/>
        <w:gridCol w:w="553"/>
        <w:gridCol w:w="540"/>
        <w:gridCol w:w="998"/>
        <w:gridCol w:w="837"/>
        <w:gridCol w:w="756"/>
        <w:gridCol w:w="810"/>
        <w:gridCol w:w="783"/>
        <w:gridCol w:w="998"/>
        <w:gridCol w:w="1337"/>
      </w:tblGrid>
      <w:tr>
        <w:tblPrEx>
          <w:tblCellMar>
            <w:top w:w="0" w:type="dxa"/>
            <w:left w:w="0" w:type="dxa"/>
            <w:bottom w:w="0" w:type="dxa"/>
            <w:right w:w="0" w:type="dxa"/>
          </w:tblCellMar>
        </w:tblPrEx>
        <w:trPr>
          <w:trHeight w:val="494" w:hRule="atLeast"/>
        </w:trPr>
        <w:tc>
          <w:tcPr>
            <w:tcW w:w="527"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12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街镇</w:t>
            </w:r>
          </w:p>
        </w:tc>
        <w:tc>
          <w:tcPr>
            <w:tcW w:w="10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演练隐患数</w:t>
            </w:r>
          </w:p>
        </w:tc>
        <w:tc>
          <w:tcPr>
            <w:tcW w:w="99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群测群防员人数</w:t>
            </w:r>
          </w:p>
        </w:tc>
        <w:tc>
          <w:tcPr>
            <w:tcW w:w="8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演练补助金额</w:t>
            </w:r>
          </w:p>
        </w:tc>
        <w:tc>
          <w:tcPr>
            <w:tcW w:w="7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宣传培训金额</w:t>
            </w: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场地及授课费</w:t>
            </w:r>
          </w:p>
        </w:tc>
        <w:tc>
          <w:tcPr>
            <w:tcW w:w="78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1"/>
                <w:szCs w:val="21"/>
              </w:rPr>
            </w:pPr>
            <w:r>
              <w:rPr>
                <w:rFonts w:hint="eastAsia" w:ascii="宋体" w:hAnsi="宋体" w:cs="宋体"/>
                <w:b/>
                <w:color w:val="000000"/>
                <w:kern w:val="0"/>
                <w:sz w:val="21"/>
                <w:szCs w:val="21"/>
                <w:lang w:bidi="ar"/>
              </w:rPr>
              <w:t>宣传费</w:t>
            </w:r>
          </w:p>
        </w:tc>
        <w:tc>
          <w:tcPr>
            <w:tcW w:w="99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合计</w:t>
            </w:r>
          </w:p>
        </w:tc>
        <w:tc>
          <w:tcPr>
            <w:tcW w:w="133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306" w:hRule="atLeast"/>
        </w:trPr>
        <w:tc>
          <w:tcPr>
            <w:tcW w:w="527"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12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点</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区</w:t>
            </w:r>
          </w:p>
        </w:tc>
        <w:tc>
          <w:tcPr>
            <w:tcW w:w="9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8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7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1"/>
                <w:szCs w:val="21"/>
              </w:rPr>
            </w:pPr>
          </w:p>
        </w:tc>
        <w:tc>
          <w:tcPr>
            <w:tcW w:w="99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c>
          <w:tcPr>
            <w:tcW w:w="133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土湾街道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磁器口街道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沙坪坝街道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山洞街道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小龙坎街道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双碑街道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覃家岗街道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460"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天星桥街道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12300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新桥街道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石井坡街道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31200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井口街道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18600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童家桥街道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凤凰镇</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70900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青木关镇</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43800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回龙坝镇</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58500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丰文街道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土主镇</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14400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陈家桥街道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联芳街道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20</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渝碚路街道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1000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6000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sz w:val="22"/>
                <w:szCs w:val="22"/>
              </w:rPr>
            </w:pPr>
          </w:p>
        </w:tc>
      </w:tr>
      <w:tr>
        <w:tblPrEx>
          <w:tblCellMar>
            <w:top w:w="0" w:type="dxa"/>
            <w:left w:w="0" w:type="dxa"/>
            <w:bottom w:w="0" w:type="dxa"/>
            <w:right w:w="0" w:type="dxa"/>
          </w:tblCellMar>
        </w:tblPrEx>
        <w:trPr>
          <w:trHeight w:val="3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21</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中梁镇</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8</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28</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60000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3800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68800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sz w:val="22"/>
                <w:szCs w:val="22"/>
              </w:rPr>
            </w:pPr>
          </w:p>
        </w:tc>
      </w:tr>
      <w:tr>
        <w:tblPrEx>
          <w:tblCellMar>
            <w:top w:w="0" w:type="dxa"/>
            <w:left w:w="0" w:type="dxa"/>
            <w:bottom w:w="0" w:type="dxa"/>
            <w:right w:w="0" w:type="dxa"/>
          </w:tblCellMar>
        </w:tblPrEx>
        <w:trPr>
          <w:trHeight w:val="74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22</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歌乐山街道</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right"/>
              <w:textAlignment w:val="center"/>
              <w:rPr>
                <w:rFonts w:ascii="宋体" w:hAnsi="宋体" w:cs="宋体"/>
                <w:sz w:val="22"/>
                <w:szCs w:val="22"/>
              </w:rPr>
            </w:pPr>
            <w:r>
              <w:rPr>
                <w:rFonts w:hint="eastAsia" w:ascii="宋体" w:hAnsi="宋体" w:cs="宋体"/>
                <w:kern w:val="0"/>
                <w:sz w:val="22"/>
                <w:szCs w:val="22"/>
                <w:lang w:bidi="ar"/>
              </w:rPr>
              <w:t>8</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17</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27</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101000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3800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109800</w:t>
            </w:r>
          </w:p>
        </w:tc>
        <w:tc>
          <w:tcPr>
            <w:tcW w:w="1337" w:type="dxa"/>
            <w:vMerge w:val="restart"/>
            <w:tcBorders>
              <w:top w:val="single" w:color="000000" w:sz="4" w:space="0"/>
              <w:left w:val="nil"/>
              <w:bottom w:val="single" w:color="000000" w:sz="4" w:space="0"/>
              <w:right w:val="single" w:color="000000" w:sz="4" w:space="0"/>
            </w:tcBorders>
            <w:tcMar>
              <w:top w:w="12" w:type="dxa"/>
              <w:left w:w="12" w:type="dxa"/>
              <w:right w:w="12" w:type="dxa"/>
            </w:tcMar>
            <w:vAlign w:val="center"/>
          </w:tcPr>
          <w:p>
            <w:pPr>
              <w:pStyle w:val="61"/>
              <w:rPr>
                <w:rFonts w:cs="宋体"/>
                <w:color w:val="auto"/>
                <w:szCs w:val="22"/>
              </w:rPr>
            </w:pPr>
            <w:r>
              <w:rPr>
                <w:rFonts w:hint="eastAsia"/>
                <w:color w:val="auto"/>
                <w:sz w:val="22"/>
                <w:szCs w:val="22"/>
              </w:rPr>
              <w:t>区文旅委群测群防员培训工作及培训费纳入歌乐山街道</w:t>
            </w:r>
          </w:p>
        </w:tc>
      </w:tr>
      <w:tr>
        <w:tblPrEx>
          <w:tblCellMar>
            <w:top w:w="0" w:type="dxa"/>
            <w:left w:w="0" w:type="dxa"/>
            <w:bottom w:w="0" w:type="dxa"/>
            <w:right w:w="0" w:type="dxa"/>
          </w:tblCellMar>
        </w:tblPrEx>
        <w:trPr>
          <w:trHeight w:val="712"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23</w:t>
            </w: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区文旅委</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right"/>
              <w:textAlignment w:val="center"/>
              <w:rPr>
                <w:rFonts w:ascii="宋体" w:hAnsi="宋体" w:cs="宋体"/>
                <w:sz w:val="22"/>
                <w:szCs w:val="22"/>
              </w:rPr>
            </w:pPr>
            <w:r>
              <w:rPr>
                <w:rFonts w:hint="eastAsia" w:ascii="宋体" w:hAnsi="宋体" w:cs="宋体"/>
                <w:kern w:val="0"/>
                <w:sz w:val="22"/>
                <w:szCs w:val="22"/>
                <w:lang w:bidi="ar"/>
              </w:rPr>
              <w:t>1</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1</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2000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3000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sz w:val="22"/>
                <w:szCs w:val="22"/>
              </w:rPr>
            </w:pPr>
            <w:r>
              <w:rPr>
                <w:rFonts w:hint="eastAsia" w:ascii="宋体" w:hAnsi="宋体" w:cs="宋体"/>
                <w:kern w:val="0"/>
                <w:sz w:val="22"/>
                <w:szCs w:val="22"/>
                <w:lang w:bidi="ar"/>
              </w:rPr>
              <w:t>5000</w:t>
            </w:r>
          </w:p>
        </w:tc>
        <w:tc>
          <w:tcPr>
            <w:tcW w:w="1337" w:type="dxa"/>
            <w:vMerge w:val="continue"/>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left"/>
              <w:rPr>
                <w:rFonts w:ascii="宋体" w:hAnsi="宋体" w:cs="宋体"/>
                <w:sz w:val="22"/>
                <w:szCs w:val="22"/>
              </w:rPr>
            </w:pPr>
          </w:p>
        </w:tc>
      </w:tr>
      <w:tr>
        <w:tblPrEx>
          <w:tblCellMar>
            <w:top w:w="0" w:type="dxa"/>
            <w:left w:w="0" w:type="dxa"/>
            <w:bottom w:w="0" w:type="dxa"/>
            <w:right w:w="0" w:type="dxa"/>
          </w:tblCellMar>
        </w:tblPrEx>
        <w:trPr>
          <w:trHeight w:val="400" w:hRule="atLeast"/>
        </w:trPr>
        <w:tc>
          <w:tcPr>
            <w:tcW w:w="527"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ind w:firstLine="0" w:firstLineChars="0"/>
              <w:jc w:val="center"/>
              <w:rPr>
                <w:rFonts w:ascii="宋体" w:hAnsi="宋体" w:cs="宋体"/>
                <w:b/>
                <w:sz w:val="22"/>
                <w:szCs w:val="22"/>
              </w:rPr>
            </w:pPr>
          </w:p>
        </w:tc>
        <w:tc>
          <w:tcPr>
            <w:tcW w:w="12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sz w:val="22"/>
                <w:szCs w:val="22"/>
              </w:rPr>
            </w:pPr>
            <w:r>
              <w:rPr>
                <w:rFonts w:hint="eastAsia" w:ascii="宋体" w:hAnsi="宋体" w:cs="宋体"/>
                <w:b/>
                <w:kern w:val="0"/>
                <w:sz w:val="22"/>
                <w:szCs w:val="22"/>
                <w:lang w:bidi="ar"/>
              </w:rPr>
              <w:t>总计</w:t>
            </w:r>
          </w:p>
        </w:tc>
        <w:tc>
          <w:tcPr>
            <w:tcW w:w="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151</w:t>
            </w:r>
          </w:p>
        </w:tc>
        <w:tc>
          <w:tcPr>
            <w:tcW w:w="5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25</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183</w:t>
            </w:r>
          </w:p>
        </w:tc>
        <w:tc>
          <w:tcPr>
            <w:tcW w:w="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427000</w:t>
            </w: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40300</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44000</w:t>
            </w:r>
          </w:p>
        </w:tc>
        <w:tc>
          <w:tcPr>
            <w:tcW w:w="7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69000</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textAlignment w:val="center"/>
              <w:rPr>
                <w:rFonts w:ascii="宋体" w:hAnsi="宋体" w:cs="宋体"/>
                <w:b/>
                <w:sz w:val="22"/>
                <w:szCs w:val="22"/>
              </w:rPr>
            </w:pPr>
            <w:r>
              <w:rPr>
                <w:rFonts w:hint="eastAsia" w:ascii="宋体" w:hAnsi="宋体" w:cs="宋体"/>
                <w:b/>
                <w:kern w:val="0"/>
                <w:sz w:val="22"/>
                <w:szCs w:val="22"/>
                <w:lang w:bidi="ar"/>
              </w:rPr>
              <w:t>580300</w:t>
            </w:r>
          </w:p>
        </w:tc>
        <w:tc>
          <w:tcPr>
            <w:tcW w:w="1337"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sz w:val="22"/>
                <w:szCs w:val="22"/>
              </w:rPr>
            </w:pPr>
          </w:p>
        </w:tc>
      </w:tr>
    </w:tbl>
    <w:p>
      <w:pPr>
        <w:pStyle w:val="14"/>
        <w:spacing w:line="360" w:lineRule="auto"/>
        <w:ind w:firstLine="482"/>
        <w:rPr>
          <w:rFonts w:ascii="宋体" w:hAnsi="宋体" w:eastAsia="宋体" w:cs="宋体"/>
          <w:b/>
          <w:bCs/>
          <w:sz w:val="24"/>
        </w:rPr>
      </w:pPr>
      <w:r>
        <w:rPr>
          <w:rFonts w:hint="eastAsia" w:ascii="宋体" w:hAnsi="宋体" w:eastAsia="宋体" w:cs="宋体"/>
          <w:b/>
          <w:bCs/>
          <w:sz w:val="24"/>
        </w:rPr>
        <w:t>注：人员费用均未包含划入高新区街镇。</w:t>
      </w:r>
    </w:p>
    <w:p>
      <w:pPr>
        <w:ind w:firstLine="723"/>
        <w:rPr>
          <w:b/>
          <w:color w:val="000000"/>
          <w:sz w:val="36"/>
        </w:rPr>
      </w:pPr>
      <w:bookmarkStart w:id="331" w:name="_Toc577"/>
      <w:bookmarkStart w:id="332" w:name="_Toc92983379"/>
      <w:bookmarkStart w:id="333" w:name="_Toc85360585"/>
      <w:r>
        <w:rPr>
          <w:b/>
          <w:color w:val="000000"/>
          <w:sz w:val="36"/>
        </w:rPr>
        <w:br w:type="page"/>
      </w:r>
    </w:p>
    <w:p>
      <w:pPr>
        <w:pStyle w:val="4"/>
        <w:spacing w:line="360" w:lineRule="auto"/>
        <w:rPr>
          <w:rFonts w:ascii="Times New Roman" w:hAnsi="Times New Roman"/>
          <w:color w:val="000000"/>
        </w:rPr>
      </w:pPr>
      <w:r>
        <w:rPr>
          <w:rFonts w:ascii="Times New Roman" w:hAnsi="Times New Roman"/>
          <w:color w:val="000000"/>
        </w:rPr>
        <w:t>第</w:t>
      </w:r>
      <w:r>
        <w:rPr>
          <w:rFonts w:hint="eastAsia" w:ascii="Times New Roman" w:hAnsi="Times New Roman"/>
          <w:color w:val="000000"/>
        </w:rPr>
        <w:t>八</w:t>
      </w:r>
      <w:r>
        <w:rPr>
          <w:rFonts w:ascii="Times New Roman" w:hAnsi="Times New Roman"/>
          <w:color w:val="000000"/>
        </w:rPr>
        <w:t>章  经费估算及筹措</w:t>
      </w:r>
      <w:bookmarkEnd w:id="331"/>
      <w:bookmarkEnd w:id="332"/>
      <w:bookmarkEnd w:id="333"/>
    </w:p>
    <w:p>
      <w:pPr>
        <w:ind w:firstLine="560"/>
        <w:rPr>
          <w:color w:val="000000"/>
        </w:rPr>
      </w:pPr>
      <w:bookmarkStart w:id="334" w:name="_Toc65987379"/>
      <w:bookmarkStart w:id="335" w:name="_Toc60398869"/>
      <w:bookmarkStart w:id="336" w:name="_Toc193701760"/>
      <w:bookmarkStart w:id="337" w:name="_Toc305943687"/>
      <w:bookmarkStart w:id="338" w:name="_Toc298832071"/>
    </w:p>
    <w:p>
      <w:pPr>
        <w:pStyle w:val="5"/>
        <w:rPr>
          <w:rFonts w:ascii="Times New Roman" w:hAnsi="Times New Roman"/>
          <w:color w:val="000000"/>
          <w:sz w:val="30"/>
          <w:szCs w:val="30"/>
        </w:rPr>
      </w:pPr>
      <w:bookmarkStart w:id="339" w:name="_Toc30195"/>
      <w:r>
        <w:rPr>
          <w:rFonts w:ascii="Times New Roman" w:hAnsi="Times New Roman"/>
          <w:color w:val="000000"/>
          <w:sz w:val="30"/>
          <w:szCs w:val="30"/>
        </w:rPr>
        <w:t>第一节  估算依据</w:t>
      </w:r>
      <w:bookmarkEnd w:id="334"/>
      <w:bookmarkEnd w:id="335"/>
      <w:bookmarkEnd w:id="336"/>
      <w:bookmarkEnd w:id="337"/>
      <w:bookmarkEnd w:id="338"/>
      <w:bookmarkEnd w:id="339"/>
    </w:p>
    <w:p>
      <w:pPr>
        <w:ind w:firstLine="560"/>
        <w:rPr>
          <w:color w:val="000000"/>
        </w:rPr>
      </w:pPr>
      <w:bookmarkStart w:id="340" w:name="_Toc279017476"/>
      <w:bookmarkStart w:id="341" w:name="_Toc277341381"/>
      <w:r>
        <w:rPr>
          <w:color w:val="000000"/>
        </w:rPr>
        <w:t>本次</w:t>
      </w:r>
      <w:r>
        <w:rPr>
          <w:rFonts w:hint="eastAsia"/>
          <w:color w:val="000000"/>
        </w:rPr>
        <w:t>规划</w:t>
      </w:r>
      <w:r>
        <w:rPr>
          <w:color w:val="000000"/>
        </w:rPr>
        <w:t>费用估算是按20</w:t>
      </w:r>
      <w:r>
        <w:rPr>
          <w:rFonts w:hint="eastAsia"/>
          <w:color w:val="000000"/>
        </w:rPr>
        <w:t>19</w:t>
      </w:r>
      <w:r>
        <w:rPr>
          <w:color w:val="000000"/>
        </w:rPr>
        <w:t>年物价水平进行的，为静态价格，随时间延续，物价水平波动，具体费用可能会有所变化，以工程实施当年计算为准。费用估算依据国土资源部、财政部有关地质调查项目管理的相关要求执行，主要依据有：</w:t>
      </w:r>
    </w:p>
    <w:p>
      <w:pPr>
        <w:ind w:firstLine="560"/>
        <w:rPr>
          <w:color w:val="000000"/>
        </w:rPr>
      </w:pPr>
      <w:r>
        <w:rPr>
          <w:rFonts w:hint="eastAsia"/>
          <w:color w:val="000000"/>
        </w:rPr>
        <w:t>①</w:t>
      </w:r>
      <w:r>
        <w:rPr>
          <w:color w:val="000000"/>
        </w:rPr>
        <w:t>《中央地质勘查基金项目预算标准（试用）》（财政部、国土资源部批准，2011）；</w:t>
      </w:r>
    </w:p>
    <w:p>
      <w:pPr>
        <w:ind w:firstLine="560"/>
        <w:rPr>
          <w:color w:val="000000"/>
        </w:rPr>
      </w:pPr>
      <w:r>
        <w:rPr>
          <w:rFonts w:hint="eastAsia"/>
          <w:color w:val="000000"/>
        </w:rPr>
        <w:t>②《财政部国土资源部关于支持重点省份开展地质灾害综合防治体系建设的通知》（财建[2018]163 号）；</w:t>
      </w:r>
    </w:p>
    <w:p>
      <w:pPr>
        <w:ind w:firstLine="560"/>
        <w:rPr>
          <w:color w:val="000000"/>
        </w:rPr>
      </w:pPr>
      <w:r>
        <w:rPr>
          <w:rFonts w:hint="eastAsia"/>
          <w:color w:val="000000"/>
        </w:rPr>
        <w:t>③《特大型地质灾害防治专项资金管理办法》（财建[2014]886号）；</w:t>
      </w:r>
    </w:p>
    <w:p>
      <w:pPr>
        <w:ind w:firstLine="560"/>
        <w:rPr>
          <w:color w:val="000000"/>
        </w:rPr>
      </w:pPr>
      <w:r>
        <w:rPr>
          <w:rFonts w:hint="eastAsia"/>
          <w:color w:val="000000"/>
        </w:rPr>
        <w:t>④重庆市国土房管局重庆市财政局关于印发《重庆市市级地质灾害防治项目及资金管理办法》的通知(渝国土房管[2017]1080 号);</w:t>
      </w:r>
    </w:p>
    <w:p>
      <w:pPr>
        <w:ind w:firstLine="560"/>
        <w:rPr>
          <w:color w:val="000000"/>
        </w:rPr>
      </w:pPr>
      <w:r>
        <w:rPr>
          <w:rFonts w:hint="eastAsia"/>
          <w:color w:val="000000"/>
        </w:rPr>
        <w:t>⑤《中国地质调查局关于地质矿产调查评价项目预算编制和审查要求（试行）的通知》（中地调函[2010]88 号文）；</w:t>
      </w:r>
    </w:p>
    <w:p>
      <w:pPr>
        <w:ind w:firstLine="560"/>
        <w:rPr>
          <w:color w:val="000000"/>
        </w:rPr>
      </w:pPr>
      <w:r>
        <w:rPr>
          <w:rFonts w:hint="eastAsia"/>
          <w:color w:val="000000"/>
        </w:rPr>
        <w:t>⑥《地质调查项目预算标准（2010 年试用）》（中国地质调查局）；</w:t>
      </w:r>
    </w:p>
    <w:p>
      <w:pPr>
        <w:ind w:firstLine="560"/>
        <w:rPr>
          <w:color w:val="000000"/>
        </w:rPr>
      </w:pPr>
      <w:r>
        <w:rPr>
          <w:rFonts w:hint="eastAsia"/>
          <w:color w:val="000000"/>
        </w:rPr>
        <w:t>⑦《工程勘察与设计收费标准》（2002 年修订本）；</w:t>
      </w:r>
    </w:p>
    <w:p>
      <w:pPr>
        <w:ind w:firstLine="560"/>
        <w:rPr>
          <w:color w:val="000000"/>
        </w:rPr>
      </w:pPr>
      <w:r>
        <w:rPr>
          <w:rFonts w:hint="eastAsia"/>
          <w:color w:val="000000"/>
        </w:rPr>
        <w:t>⑧重庆市已有类似地质灾害防治项目实施情况；</w:t>
      </w:r>
    </w:p>
    <w:p>
      <w:pPr>
        <w:ind w:firstLine="560"/>
        <w:rPr>
          <w:color w:val="000000"/>
        </w:rPr>
      </w:pPr>
      <w:r>
        <w:rPr>
          <w:rFonts w:hint="eastAsia"/>
          <w:color w:val="000000"/>
        </w:rPr>
        <w:t>⑨</w:t>
      </w:r>
      <w:r>
        <w:rPr>
          <w:color w:val="000000"/>
        </w:rPr>
        <w:t>重庆市</w:t>
      </w:r>
      <w:r>
        <w:rPr>
          <w:rFonts w:hint="eastAsia"/>
          <w:color w:val="000000"/>
        </w:rPr>
        <w:t>及沙坪坝区</w:t>
      </w:r>
      <w:r>
        <w:rPr>
          <w:color w:val="000000"/>
        </w:rPr>
        <w:t>地质灾害防治有关资金使用规定等相关文件；</w:t>
      </w:r>
    </w:p>
    <w:p>
      <w:pPr>
        <w:ind w:firstLine="560"/>
        <w:rPr>
          <w:color w:val="000000"/>
        </w:rPr>
      </w:pPr>
      <w:r>
        <w:rPr>
          <w:rFonts w:hint="eastAsia"/>
          <w:color w:val="000000"/>
        </w:rPr>
        <w:t>⑩沙坪坝区</w:t>
      </w:r>
      <w:r>
        <w:rPr>
          <w:color w:val="000000"/>
        </w:rPr>
        <w:t>已有地质灾害防治项目情况。</w:t>
      </w:r>
      <w:bookmarkEnd w:id="340"/>
      <w:bookmarkEnd w:id="341"/>
      <w:bookmarkStart w:id="342" w:name="_Toc309849904"/>
      <w:bookmarkStart w:id="343" w:name="_Toc286843083"/>
    </w:p>
    <w:p>
      <w:pPr>
        <w:ind w:firstLine="560"/>
        <w:rPr>
          <w:color w:val="000000"/>
        </w:rPr>
      </w:pPr>
    </w:p>
    <w:p>
      <w:pPr>
        <w:pStyle w:val="5"/>
        <w:rPr>
          <w:rFonts w:ascii="Times New Roman" w:hAnsi="Times New Roman"/>
          <w:color w:val="000000"/>
          <w:sz w:val="30"/>
          <w:szCs w:val="30"/>
        </w:rPr>
      </w:pPr>
      <w:bookmarkStart w:id="344" w:name="_Toc20530"/>
      <w:r>
        <w:rPr>
          <w:rFonts w:ascii="Times New Roman" w:hAnsi="Times New Roman"/>
          <w:color w:val="000000"/>
          <w:sz w:val="30"/>
          <w:szCs w:val="30"/>
        </w:rPr>
        <w:t>第二节  经费估算</w:t>
      </w:r>
      <w:bookmarkEnd w:id="344"/>
    </w:p>
    <w:bookmarkEnd w:id="342"/>
    <w:bookmarkEnd w:id="343"/>
    <w:p>
      <w:pPr>
        <w:ind w:firstLine="560"/>
        <w:rPr>
          <w:color w:val="000000"/>
        </w:rPr>
      </w:pPr>
      <w:r>
        <w:rPr>
          <w:color w:val="000000"/>
        </w:rPr>
        <w:t>重庆市地质灾害防治规划经费估算主要包括：</w:t>
      </w:r>
      <w:r>
        <w:rPr>
          <w:rFonts w:hint="eastAsia"/>
          <w:color w:val="000000"/>
        </w:rPr>
        <w:t>调查评价</w:t>
      </w:r>
      <w:r>
        <w:rPr>
          <w:color w:val="000000"/>
        </w:rPr>
        <w:t>经费、监测预警经费、</w:t>
      </w:r>
      <w:r>
        <w:rPr>
          <w:rFonts w:hint="eastAsia"/>
          <w:color w:val="000000"/>
        </w:rPr>
        <w:t>综合治理</w:t>
      </w:r>
      <w:r>
        <w:rPr>
          <w:color w:val="000000"/>
        </w:rPr>
        <w:t>经费、</w:t>
      </w:r>
      <w:r>
        <w:rPr>
          <w:rFonts w:hint="eastAsia"/>
          <w:color w:val="000000"/>
        </w:rPr>
        <w:t>能力建设</w:t>
      </w:r>
      <w:r>
        <w:rPr>
          <w:color w:val="000000"/>
        </w:rPr>
        <w:t>经费、</w:t>
      </w:r>
      <w:r>
        <w:rPr>
          <w:rFonts w:hint="eastAsia"/>
          <w:color w:val="000000"/>
        </w:rPr>
        <w:t>科普宣传</w:t>
      </w:r>
      <w:r>
        <w:rPr>
          <w:color w:val="000000"/>
        </w:rPr>
        <w:t>经费、</w:t>
      </w:r>
      <w:r>
        <w:rPr>
          <w:rFonts w:hint="eastAsia"/>
          <w:color w:val="000000"/>
        </w:rPr>
        <w:t>科学研究</w:t>
      </w:r>
      <w:r>
        <w:rPr>
          <w:color w:val="000000"/>
        </w:rPr>
        <w:t>经费、地质灾害应急抢险救援经费等</w:t>
      </w:r>
      <w:r>
        <w:rPr>
          <w:rFonts w:hint="eastAsia"/>
          <w:color w:val="000000"/>
        </w:rPr>
        <w:t>七</w:t>
      </w:r>
      <w:r>
        <w:rPr>
          <w:color w:val="000000"/>
        </w:rPr>
        <w:t>部分。经估算“十</w:t>
      </w:r>
      <w:r>
        <w:rPr>
          <w:rFonts w:hint="eastAsia"/>
          <w:color w:val="000000"/>
        </w:rPr>
        <w:t>三</w:t>
      </w:r>
      <w:r>
        <w:rPr>
          <w:color w:val="000000"/>
        </w:rPr>
        <w:t>五”期间，沙坪坝区地质灾害防治总经费约</w:t>
      </w:r>
      <w:r>
        <w:rPr>
          <w:rFonts w:hint="eastAsia"/>
          <w:color w:val="000000"/>
        </w:rPr>
        <w:t>11932.25万</w:t>
      </w:r>
      <w:r>
        <w:rPr>
          <w:color w:val="000000"/>
        </w:rPr>
        <w:t>元（</w:t>
      </w:r>
      <w:r>
        <w:rPr>
          <w:rFonts w:hint="eastAsia"/>
          <w:color w:val="000000"/>
        </w:rPr>
        <w:t>表8-1</w:t>
      </w:r>
      <w:r>
        <w:rPr>
          <w:color w:val="000000"/>
        </w:rPr>
        <w:t>）。</w:t>
      </w:r>
    </w:p>
    <w:p>
      <w:pPr>
        <w:ind w:firstLine="442"/>
        <w:rPr>
          <w:b/>
          <w:bCs/>
          <w:color w:val="000000"/>
          <w:sz w:val="22"/>
          <w:szCs w:val="22"/>
        </w:rPr>
      </w:pPr>
      <w:r>
        <w:rPr>
          <w:b/>
          <w:bCs/>
          <w:color w:val="000000"/>
          <w:sz w:val="22"/>
          <w:szCs w:val="22"/>
        </w:rPr>
        <w:br w:type="page"/>
      </w:r>
    </w:p>
    <w:p>
      <w:pPr>
        <w:spacing w:before="120" w:beforeLines="50" w:after="120" w:afterLines="50"/>
        <w:ind w:firstLine="442"/>
        <w:jc w:val="center"/>
        <w:rPr>
          <w:color w:val="000000"/>
          <w:sz w:val="24"/>
        </w:rPr>
      </w:pPr>
      <w:r>
        <w:rPr>
          <w:b/>
          <w:bCs/>
          <w:color w:val="000000"/>
          <w:sz w:val="22"/>
          <w:szCs w:val="22"/>
        </w:rPr>
        <w:t>表</w:t>
      </w:r>
      <w:r>
        <w:rPr>
          <w:rFonts w:hint="eastAsia"/>
          <w:b/>
          <w:bCs/>
          <w:color w:val="000000"/>
          <w:sz w:val="22"/>
          <w:szCs w:val="22"/>
        </w:rPr>
        <w:t xml:space="preserve">8-1   </w:t>
      </w:r>
      <w:r>
        <w:rPr>
          <w:b/>
          <w:bCs/>
          <w:color w:val="000000"/>
          <w:sz w:val="22"/>
          <w:szCs w:val="22"/>
        </w:rPr>
        <w:t>重庆市沙坪坝区</w:t>
      </w:r>
      <w:r>
        <w:rPr>
          <w:rFonts w:hint="eastAsia"/>
          <w:b/>
          <w:bCs/>
          <w:color w:val="000000"/>
          <w:sz w:val="22"/>
          <w:szCs w:val="22"/>
        </w:rPr>
        <w:t>“十三五”</w:t>
      </w:r>
      <w:r>
        <w:rPr>
          <w:b/>
          <w:bCs/>
          <w:color w:val="000000"/>
          <w:sz w:val="22"/>
          <w:szCs w:val="22"/>
        </w:rPr>
        <w:t xml:space="preserve">地质灾害防治规划费用表  </w:t>
      </w:r>
      <w:r>
        <w:rPr>
          <w:color w:val="000000"/>
          <w:sz w:val="24"/>
        </w:rPr>
        <w:t xml:space="preserve"> </w:t>
      </w:r>
    </w:p>
    <w:tbl>
      <w:tblPr>
        <w:tblStyle w:val="36"/>
        <w:tblW w:w="0" w:type="auto"/>
        <w:tblInd w:w="0" w:type="dxa"/>
        <w:tblLayout w:type="fixed"/>
        <w:tblCellMar>
          <w:top w:w="0" w:type="dxa"/>
          <w:left w:w="0" w:type="dxa"/>
          <w:bottom w:w="0" w:type="dxa"/>
          <w:right w:w="0" w:type="dxa"/>
        </w:tblCellMar>
      </w:tblPr>
      <w:tblGrid>
        <w:gridCol w:w="355"/>
        <w:gridCol w:w="2476"/>
        <w:gridCol w:w="602"/>
        <w:gridCol w:w="604"/>
        <w:gridCol w:w="520"/>
        <w:gridCol w:w="602"/>
        <w:gridCol w:w="603"/>
        <w:gridCol w:w="1337"/>
        <w:gridCol w:w="1801"/>
      </w:tblGrid>
      <w:tr>
        <w:tblPrEx>
          <w:tblCellMar>
            <w:top w:w="0" w:type="dxa"/>
            <w:left w:w="0" w:type="dxa"/>
            <w:bottom w:w="0" w:type="dxa"/>
            <w:right w:w="0" w:type="dxa"/>
          </w:tblCellMar>
        </w:tblPrEx>
        <w:trPr>
          <w:trHeight w:val="454" w:hRule="exact"/>
        </w:trPr>
        <w:tc>
          <w:tcPr>
            <w:tcW w:w="355" w:type="dxa"/>
            <w:vMerge w:val="restart"/>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序号</w:t>
            </w:r>
          </w:p>
        </w:tc>
        <w:tc>
          <w:tcPr>
            <w:tcW w:w="2476" w:type="dxa"/>
            <w:vMerge w:val="restart"/>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建设内容</w:t>
            </w:r>
          </w:p>
        </w:tc>
        <w:tc>
          <w:tcPr>
            <w:tcW w:w="2931" w:type="dxa"/>
            <w:gridSpan w:val="5"/>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年度费用（万元）</w:t>
            </w:r>
          </w:p>
        </w:tc>
        <w:tc>
          <w:tcPr>
            <w:tcW w:w="1337" w:type="dxa"/>
            <w:vMerge w:val="restart"/>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估算经费（万元）</w:t>
            </w:r>
          </w:p>
        </w:tc>
        <w:tc>
          <w:tcPr>
            <w:tcW w:w="1801" w:type="dxa"/>
            <w:vMerge w:val="restart"/>
            <w:tcBorders>
              <w:top w:val="single" w:color="000000" w:sz="8" w:space="0"/>
              <w:left w:val="single" w:color="000000" w:sz="4" w:space="0"/>
              <w:bottom w:val="single" w:color="000000" w:sz="4"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资金来源</w:t>
            </w:r>
          </w:p>
        </w:tc>
      </w:tr>
      <w:tr>
        <w:tblPrEx>
          <w:tblCellMar>
            <w:top w:w="0" w:type="dxa"/>
            <w:left w:w="0" w:type="dxa"/>
            <w:bottom w:w="0" w:type="dxa"/>
            <w:right w:w="0" w:type="dxa"/>
          </w:tblCellMar>
        </w:tblPrEx>
        <w:trPr>
          <w:trHeight w:val="454" w:hRule="exact"/>
        </w:trPr>
        <w:tc>
          <w:tcPr>
            <w:tcW w:w="355" w:type="dxa"/>
            <w:vMerge w:val="continue"/>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continue"/>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2019</w:t>
            </w: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2020</w:t>
            </w: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2021</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2022</w:t>
            </w: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2023</w:t>
            </w:r>
          </w:p>
        </w:tc>
        <w:tc>
          <w:tcPr>
            <w:tcW w:w="1337" w:type="dxa"/>
            <w:vMerge w:val="continue"/>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1801" w:type="dxa"/>
            <w:vMerge w:val="continue"/>
            <w:tcBorders>
              <w:top w:val="single" w:color="000000" w:sz="8" w:space="0"/>
              <w:left w:val="single" w:color="000000" w:sz="4" w:space="0"/>
              <w:bottom w:val="single" w:color="000000" w:sz="4"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r>
      <w:tr>
        <w:tblPrEx>
          <w:tblCellMar>
            <w:top w:w="0" w:type="dxa"/>
            <w:left w:w="0" w:type="dxa"/>
            <w:bottom w:w="0" w:type="dxa"/>
            <w:right w:w="0" w:type="dxa"/>
          </w:tblCellMar>
        </w:tblPrEx>
        <w:trPr>
          <w:trHeight w:val="454" w:hRule="exact"/>
        </w:trPr>
        <w:tc>
          <w:tcPr>
            <w:tcW w:w="355" w:type="dxa"/>
            <w:vMerge w:val="restart"/>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1</w:t>
            </w:r>
          </w:p>
        </w:tc>
        <w:tc>
          <w:tcPr>
            <w:tcW w:w="2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调查评价</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21"/>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610</w:t>
            </w:r>
          </w:p>
        </w:tc>
        <w:tc>
          <w:tcPr>
            <w:tcW w:w="180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4" w:hRule="exact"/>
        </w:trPr>
        <w:tc>
          <w:tcPr>
            <w:tcW w:w="355" w:type="dxa"/>
            <w:vMerge w:val="continue"/>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地质灾害精细化调查</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150</w:t>
            </w: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150</w:t>
            </w:r>
          </w:p>
        </w:tc>
        <w:tc>
          <w:tcPr>
            <w:tcW w:w="180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中央财政</w:t>
            </w:r>
          </w:p>
        </w:tc>
      </w:tr>
      <w:tr>
        <w:tblPrEx>
          <w:tblCellMar>
            <w:top w:w="0" w:type="dxa"/>
            <w:left w:w="0" w:type="dxa"/>
            <w:bottom w:w="0" w:type="dxa"/>
            <w:right w:w="0" w:type="dxa"/>
          </w:tblCellMar>
        </w:tblPrEx>
        <w:trPr>
          <w:trHeight w:val="454" w:hRule="exact"/>
        </w:trPr>
        <w:tc>
          <w:tcPr>
            <w:tcW w:w="355" w:type="dxa"/>
            <w:vMerge w:val="continue"/>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重大地质灾害隐患点控制性勘察</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120</w:t>
            </w: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80</w:t>
            </w: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40</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80</w:t>
            </w: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40</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360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市级财政</w:t>
            </w:r>
          </w:p>
        </w:tc>
      </w:tr>
      <w:tr>
        <w:tblPrEx>
          <w:tblCellMar>
            <w:top w:w="0" w:type="dxa"/>
            <w:left w:w="0" w:type="dxa"/>
            <w:bottom w:w="0" w:type="dxa"/>
            <w:right w:w="0" w:type="dxa"/>
          </w:tblCellMar>
        </w:tblPrEx>
        <w:trPr>
          <w:trHeight w:val="454" w:hRule="exact"/>
        </w:trPr>
        <w:tc>
          <w:tcPr>
            <w:tcW w:w="355" w:type="dxa"/>
            <w:vMerge w:val="continue"/>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重点集镇调勘查</w:t>
            </w:r>
          </w:p>
        </w:tc>
        <w:tc>
          <w:tcPr>
            <w:tcW w:w="602"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4"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520"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100</w:t>
            </w:r>
          </w:p>
        </w:tc>
        <w:tc>
          <w:tcPr>
            <w:tcW w:w="603"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337"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100</w:t>
            </w:r>
          </w:p>
        </w:tc>
        <w:tc>
          <w:tcPr>
            <w:tcW w:w="1801"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中央财政</w:t>
            </w:r>
          </w:p>
        </w:tc>
      </w:tr>
      <w:tr>
        <w:tblPrEx>
          <w:tblCellMar>
            <w:top w:w="0" w:type="dxa"/>
            <w:left w:w="0" w:type="dxa"/>
            <w:bottom w:w="0" w:type="dxa"/>
            <w:right w:w="0" w:type="dxa"/>
          </w:tblCellMar>
        </w:tblPrEx>
        <w:trPr>
          <w:trHeight w:val="454" w:hRule="exact"/>
        </w:trPr>
        <w:tc>
          <w:tcPr>
            <w:tcW w:w="355" w:type="dxa"/>
            <w:vMerge w:val="restar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w:t>
            </w: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监测预警</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1"/>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2378.14</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专业监测</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680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三级监测预警</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704</w:t>
            </w:r>
          </w:p>
        </w:tc>
        <w:tc>
          <w:tcPr>
            <w:tcW w:w="604"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520"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603"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176</w:t>
            </w:r>
          </w:p>
        </w:tc>
        <w:tc>
          <w:tcPr>
            <w:tcW w:w="1337"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1408</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市级财政528万</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区级财政880万</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群测群防</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72.38 </w:t>
            </w:r>
          </w:p>
        </w:tc>
        <w:tc>
          <w:tcPr>
            <w:tcW w:w="604"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54.44 </w:t>
            </w:r>
          </w:p>
        </w:tc>
        <w:tc>
          <w:tcPr>
            <w:tcW w:w="520"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54.44 </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54.44 </w:t>
            </w:r>
          </w:p>
        </w:tc>
        <w:tc>
          <w:tcPr>
            <w:tcW w:w="603"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 xml:space="preserve">54.44 </w:t>
            </w:r>
          </w:p>
        </w:tc>
        <w:tc>
          <w:tcPr>
            <w:tcW w:w="1337"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290.14</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市级财政123.54万</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4"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520"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3"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337"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区级财政166.6万</w:t>
            </w:r>
          </w:p>
        </w:tc>
      </w:tr>
      <w:tr>
        <w:tblPrEx>
          <w:tblCellMar>
            <w:top w:w="0" w:type="dxa"/>
            <w:left w:w="0" w:type="dxa"/>
            <w:bottom w:w="0" w:type="dxa"/>
            <w:right w:w="0" w:type="dxa"/>
          </w:tblCellMar>
        </w:tblPrEx>
        <w:trPr>
          <w:trHeight w:val="454" w:hRule="exact"/>
        </w:trPr>
        <w:tc>
          <w:tcPr>
            <w:tcW w:w="355" w:type="dxa"/>
            <w:vMerge w:val="restar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3</w:t>
            </w: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工程治理和搬迁避让</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1"/>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8021</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特大型地质灾害点治理</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587</w:t>
            </w: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587</w:t>
            </w:r>
          </w:p>
        </w:tc>
        <w:tc>
          <w:tcPr>
            <w:tcW w:w="18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中央财政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大型地质灾害点治理</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1850</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1277</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1023</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4150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市级财政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高位地质灾害治理</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415</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85</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500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市级财政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应急抢险及中小型地灾治理</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300</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300</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300</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300</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300</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1500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区级财政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重点集镇的综合治理</w:t>
            </w: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5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p>
        </w:tc>
        <w:tc>
          <w:tcPr>
            <w:tcW w:w="60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1034</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32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1034</w:t>
            </w:r>
          </w:p>
        </w:tc>
        <w:tc>
          <w:tcPr>
            <w:tcW w:w="18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中央财政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搬迁避让</w:t>
            </w:r>
          </w:p>
        </w:tc>
        <w:tc>
          <w:tcPr>
            <w:tcW w:w="602"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04"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520"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02"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603" w:type="dxa"/>
            <w:vMerge w:val="restart"/>
            <w:tcBorders>
              <w:top w:val="nil"/>
              <w:left w:val="nil"/>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50</w:t>
            </w:r>
          </w:p>
        </w:tc>
        <w:tc>
          <w:tcPr>
            <w:tcW w:w="1337" w:type="dxa"/>
            <w:vMerge w:val="restart"/>
            <w:tcBorders>
              <w:top w:val="nil"/>
              <w:left w:val="nil"/>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250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区级财政150万  </w:t>
            </w:r>
          </w:p>
        </w:tc>
      </w:tr>
      <w:tr>
        <w:tblPrEx>
          <w:tblCellMar>
            <w:top w:w="0" w:type="dxa"/>
            <w:left w:w="0" w:type="dxa"/>
            <w:bottom w:w="0" w:type="dxa"/>
            <w:right w:w="0" w:type="dxa"/>
          </w:tblCellMar>
        </w:tblPrEx>
        <w:trPr>
          <w:trHeight w:val="454" w:hRule="exact"/>
        </w:trPr>
        <w:tc>
          <w:tcPr>
            <w:tcW w:w="355" w:type="dxa"/>
            <w:vMerge w:val="continue"/>
            <w:tcBorders>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2476"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602"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604"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520"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602"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603"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1337" w:type="dxa"/>
            <w:vMerge w:val="continue"/>
            <w:tcBorders>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pP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市级财政100万</w:t>
            </w:r>
          </w:p>
        </w:tc>
      </w:tr>
      <w:tr>
        <w:tblPrEx>
          <w:tblCellMar>
            <w:top w:w="0" w:type="dxa"/>
            <w:left w:w="0" w:type="dxa"/>
            <w:bottom w:w="0" w:type="dxa"/>
            <w:right w:w="0" w:type="dxa"/>
          </w:tblCellMar>
        </w:tblPrEx>
        <w:trPr>
          <w:trHeight w:val="454" w:hRule="exact"/>
        </w:trPr>
        <w:tc>
          <w:tcPr>
            <w:tcW w:w="355" w:type="dxa"/>
            <w:vMerge w:val="restar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4</w:t>
            </w: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能力建设</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1"/>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300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技术支撑队伍建设</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04"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520"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02"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603"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60</w:t>
            </w:r>
          </w:p>
        </w:tc>
        <w:tc>
          <w:tcPr>
            <w:tcW w:w="1337" w:type="dxa"/>
            <w:vMerge w:val="restart"/>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300</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市级财政150万</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vMerge w:val="continue"/>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区级财政150万</w:t>
            </w:r>
          </w:p>
        </w:tc>
      </w:tr>
      <w:tr>
        <w:tblPrEx>
          <w:tblCellMar>
            <w:top w:w="0" w:type="dxa"/>
            <w:left w:w="0" w:type="dxa"/>
            <w:bottom w:w="0" w:type="dxa"/>
            <w:right w:w="0" w:type="dxa"/>
          </w:tblCellMar>
        </w:tblPrEx>
        <w:trPr>
          <w:trHeight w:val="454" w:hRule="exact"/>
        </w:trPr>
        <w:tc>
          <w:tcPr>
            <w:tcW w:w="355" w:type="dxa"/>
            <w:vMerge w:val="restart"/>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5</w:t>
            </w: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科普宣传</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1"/>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333.65</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群测群防员业务培训</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4.73</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23.65</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单点地灾隐患点避险演练</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48.7</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243.5</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区地质灾害防治工作经验交流宣传</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8.1</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40.5</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w:t>
            </w:r>
          </w:p>
        </w:tc>
      </w:tr>
      <w:tr>
        <w:tblPrEx>
          <w:tblCellMar>
            <w:top w:w="0" w:type="dxa"/>
            <w:left w:w="0" w:type="dxa"/>
            <w:bottom w:w="0" w:type="dxa"/>
            <w:right w:w="0" w:type="dxa"/>
          </w:tblCellMar>
        </w:tblPrEx>
        <w:trPr>
          <w:trHeight w:val="454" w:hRule="exact"/>
        </w:trPr>
        <w:tc>
          <w:tcPr>
            <w:tcW w:w="355" w:type="dxa"/>
            <w:vMerge w:val="continue"/>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b/>
                <w:color w:val="000000"/>
                <w:sz w:val="16"/>
                <w:szCs w:val="16"/>
              </w:rPr>
            </w:pP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区地灾灾害综合避险培训</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5.2</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32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26</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区级财政</w:t>
            </w:r>
          </w:p>
        </w:tc>
      </w:tr>
      <w:tr>
        <w:tblPrEx>
          <w:tblCellMar>
            <w:top w:w="0" w:type="dxa"/>
            <w:left w:w="0" w:type="dxa"/>
            <w:bottom w:w="0" w:type="dxa"/>
            <w:right w:w="0" w:type="dxa"/>
          </w:tblCellMar>
        </w:tblPrEx>
        <w:trPr>
          <w:trHeight w:val="454" w:hRule="exact"/>
        </w:trPr>
        <w:tc>
          <w:tcPr>
            <w:tcW w:w="355"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sz w:val="16"/>
                <w:szCs w:val="16"/>
              </w:rPr>
            </w:pPr>
            <w:r>
              <w:rPr>
                <w:rFonts w:hint="eastAsia" w:ascii="宋体" w:hAnsi="宋体" w:cs="宋体"/>
                <w:b/>
                <w:color w:val="000000"/>
                <w:kern w:val="0"/>
                <w:sz w:val="16"/>
                <w:szCs w:val="16"/>
                <w:lang w:bidi="ar"/>
              </w:rPr>
              <w:t>总计</w:t>
            </w:r>
          </w:p>
        </w:tc>
        <w:tc>
          <w:tcPr>
            <w:tcW w:w="2476"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6"/>
                <w:szCs w:val="16"/>
              </w:rPr>
            </w:pP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3810.11</w:t>
            </w:r>
          </w:p>
        </w:tc>
        <w:tc>
          <w:tcPr>
            <w:tcW w:w="604"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3159.17</w:t>
            </w:r>
          </w:p>
        </w:tc>
        <w:tc>
          <w:tcPr>
            <w:tcW w:w="520"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747.17</w:t>
            </w:r>
          </w:p>
        </w:tc>
        <w:tc>
          <w:tcPr>
            <w:tcW w:w="602"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1910.17</w:t>
            </w:r>
          </w:p>
        </w:tc>
        <w:tc>
          <w:tcPr>
            <w:tcW w:w="603"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1866.17</w:t>
            </w:r>
          </w:p>
        </w:tc>
        <w:tc>
          <w:tcPr>
            <w:tcW w:w="1337"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textAlignment w:val="center"/>
              <w:rPr>
                <w:rFonts w:ascii="宋体" w:hAnsi="宋体" w:cs="宋体"/>
                <w:b/>
                <w:color w:val="000000"/>
                <w:kern w:val="0"/>
                <w:sz w:val="16"/>
                <w:szCs w:val="16"/>
                <w:lang w:bidi="ar"/>
              </w:rPr>
            </w:pPr>
            <w:r>
              <w:rPr>
                <w:rFonts w:hint="eastAsia" w:ascii="宋体" w:hAnsi="宋体" w:cs="宋体"/>
                <w:b/>
                <w:color w:val="000000"/>
                <w:kern w:val="0"/>
                <w:sz w:val="16"/>
                <w:szCs w:val="16"/>
                <w:lang w:bidi="ar"/>
              </w:rPr>
              <w:t>11642.79</w:t>
            </w:r>
          </w:p>
        </w:tc>
        <w:tc>
          <w:tcPr>
            <w:tcW w:w="1801" w:type="dxa"/>
            <w:tcBorders>
              <w:top w:val="nil"/>
              <w:left w:val="nil"/>
              <w:bottom w:val="single" w:color="000000" w:sz="8" w:space="0"/>
              <w:right w:val="single" w:color="000000" w:sz="8" w:space="0"/>
            </w:tcBorders>
            <w:tcMar>
              <w:top w:w="12" w:type="dxa"/>
              <w:left w:w="12" w:type="dxa"/>
              <w:right w:w="12" w:type="dxa"/>
            </w:tcMar>
            <w:vAlign w:val="center"/>
          </w:tcPr>
          <w:p>
            <w:pPr>
              <w:widowControl/>
              <w:ind w:firstLine="0" w:firstLineChars="0"/>
              <w:jc w:val="center"/>
              <w:rPr>
                <w:rFonts w:ascii="宋体" w:hAnsi="宋体" w:cs="宋体"/>
                <w:color w:val="000000"/>
                <w:sz w:val="18"/>
                <w:szCs w:val="18"/>
              </w:rPr>
            </w:pPr>
          </w:p>
        </w:tc>
      </w:tr>
    </w:tbl>
    <w:p>
      <w:pPr>
        <w:ind w:firstLine="602"/>
        <w:rPr>
          <w:b/>
          <w:bCs/>
          <w:color w:val="000000"/>
          <w:sz w:val="30"/>
          <w:szCs w:val="30"/>
        </w:rPr>
      </w:pPr>
      <w:bookmarkStart w:id="345" w:name="_Toc26403"/>
      <w:r>
        <w:rPr>
          <w:rFonts w:hint="eastAsia"/>
          <w:b/>
          <w:bCs/>
          <w:color w:val="000000"/>
          <w:sz w:val="30"/>
          <w:szCs w:val="30"/>
        </w:rPr>
        <w:br w:type="page"/>
      </w:r>
    </w:p>
    <w:p>
      <w:pPr>
        <w:pStyle w:val="5"/>
        <w:rPr>
          <w:rFonts w:ascii="Times New Roman" w:hAnsi="Times New Roman"/>
          <w:color w:val="000000"/>
          <w:sz w:val="30"/>
          <w:szCs w:val="30"/>
        </w:rPr>
      </w:pPr>
      <w:r>
        <w:rPr>
          <w:rFonts w:hint="eastAsia" w:ascii="Times New Roman" w:hAnsi="Times New Roman"/>
          <w:color w:val="000000"/>
          <w:sz w:val="30"/>
          <w:szCs w:val="30"/>
        </w:rPr>
        <w:t>第三节  资金筹措</w:t>
      </w:r>
      <w:bookmarkEnd w:id="345"/>
    </w:p>
    <w:p>
      <w:pPr>
        <w:ind w:firstLine="560"/>
        <w:rPr>
          <w:color w:val="000000"/>
        </w:rPr>
      </w:pPr>
      <w:r>
        <w:rPr>
          <w:rFonts w:hint="eastAsia"/>
          <w:color w:val="000000"/>
        </w:rPr>
        <w:t>筹措方案：重庆市地质灾害综合防治体系建设（2019-2023年）资金沙坪坝区总计11642.79万元，5 年内平均每年筹措专项资金2328.558万元，通过申请中央财政补助、市级预算专项安排、区县自筹解决以及和吸纳社会资金（详见表 7-1）。加强督查检查，提高中央资金的使用效率，确保中央财政资金绩效（表8-2）。</w:t>
      </w:r>
    </w:p>
    <w:p>
      <w:pPr>
        <w:ind w:firstLine="560"/>
        <w:rPr>
          <w:color w:val="000000"/>
        </w:rPr>
      </w:pPr>
      <w:r>
        <w:rPr>
          <w:rFonts w:hint="eastAsia"/>
          <w:color w:val="000000"/>
        </w:rPr>
        <w:t>申请中央财政补助：中央财政资金主要用于地质灾害调查、监测预警建设、能力建设、科学研究项目等基础性、公益性、专业性的工作以及特大型地质灾害工程治理、重点场镇地质灾害综合整治。</w:t>
      </w:r>
    </w:p>
    <w:p>
      <w:pPr>
        <w:ind w:firstLine="560"/>
        <w:rPr>
          <w:color w:val="000000"/>
        </w:rPr>
      </w:pPr>
      <w:r>
        <w:rPr>
          <w:rFonts w:hint="eastAsia"/>
          <w:color w:val="000000"/>
        </w:rPr>
        <w:t>申请市级财政配套资金 ：市级财政资金主要用于全市或专项地质灾害排查调查、监测预警建设、大型及以上地质灾害工程治理、搬迁避让补助、</w:t>
      </w:r>
    </w:p>
    <w:p>
      <w:pPr>
        <w:ind w:firstLine="0" w:firstLineChars="0"/>
        <w:rPr>
          <w:color w:val="000000"/>
        </w:rPr>
      </w:pPr>
      <w:r>
        <w:rPr>
          <w:rFonts w:hint="eastAsia"/>
          <w:color w:val="000000"/>
        </w:rPr>
        <w:t>群测群防和驻守地质工作补贴、科普宣传。</w:t>
      </w:r>
    </w:p>
    <w:p>
      <w:pPr>
        <w:ind w:firstLine="560"/>
        <w:rPr>
          <w:color w:val="000000"/>
        </w:rPr>
      </w:pPr>
      <w:r>
        <w:rPr>
          <w:rFonts w:hint="eastAsia"/>
          <w:color w:val="000000"/>
        </w:rPr>
        <w:t>区县级财政资金：主要用于年度地质灾害排查巡查、中型及以下地质灾害工程治理、应急抢险地质灾害、监测预警运行维护、“四重”网格员工作补助、搬迁避让、科普宣传和避险演练。</w:t>
      </w:r>
    </w:p>
    <w:p>
      <w:pPr>
        <w:spacing w:line="360" w:lineRule="auto"/>
        <w:ind w:firstLine="442"/>
        <w:jc w:val="center"/>
        <w:rPr>
          <w:b/>
          <w:bCs/>
          <w:color w:val="000000"/>
          <w:sz w:val="22"/>
          <w:szCs w:val="22"/>
        </w:rPr>
      </w:pPr>
      <w:r>
        <w:rPr>
          <w:rFonts w:hint="eastAsia"/>
          <w:b/>
          <w:bCs/>
          <w:color w:val="000000"/>
          <w:sz w:val="22"/>
          <w:szCs w:val="22"/>
        </w:rPr>
        <w:t xml:space="preserve">表8-2 </w:t>
      </w:r>
      <w:r>
        <w:rPr>
          <w:b/>
          <w:bCs/>
          <w:color w:val="000000"/>
          <w:sz w:val="22"/>
          <w:szCs w:val="22"/>
        </w:rPr>
        <w:t>重庆市沙坪坝区</w:t>
      </w:r>
      <w:r>
        <w:rPr>
          <w:rFonts w:hint="eastAsia"/>
          <w:b/>
          <w:bCs/>
          <w:color w:val="000000"/>
          <w:sz w:val="22"/>
          <w:szCs w:val="22"/>
        </w:rPr>
        <w:t>“十三五”</w:t>
      </w:r>
      <w:r>
        <w:rPr>
          <w:b/>
          <w:bCs/>
          <w:color w:val="000000"/>
          <w:sz w:val="22"/>
          <w:szCs w:val="22"/>
        </w:rPr>
        <w:t>地质灾害防治规划费用</w:t>
      </w:r>
      <w:r>
        <w:rPr>
          <w:rFonts w:hint="eastAsia"/>
          <w:b/>
          <w:bCs/>
          <w:color w:val="000000"/>
          <w:sz w:val="22"/>
          <w:szCs w:val="22"/>
        </w:rPr>
        <w:t>来源</w:t>
      </w:r>
      <w:r>
        <w:rPr>
          <w:b/>
          <w:bCs/>
          <w:color w:val="000000"/>
          <w:sz w:val="22"/>
          <w:szCs w:val="22"/>
        </w:rPr>
        <w:t>表</w:t>
      </w:r>
    </w:p>
    <w:tbl>
      <w:tblPr>
        <w:tblStyle w:val="36"/>
        <w:tblW w:w="0" w:type="auto"/>
        <w:jc w:val="center"/>
        <w:tblLayout w:type="fixed"/>
        <w:tblCellMar>
          <w:top w:w="0" w:type="dxa"/>
          <w:left w:w="0" w:type="dxa"/>
          <w:bottom w:w="0" w:type="dxa"/>
          <w:right w:w="0" w:type="dxa"/>
        </w:tblCellMar>
      </w:tblPr>
      <w:tblGrid>
        <w:gridCol w:w="1837"/>
        <w:gridCol w:w="1402"/>
        <w:gridCol w:w="1439"/>
        <w:gridCol w:w="1464"/>
        <w:gridCol w:w="1037"/>
        <w:gridCol w:w="1020"/>
      </w:tblGrid>
      <w:tr>
        <w:tblPrEx>
          <w:tblCellMar>
            <w:top w:w="0" w:type="dxa"/>
            <w:left w:w="0" w:type="dxa"/>
            <w:bottom w:w="0" w:type="dxa"/>
            <w:right w:w="0" w:type="dxa"/>
          </w:tblCellMar>
        </w:tblPrEx>
        <w:trPr>
          <w:trHeight w:val="815" w:hRule="atLeast"/>
          <w:jc w:val="center"/>
        </w:trPr>
        <w:tc>
          <w:tcPr>
            <w:tcW w:w="18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资金来源</w:t>
            </w:r>
          </w:p>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年份</w:t>
            </w:r>
          </w:p>
        </w:tc>
        <w:tc>
          <w:tcPr>
            <w:tcW w:w="14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2020</w:t>
            </w:r>
          </w:p>
        </w:tc>
        <w:tc>
          <w:tcPr>
            <w:tcW w:w="14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2021</w:t>
            </w:r>
          </w:p>
        </w:tc>
        <w:tc>
          <w:tcPr>
            <w:tcW w:w="1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2022</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2023</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合计</w:t>
            </w:r>
          </w:p>
        </w:tc>
      </w:tr>
      <w:tr>
        <w:tblPrEx>
          <w:tblCellMar>
            <w:top w:w="0" w:type="dxa"/>
            <w:left w:w="0" w:type="dxa"/>
            <w:bottom w:w="0" w:type="dxa"/>
            <w:right w:w="0" w:type="dxa"/>
          </w:tblCellMar>
        </w:tblPrEx>
        <w:trPr>
          <w:trHeight w:val="406" w:hRule="atLeast"/>
          <w:jc w:val="center"/>
        </w:trPr>
        <w:tc>
          <w:tcPr>
            <w:tcW w:w="18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中央财政（万元）</w:t>
            </w:r>
          </w:p>
        </w:tc>
        <w:tc>
          <w:tcPr>
            <w:tcW w:w="14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150</w:t>
            </w:r>
          </w:p>
        </w:tc>
        <w:tc>
          <w:tcPr>
            <w:tcW w:w="14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0</w:t>
            </w:r>
          </w:p>
        </w:tc>
        <w:tc>
          <w:tcPr>
            <w:tcW w:w="1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100</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1034</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1871</w:t>
            </w:r>
          </w:p>
        </w:tc>
      </w:tr>
      <w:tr>
        <w:tblPrEx>
          <w:tblCellMar>
            <w:top w:w="0" w:type="dxa"/>
            <w:left w:w="0" w:type="dxa"/>
            <w:bottom w:w="0" w:type="dxa"/>
            <w:right w:w="0" w:type="dxa"/>
          </w:tblCellMar>
        </w:tblPrEx>
        <w:trPr>
          <w:trHeight w:val="406" w:hRule="atLeast"/>
          <w:jc w:val="center"/>
        </w:trPr>
        <w:tc>
          <w:tcPr>
            <w:tcW w:w="18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市级财政（万元）</w:t>
            </w:r>
          </w:p>
        </w:tc>
        <w:tc>
          <w:tcPr>
            <w:tcW w:w="14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2525.18</w:t>
            </w:r>
          </w:p>
        </w:tc>
        <w:tc>
          <w:tcPr>
            <w:tcW w:w="14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113.3</w:t>
            </w:r>
          </w:p>
        </w:tc>
        <w:tc>
          <w:tcPr>
            <w:tcW w:w="1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1176.2</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198.2</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6591.73</w:t>
            </w:r>
          </w:p>
        </w:tc>
      </w:tr>
      <w:tr>
        <w:tblPrEx>
          <w:tblCellMar>
            <w:top w:w="0" w:type="dxa"/>
            <w:left w:w="0" w:type="dxa"/>
            <w:bottom w:w="0" w:type="dxa"/>
            <w:right w:w="0" w:type="dxa"/>
          </w:tblCellMar>
        </w:tblPrEx>
        <w:trPr>
          <w:trHeight w:val="420" w:hRule="atLeast"/>
          <w:jc w:val="center"/>
        </w:trPr>
        <w:tc>
          <w:tcPr>
            <w:tcW w:w="18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区级财政（万元）</w:t>
            </w:r>
          </w:p>
        </w:tc>
        <w:tc>
          <w:tcPr>
            <w:tcW w:w="14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633.95</w:t>
            </w:r>
          </w:p>
        </w:tc>
        <w:tc>
          <w:tcPr>
            <w:tcW w:w="14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633.95</w:t>
            </w:r>
          </w:p>
        </w:tc>
        <w:tc>
          <w:tcPr>
            <w:tcW w:w="1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633.95</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633.95</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3180.06</w:t>
            </w:r>
          </w:p>
        </w:tc>
      </w:tr>
      <w:tr>
        <w:tblPrEx>
          <w:tblCellMar>
            <w:top w:w="0" w:type="dxa"/>
            <w:left w:w="0" w:type="dxa"/>
            <w:bottom w:w="0" w:type="dxa"/>
            <w:right w:w="0" w:type="dxa"/>
          </w:tblCellMar>
        </w:tblPrEx>
        <w:trPr>
          <w:trHeight w:val="420" w:hRule="atLeast"/>
          <w:jc w:val="center"/>
        </w:trPr>
        <w:tc>
          <w:tcPr>
            <w:tcW w:w="18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合计（万元）</w:t>
            </w:r>
          </w:p>
        </w:tc>
        <w:tc>
          <w:tcPr>
            <w:tcW w:w="140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3309.13</w:t>
            </w:r>
          </w:p>
        </w:tc>
        <w:tc>
          <w:tcPr>
            <w:tcW w:w="143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747.25</w:t>
            </w:r>
          </w:p>
        </w:tc>
        <w:tc>
          <w:tcPr>
            <w:tcW w:w="14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1910.15</w:t>
            </w:r>
          </w:p>
        </w:tc>
        <w:tc>
          <w:tcPr>
            <w:tcW w:w="10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1866.15</w:t>
            </w:r>
          </w:p>
        </w:tc>
        <w:tc>
          <w:tcPr>
            <w:tcW w:w="10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0" w:firstLineChars="0"/>
              <w:jc w:val="center"/>
              <w:textAlignment w:val="center"/>
              <w:rPr>
                <w:rFonts w:ascii="宋体" w:hAnsi="宋体" w:cs="宋体"/>
                <w:b/>
                <w:bCs/>
                <w:color w:val="000000"/>
                <w:kern w:val="0"/>
                <w:sz w:val="21"/>
                <w:szCs w:val="21"/>
                <w:lang w:bidi="ar"/>
              </w:rPr>
            </w:pPr>
            <w:r>
              <w:rPr>
                <w:rFonts w:hint="eastAsia" w:ascii="宋体" w:hAnsi="宋体" w:cs="宋体"/>
                <w:b/>
                <w:bCs/>
                <w:color w:val="000000"/>
                <w:kern w:val="0"/>
                <w:sz w:val="21"/>
                <w:szCs w:val="21"/>
                <w:lang w:bidi="ar"/>
              </w:rPr>
              <w:t>11642.79</w:t>
            </w:r>
          </w:p>
        </w:tc>
      </w:tr>
    </w:tbl>
    <w:p>
      <w:pPr>
        <w:spacing w:line="360" w:lineRule="auto"/>
        <w:ind w:firstLine="560"/>
        <w:jc w:val="left"/>
        <w:rPr>
          <w:color w:val="000000"/>
          <w:szCs w:val="28"/>
        </w:rPr>
        <w:sectPr>
          <w:pgSz w:w="11906" w:h="16838"/>
          <w:pgMar w:top="1418" w:right="1134" w:bottom="1418" w:left="1701" w:header="851" w:footer="992" w:gutter="0"/>
          <w:cols w:space="720" w:num="1"/>
          <w:docGrid w:linePitch="312" w:charSpace="0"/>
        </w:sectPr>
      </w:pPr>
    </w:p>
    <w:bookmarkEnd w:id="305"/>
    <w:p>
      <w:pPr>
        <w:pStyle w:val="4"/>
        <w:spacing w:before="0" w:after="0" w:line="360" w:lineRule="auto"/>
        <w:rPr>
          <w:rFonts w:ascii="Times New Roman" w:hAnsi="Times New Roman"/>
          <w:bCs w:val="0"/>
          <w:color w:val="000000"/>
        </w:rPr>
      </w:pPr>
      <w:bookmarkStart w:id="346" w:name="_Hlt92983390"/>
      <w:bookmarkEnd w:id="346"/>
      <w:bookmarkStart w:id="347" w:name="_Toc8243"/>
      <w:r>
        <w:rPr>
          <w:rFonts w:ascii="Times New Roman" w:hAnsi="Times New Roman"/>
          <w:bCs w:val="0"/>
          <w:color w:val="000000"/>
        </w:rPr>
        <w:t>第</w:t>
      </w:r>
      <w:r>
        <w:rPr>
          <w:rFonts w:hint="eastAsia" w:ascii="Times New Roman" w:hAnsi="Times New Roman"/>
          <w:bCs w:val="0"/>
          <w:color w:val="000000"/>
        </w:rPr>
        <w:t>九</w:t>
      </w:r>
      <w:r>
        <w:rPr>
          <w:rFonts w:ascii="Times New Roman" w:hAnsi="Times New Roman"/>
          <w:bCs w:val="0"/>
          <w:color w:val="000000"/>
        </w:rPr>
        <w:t>章  防治规划实施的保障措施</w:t>
      </w:r>
      <w:bookmarkEnd w:id="347"/>
    </w:p>
    <w:p>
      <w:pPr>
        <w:pStyle w:val="6"/>
        <w:rPr>
          <w:color w:val="000000"/>
        </w:rPr>
      </w:pPr>
      <w:bookmarkStart w:id="348" w:name="_Toc92983370"/>
      <w:bookmarkStart w:id="349" w:name="_Toc305943845"/>
      <w:bookmarkStart w:id="350" w:name="_Toc305943691"/>
      <w:bookmarkStart w:id="351" w:name="_Toc326329065"/>
      <w:bookmarkStart w:id="352" w:name="_Toc332789323"/>
      <w:bookmarkStart w:id="353" w:name="_Toc333392600"/>
      <w:bookmarkStart w:id="354" w:name="_Toc329604363"/>
      <w:bookmarkStart w:id="355" w:name="_Toc304921147"/>
      <w:bookmarkStart w:id="356" w:name="_Toc301281441"/>
      <w:bookmarkStart w:id="357" w:name="_Toc297029982"/>
      <w:bookmarkStart w:id="358" w:name="_Toc323374909"/>
      <w:bookmarkStart w:id="359" w:name="_Toc301181762"/>
      <w:r>
        <w:rPr>
          <w:color w:val="000000"/>
        </w:rPr>
        <w:t>一、加强法制建设，</w:t>
      </w:r>
      <w:bookmarkEnd w:id="348"/>
      <w:r>
        <w:rPr>
          <w:color w:val="000000"/>
        </w:rPr>
        <w:t>完善法规体系</w:t>
      </w:r>
      <w:bookmarkEnd w:id="349"/>
      <w:bookmarkEnd w:id="350"/>
      <w:bookmarkEnd w:id="351"/>
      <w:bookmarkEnd w:id="352"/>
      <w:bookmarkEnd w:id="353"/>
      <w:bookmarkEnd w:id="354"/>
      <w:bookmarkEnd w:id="355"/>
      <w:bookmarkEnd w:id="356"/>
      <w:bookmarkEnd w:id="357"/>
      <w:bookmarkEnd w:id="358"/>
      <w:bookmarkEnd w:id="359"/>
    </w:p>
    <w:p>
      <w:pPr>
        <w:spacing w:line="240" w:lineRule="atLeast"/>
        <w:ind w:firstLine="560"/>
        <w:rPr>
          <w:color w:val="000000"/>
        </w:rPr>
      </w:pPr>
      <w:r>
        <w:rPr>
          <w:color w:val="000000"/>
        </w:rPr>
        <w:t>以国家现有法律、法规为依据，加强法制建设，完善沙坪坝区地质灾害防治法规体系。进一步制定与《重庆市地质灾害防治条例》相配套的地质灾害防治监督管理办法、地质灾害防治工作手册、地质灾害应急工作程序、矿山地质环境保护办法等规章制度，完善地质灾害责任认定、地质灾害应急预案、地质环境影响评估、监测预警和应急处置标准等规章制度与标准规范，推进地质灾害防治法制化、规范化建设。</w:t>
      </w:r>
    </w:p>
    <w:p>
      <w:pPr>
        <w:pStyle w:val="6"/>
        <w:rPr>
          <w:color w:val="000000"/>
        </w:rPr>
      </w:pPr>
      <w:bookmarkStart w:id="360" w:name="_Toc305943846"/>
      <w:bookmarkStart w:id="361" w:name="_Toc323374910"/>
      <w:bookmarkStart w:id="362" w:name="_Toc333392601"/>
      <w:bookmarkStart w:id="363" w:name="_Toc332789324"/>
      <w:bookmarkStart w:id="364" w:name="_Toc329604364"/>
      <w:bookmarkStart w:id="365" w:name="_Toc326329066"/>
      <w:bookmarkStart w:id="366" w:name="_Toc305943692"/>
      <w:bookmarkStart w:id="367" w:name="_Toc301281442"/>
      <w:bookmarkStart w:id="368" w:name="_Toc297029983"/>
      <w:bookmarkStart w:id="369" w:name="_Toc301181763"/>
      <w:bookmarkStart w:id="370" w:name="_Toc92983371"/>
      <w:bookmarkStart w:id="371" w:name="_Toc304921148"/>
      <w:r>
        <w:rPr>
          <w:color w:val="000000"/>
        </w:rPr>
        <w:t>二、加强组织领导，确保规划实施</w:t>
      </w:r>
      <w:bookmarkEnd w:id="360"/>
      <w:bookmarkEnd w:id="361"/>
      <w:bookmarkEnd w:id="362"/>
      <w:bookmarkEnd w:id="363"/>
      <w:bookmarkEnd w:id="364"/>
      <w:bookmarkEnd w:id="365"/>
      <w:bookmarkEnd w:id="366"/>
      <w:bookmarkEnd w:id="367"/>
      <w:bookmarkEnd w:id="368"/>
      <w:bookmarkEnd w:id="369"/>
      <w:bookmarkEnd w:id="370"/>
      <w:bookmarkEnd w:id="371"/>
    </w:p>
    <w:p>
      <w:pPr>
        <w:ind w:firstLine="560"/>
        <w:rPr>
          <w:rFonts w:ascii="宋体" w:hAnsi="宋体" w:cs="宋体"/>
          <w:color w:val="000000"/>
          <w:szCs w:val="28"/>
        </w:rPr>
      </w:pPr>
      <w:bookmarkStart w:id="372" w:name="_Toc301281443"/>
      <w:bookmarkStart w:id="373" w:name="_Toc92983372"/>
      <w:bookmarkStart w:id="374" w:name="_Toc301181764"/>
      <w:bookmarkStart w:id="375" w:name="_Toc304921149"/>
      <w:bookmarkStart w:id="376" w:name="_Toc297029984"/>
      <w:bookmarkStart w:id="377" w:name="_Toc333392602"/>
      <w:bookmarkStart w:id="378" w:name="_Toc326329067"/>
      <w:bookmarkStart w:id="379" w:name="_Toc332789325"/>
      <w:bookmarkStart w:id="380" w:name="_Toc323374911"/>
      <w:bookmarkStart w:id="381" w:name="_Toc305943847"/>
      <w:bookmarkStart w:id="382" w:name="_Toc305943693"/>
      <w:bookmarkStart w:id="383" w:name="_Toc329604365"/>
      <w:r>
        <w:rPr>
          <w:rFonts w:hint="eastAsia" w:ascii="宋体" w:hAnsi="宋体" w:cs="宋体"/>
          <w:color w:val="000000"/>
          <w:szCs w:val="28"/>
        </w:rPr>
        <w:t>区地灾避险户的安置工作。区经信委负责监管职责范围内工业企业生产活动地质灾害防治工作，当发生地质灾害灾情或险情，威胁到工业企业红线范围内人民群众安全时，有关负责人应立即到现场，协助应急管理部门制定应急抢险救灾方案并组织实施。区公安分局当发生地质灾害灾情、险区时，按照职能职责，公安分局负责组织、协调险区施救、灾民临时转移安置等环节中，治安秩序、交通秩序维护；现场警戒、道路交通管制；舆情导控等工作，全力维护安全，确保社会稳定。区卫生健康委负责组织有关医疗单位对伤病人员实施救治和处置；负责采取措施，作好灾后疫情防治工作。区气象局负责开展强降雨等灾害性天气趋势分析和预报，适时根据天气趋势发布地质灾害气象风险等级预报，以及地质灾害气象风险预警。并负责提供地质灾害处置期间的气象信息，做好地质灾害气象风险的监测、预报、预警工作。区交通局对区内公路地质灾害隐患进行防治工作；区发改委负责做好相关地灾治理项目的审批工作。区财政局负责落实区级地灾专项资金并及时拨付。区政府办督查室负责对区政府有关部门、国家公务员和国家行政机关任命的其他人员履行地质灾害防治工作责任情况实施监督检查，对在突发性地质灾害排危抢险过程中不履行或不正确履行职责的行为进行通报。对在地质灾害防治工作中，特别是在排危抢险过程中推诿扯皮，导致群访影响社会稳定或发生人员伤亡事故的，对单位和个人实施问责。</w:t>
      </w:r>
    </w:p>
    <w:p>
      <w:pPr>
        <w:pStyle w:val="6"/>
        <w:rPr>
          <w:color w:val="000000"/>
        </w:rPr>
      </w:pPr>
      <w:r>
        <w:rPr>
          <w:color w:val="000000"/>
        </w:rPr>
        <w:t>三、</w:t>
      </w:r>
      <w:bookmarkEnd w:id="372"/>
      <w:bookmarkEnd w:id="373"/>
      <w:bookmarkEnd w:id="374"/>
      <w:bookmarkEnd w:id="375"/>
      <w:bookmarkEnd w:id="376"/>
      <w:r>
        <w:rPr>
          <w:color w:val="000000"/>
        </w:rPr>
        <w:t>制定政策，健全防治经费投入机制</w:t>
      </w:r>
      <w:bookmarkEnd w:id="377"/>
      <w:bookmarkEnd w:id="378"/>
      <w:bookmarkEnd w:id="379"/>
      <w:bookmarkEnd w:id="380"/>
      <w:bookmarkEnd w:id="381"/>
      <w:bookmarkEnd w:id="382"/>
      <w:bookmarkEnd w:id="383"/>
    </w:p>
    <w:p>
      <w:pPr>
        <w:ind w:firstLine="560"/>
        <w:rPr>
          <w:color w:val="000000"/>
        </w:rPr>
      </w:pPr>
      <w:r>
        <w:rPr>
          <w:rFonts w:hint="eastAsia"/>
          <w:color w:val="000000"/>
        </w:rPr>
        <w:t>（一）</w:t>
      </w:r>
      <w:r>
        <w:rPr>
          <w:color w:val="000000"/>
        </w:rPr>
        <w:t>区及镇分级负责筹集和承担部分治理资金，区政府从区财政每年安排一定数量的资金作为地质灾害防治专项资金，镇政府也要安排相应专项资金，市级专项资金主要用于较大级地质灾害防治，经费做到专款专用。</w:t>
      </w:r>
    </w:p>
    <w:p>
      <w:pPr>
        <w:ind w:firstLine="560"/>
        <w:rPr>
          <w:color w:val="000000"/>
        </w:rPr>
      </w:pPr>
      <w:r>
        <w:rPr>
          <w:rFonts w:hint="eastAsia"/>
          <w:color w:val="000000"/>
        </w:rPr>
        <w:t>（二）</w:t>
      </w:r>
      <w:r>
        <w:rPr>
          <w:color w:val="000000"/>
        </w:rPr>
        <w:t>沙坪坝区地质灾害点多面广，其防治应积极争取从国家、市及其它方面多渠道筹集资金，增加治理投入。危及重要基础设施的积极申请国家、市地质灾害防治专项资金进行治理。</w:t>
      </w:r>
    </w:p>
    <w:p>
      <w:pPr>
        <w:ind w:firstLine="560"/>
        <w:rPr>
          <w:color w:val="000000"/>
        </w:rPr>
      </w:pPr>
      <w:r>
        <w:rPr>
          <w:rFonts w:hint="eastAsia"/>
          <w:color w:val="000000"/>
        </w:rPr>
        <w:t>（三）</w:t>
      </w:r>
      <w:r>
        <w:rPr>
          <w:color w:val="000000"/>
        </w:rPr>
        <w:t>地质灾害的防治应充分运用市场机制，保障防治工作的有效运行。对自然因素造成的地质灾害，按属地管理分级负责的原则，主要由各级财政筹资，上级财政补贴；对不合理施工或其它人为因素所造成的地质灾害，除追究相关责任人的责任外，还要按“谁致灾谁治理，谁受益谁参与治理”的原则进行治理。</w:t>
      </w:r>
    </w:p>
    <w:p>
      <w:pPr>
        <w:ind w:firstLine="560"/>
        <w:rPr>
          <w:color w:val="000000"/>
        </w:rPr>
      </w:pPr>
      <w:r>
        <w:rPr>
          <w:rFonts w:hint="eastAsia"/>
          <w:color w:val="000000"/>
        </w:rPr>
        <w:t>（四）</w:t>
      </w:r>
      <w:r>
        <w:rPr>
          <w:color w:val="000000"/>
        </w:rPr>
        <w:t>地质灾害防治是一项复杂的系统工程，投资需求巨大，对规划项目应按轻重缓急，分期分批组织实施。优先安排重点防治区调查评价、监测预警体系、应急搬迁及应急体系建设资金，适当安排保障重要保护对象安全的工程治理项目资金，逐步开展地质灾害危害严重、治理难度大的地质灾害隐患点人员搬迁。</w:t>
      </w:r>
    </w:p>
    <w:p>
      <w:pPr>
        <w:pStyle w:val="6"/>
        <w:rPr>
          <w:rFonts w:ascii="Times New Roman" w:eastAsia="宋体"/>
          <w:color w:val="000000"/>
        </w:rPr>
      </w:pPr>
      <w:bookmarkStart w:id="384" w:name="_Toc332789326"/>
      <w:bookmarkStart w:id="385" w:name="_Toc333392603"/>
      <w:bookmarkStart w:id="386" w:name="_Toc329604366"/>
      <w:bookmarkStart w:id="387" w:name="_Toc326329068"/>
      <w:bookmarkStart w:id="388" w:name="_Toc323374912"/>
      <w:bookmarkStart w:id="389" w:name="_Toc305943694"/>
      <w:bookmarkStart w:id="390" w:name="_Toc305943848"/>
      <w:bookmarkStart w:id="391" w:name="_Toc297029988"/>
      <w:bookmarkStart w:id="392" w:name="_Toc304921153"/>
      <w:bookmarkStart w:id="393" w:name="_Toc92983376"/>
      <w:bookmarkStart w:id="394" w:name="_Toc301181768"/>
      <w:bookmarkStart w:id="395" w:name="_Toc301281447"/>
      <w:r>
        <w:rPr>
          <w:rFonts w:ascii="Times New Roman" w:eastAsia="宋体"/>
          <w:color w:val="000000"/>
        </w:rPr>
        <w:t>四、依靠科技进步，提高地质灾害防治能力</w:t>
      </w:r>
      <w:bookmarkEnd w:id="384"/>
      <w:bookmarkEnd w:id="385"/>
      <w:bookmarkEnd w:id="386"/>
      <w:bookmarkEnd w:id="387"/>
      <w:bookmarkEnd w:id="388"/>
      <w:bookmarkEnd w:id="389"/>
      <w:bookmarkEnd w:id="390"/>
      <w:bookmarkEnd w:id="391"/>
      <w:bookmarkEnd w:id="392"/>
      <w:bookmarkEnd w:id="393"/>
      <w:bookmarkEnd w:id="394"/>
      <w:bookmarkEnd w:id="395"/>
    </w:p>
    <w:p>
      <w:pPr>
        <w:ind w:firstLine="560"/>
        <w:rPr>
          <w:color w:val="000000"/>
        </w:rPr>
      </w:pPr>
      <w:r>
        <w:rPr>
          <w:color w:val="000000"/>
        </w:rPr>
        <w:t>充分利用现代科学技术方法和手段，积极推广新理论、新技术、新方法，提高地质灾害综合防治能力和地质灾害综合勘查、评价及监测预报水平，提升灾害信息采集与快速处理能力和应急能力，健全地质灾害防治信息系统和信息共享机制。</w:t>
      </w:r>
    </w:p>
    <w:p>
      <w:pPr>
        <w:ind w:firstLine="560"/>
        <w:rPr>
          <w:color w:val="000000"/>
        </w:rPr>
      </w:pPr>
      <w:r>
        <w:rPr>
          <w:color w:val="000000"/>
        </w:rPr>
        <w:t>培养一批理论技术水平高、知识面广、实践经验丰富、责任心强的学术带头人，加强在职人员的技术培训，不断进行知识更新，提高队伍的整体素质和地质灾害防治的综合能力。</w:t>
      </w:r>
    </w:p>
    <w:p>
      <w:pPr>
        <w:pStyle w:val="6"/>
        <w:rPr>
          <w:rFonts w:ascii="Times New Roman" w:eastAsia="宋体"/>
          <w:color w:val="000000"/>
        </w:rPr>
      </w:pPr>
      <w:bookmarkStart w:id="396" w:name="_Toc332789327"/>
      <w:bookmarkStart w:id="397" w:name="_Toc333392604"/>
      <w:bookmarkStart w:id="398" w:name="_Toc305943849"/>
      <w:bookmarkStart w:id="399" w:name="_Toc329604367"/>
      <w:bookmarkStart w:id="400" w:name="_Toc326329069"/>
      <w:bookmarkStart w:id="401" w:name="_Toc323374913"/>
      <w:bookmarkStart w:id="402" w:name="_Toc305943695"/>
      <w:bookmarkStart w:id="403" w:name="_Toc304921155"/>
      <w:bookmarkStart w:id="404" w:name="_Toc301281449"/>
      <w:bookmarkStart w:id="405" w:name="_Toc297029990"/>
      <w:bookmarkStart w:id="406" w:name="_Toc301181770"/>
      <w:bookmarkStart w:id="407" w:name="_Toc92983378"/>
      <w:r>
        <w:rPr>
          <w:rFonts w:ascii="Times New Roman" w:eastAsia="宋体"/>
          <w:color w:val="000000"/>
        </w:rPr>
        <w:t>五、广泛宣传地灾防治，提高会防灾减灾意识</w:t>
      </w:r>
      <w:bookmarkEnd w:id="396"/>
      <w:bookmarkEnd w:id="397"/>
      <w:bookmarkEnd w:id="398"/>
      <w:bookmarkEnd w:id="399"/>
      <w:bookmarkEnd w:id="400"/>
      <w:bookmarkEnd w:id="401"/>
      <w:bookmarkEnd w:id="402"/>
      <w:bookmarkEnd w:id="403"/>
      <w:bookmarkEnd w:id="404"/>
      <w:bookmarkEnd w:id="405"/>
      <w:bookmarkEnd w:id="406"/>
      <w:bookmarkEnd w:id="407"/>
    </w:p>
    <w:p>
      <w:pPr>
        <w:ind w:firstLine="560"/>
        <w:jc w:val="left"/>
        <w:rPr>
          <w:b/>
          <w:bCs/>
          <w:sz w:val="21"/>
          <w:szCs w:val="21"/>
        </w:rPr>
      </w:pPr>
      <w:r>
        <w:rPr>
          <w:color w:val="000000"/>
        </w:rPr>
        <w:t>通过多种形式、多种途径，加强地质灾害减灾防灾宣传教育，普及基层地质灾害防治知识，提高政府、部门、单位和民众的防灾减灾意识，使地质灾害防治成为全社会的自觉行动，进一步增强全社会抵御地质灾害的能力。要重点做好地质灾害高易发区及地质灾害隐患点群众的防灾知识宣传工作，加强镇（街）地质灾害防治管理工作人员业务知识培训，提高基层管理人员地质灾害防治水平。各地要积极开展地质灾害防灾减灾演练，提高地质灾害易发区人民群众自防自救能力。</w:t>
      </w:r>
      <w:bookmarkStart w:id="408" w:name="_Hlt94858336"/>
      <w:bookmarkEnd w:id="408"/>
      <w:bookmarkStart w:id="409" w:name="_Hlt92982234"/>
      <w:bookmarkEnd w:id="409"/>
      <w:bookmarkStart w:id="410" w:name="_Hlt94865780"/>
      <w:bookmarkEnd w:id="410"/>
      <w:bookmarkStart w:id="411" w:name="_Hlt94858883"/>
      <w:bookmarkEnd w:id="411"/>
      <w:bookmarkStart w:id="412" w:name="_Hlt123541066"/>
      <w:bookmarkEnd w:id="412"/>
    </w:p>
    <w:p>
      <w:pPr>
        <w:ind w:firstLine="0" w:firstLineChars="0"/>
        <w:jc w:val="center"/>
        <w:rPr>
          <w:b/>
          <w:bCs/>
          <w:sz w:val="21"/>
          <w:szCs w:val="21"/>
        </w:rPr>
      </w:pPr>
      <w:r>
        <w:rPr>
          <w:rFonts w:hint="eastAsia"/>
          <w:b/>
          <w:bCs/>
          <w:sz w:val="21"/>
          <w:szCs w:val="21"/>
        </w:rPr>
        <w:t>附</w:t>
      </w:r>
      <w:r>
        <w:rPr>
          <w:b/>
          <w:bCs/>
          <w:sz w:val="21"/>
          <w:szCs w:val="21"/>
        </w:rPr>
        <w:t xml:space="preserve">表1    </w:t>
      </w:r>
      <w:r>
        <w:rPr>
          <w:rFonts w:hint="eastAsia"/>
          <w:b/>
          <w:bCs/>
          <w:sz w:val="21"/>
          <w:szCs w:val="21"/>
        </w:rPr>
        <w:t>重庆市</w:t>
      </w:r>
      <w:r>
        <w:rPr>
          <w:b/>
          <w:bCs/>
          <w:sz w:val="21"/>
          <w:szCs w:val="21"/>
        </w:rPr>
        <w:t>沙坪坝区地质灾害点分布</w:t>
      </w:r>
      <w:r>
        <w:rPr>
          <w:rFonts w:hint="eastAsia"/>
          <w:b/>
          <w:bCs/>
          <w:sz w:val="21"/>
          <w:szCs w:val="21"/>
        </w:rPr>
        <w:t>统计</w:t>
      </w:r>
      <w:r>
        <w:rPr>
          <w:b/>
          <w:bCs/>
          <w:sz w:val="21"/>
          <w:szCs w:val="21"/>
        </w:rPr>
        <w:t>表</w:t>
      </w:r>
    </w:p>
    <w:tbl>
      <w:tblPr>
        <w:tblStyle w:val="36"/>
        <w:tblpPr w:leftFromText="180" w:rightFromText="180" w:vertAnchor="text" w:horzAnchor="page" w:tblpX="1527"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985"/>
        <w:gridCol w:w="984"/>
        <w:gridCol w:w="1253"/>
        <w:gridCol w:w="1254"/>
        <w:gridCol w:w="984"/>
        <w:gridCol w:w="98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Merge w:val="restart"/>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镇街</w:t>
            </w:r>
          </w:p>
        </w:tc>
        <w:tc>
          <w:tcPr>
            <w:tcW w:w="6444" w:type="dxa"/>
            <w:gridSpan w:val="6"/>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地质灾害点（处）</w:t>
            </w:r>
          </w:p>
        </w:tc>
        <w:tc>
          <w:tcPr>
            <w:tcW w:w="985" w:type="dxa"/>
            <w:vMerge w:val="restart"/>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Merge w:val="continue"/>
            <w:vAlign w:val="center"/>
          </w:tcPr>
          <w:p>
            <w:pPr>
              <w:widowControl/>
              <w:spacing w:line="240" w:lineRule="atLeast"/>
              <w:ind w:firstLine="0" w:firstLineChars="0"/>
              <w:jc w:val="center"/>
              <w:rPr>
                <w:rFonts w:ascii="宋体" w:hAnsi="宋体" w:cs="宋体"/>
                <w:kern w:val="0"/>
                <w:sz w:val="18"/>
                <w:szCs w:val="18"/>
              </w:rPr>
            </w:pPr>
          </w:p>
        </w:tc>
        <w:tc>
          <w:tcPr>
            <w:tcW w:w="985"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滑坡</w:t>
            </w:r>
          </w:p>
        </w:tc>
        <w:tc>
          <w:tcPr>
            <w:tcW w:w="984"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危岩</w:t>
            </w:r>
          </w:p>
        </w:tc>
        <w:tc>
          <w:tcPr>
            <w:tcW w:w="1253"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不稳定斜坡</w:t>
            </w:r>
          </w:p>
        </w:tc>
        <w:tc>
          <w:tcPr>
            <w:tcW w:w="1254"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泥石流</w:t>
            </w:r>
          </w:p>
        </w:tc>
        <w:tc>
          <w:tcPr>
            <w:tcW w:w="984"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塌陷</w:t>
            </w:r>
          </w:p>
        </w:tc>
        <w:tc>
          <w:tcPr>
            <w:tcW w:w="984"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库岸</w:t>
            </w:r>
          </w:p>
        </w:tc>
        <w:tc>
          <w:tcPr>
            <w:tcW w:w="985" w:type="dxa"/>
            <w:vMerge w:val="continue"/>
            <w:vAlign w:val="center"/>
          </w:tcPr>
          <w:p>
            <w:pPr>
              <w:widowControl/>
              <w:spacing w:line="240" w:lineRule="atLeast"/>
              <w:ind w:firstLine="0" w:firstLineChars="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沙坪坝</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磁器口</w:t>
            </w:r>
          </w:p>
        </w:tc>
        <w:tc>
          <w:tcPr>
            <w:tcW w:w="985" w:type="dxa"/>
            <w:vAlign w:val="center"/>
          </w:tcPr>
          <w:p>
            <w:pPr>
              <w:widowControl/>
              <w:spacing w:line="240" w:lineRule="atLeast"/>
              <w:ind w:firstLine="0" w:firstLineChars="0"/>
              <w:jc w:val="center"/>
              <w:rPr>
                <w:kern w:val="0"/>
                <w:sz w:val="18"/>
                <w:szCs w:val="18"/>
              </w:rPr>
            </w:pPr>
            <w:r>
              <w:rPr>
                <w:kern w:val="0"/>
                <w:sz w:val="18"/>
                <w:szCs w:val="18"/>
              </w:rPr>
              <w:t>2</w:t>
            </w: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小龙坎</w:t>
            </w:r>
          </w:p>
        </w:tc>
        <w:tc>
          <w:tcPr>
            <w:tcW w:w="985" w:type="dxa"/>
            <w:vAlign w:val="center"/>
          </w:tcPr>
          <w:p>
            <w:pPr>
              <w:widowControl/>
              <w:spacing w:line="240" w:lineRule="atLeast"/>
              <w:ind w:firstLine="0" w:firstLineChars="0"/>
              <w:jc w:val="center"/>
              <w:rPr>
                <w:kern w:val="0"/>
                <w:sz w:val="18"/>
                <w:szCs w:val="18"/>
              </w:rPr>
            </w:pPr>
            <w:r>
              <w:rPr>
                <w:kern w:val="0"/>
                <w:sz w:val="18"/>
                <w:szCs w:val="18"/>
              </w:rPr>
              <w:t>1</w:t>
            </w: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童家桥</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3</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石井坡</w:t>
            </w:r>
          </w:p>
        </w:tc>
        <w:tc>
          <w:tcPr>
            <w:tcW w:w="985" w:type="dxa"/>
            <w:vAlign w:val="center"/>
          </w:tcPr>
          <w:p>
            <w:pPr>
              <w:widowControl/>
              <w:spacing w:line="240" w:lineRule="atLeast"/>
              <w:ind w:firstLine="0" w:firstLineChars="0"/>
              <w:jc w:val="center"/>
              <w:rPr>
                <w:kern w:val="0"/>
                <w:sz w:val="18"/>
                <w:szCs w:val="18"/>
              </w:rPr>
            </w:pPr>
            <w:r>
              <w:rPr>
                <w:rFonts w:hint="eastAsia"/>
                <w:kern w:val="0"/>
                <w:sz w:val="18"/>
                <w:szCs w:val="18"/>
              </w:rPr>
              <w:t>3</w:t>
            </w:r>
          </w:p>
        </w:tc>
        <w:tc>
          <w:tcPr>
            <w:tcW w:w="984" w:type="dxa"/>
            <w:vAlign w:val="center"/>
          </w:tcPr>
          <w:p>
            <w:pPr>
              <w:widowControl/>
              <w:spacing w:line="240" w:lineRule="atLeast"/>
              <w:ind w:firstLine="0" w:firstLineChars="0"/>
              <w:jc w:val="center"/>
              <w:rPr>
                <w:kern w:val="0"/>
                <w:sz w:val="18"/>
                <w:szCs w:val="18"/>
              </w:rPr>
            </w:pPr>
            <w:r>
              <w:rPr>
                <w:kern w:val="0"/>
                <w:sz w:val="18"/>
                <w:szCs w:val="18"/>
              </w:rPr>
              <w:t>3</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5</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山洞</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新桥</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kern w:val="0"/>
                <w:sz w:val="18"/>
                <w:szCs w:val="18"/>
              </w:rPr>
              <w:t>1</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kern w:val="0"/>
                <w:sz w:val="20"/>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天星桥</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3</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kern w:val="0"/>
                <w:sz w:val="20"/>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土湾</w:t>
            </w:r>
          </w:p>
        </w:tc>
        <w:tc>
          <w:tcPr>
            <w:tcW w:w="985" w:type="dxa"/>
            <w:vAlign w:val="center"/>
          </w:tcPr>
          <w:p>
            <w:pPr>
              <w:widowControl/>
              <w:spacing w:line="240" w:lineRule="atLeast"/>
              <w:ind w:firstLine="0" w:firstLineChars="0"/>
              <w:jc w:val="center"/>
              <w:rPr>
                <w:kern w:val="0"/>
                <w:sz w:val="18"/>
                <w:szCs w:val="18"/>
              </w:rPr>
            </w:pPr>
            <w:r>
              <w:rPr>
                <w:kern w:val="0"/>
                <w:sz w:val="18"/>
                <w:szCs w:val="18"/>
              </w:rPr>
              <w:t>2</w:t>
            </w: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1253" w:type="dxa"/>
            <w:vAlign w:val="center"/>
          </w:tcPr>
          <w:p>
            <w:pPr>
              <w:widowControl/>
              <w:spacing w:line="240" w:lineRule="atLeast"/>
              <w:ind w:firstLine="0" w:firstLineChars="0"/>
              <w:jc w:val="center"/>
              <w:rPr>
                <w:kern w:val="0"/>
                <w:sz w:val="18"/>
                <w:szCs w:val="18"/>
              </w:rPr>
            </w:pP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kern w:val="0"/>
                <w:sz w:val="20"/>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歌乐山</w:t>
            </w:r>
          </w:p>
        </w:tc>
        <w:tc>
          <w:tcPr>
            <w:tcW w:w="985" w:type="dxa"/>
            <w:vAlign w:val="center"/>
          </w:tcPr>
          <w:p>
            <w:pPr>
              <w:widowControl/>
              <w:spacing w:line="240" w:lineRule="atLeast"/>
              <w:ind w:firstLine="0" w:firstLineChars="0"/>
              <w:jc w:val="center"/>
              <w:rPr>
                <w:kern w:val="0"/>
                <w:sz w:val="18"/>
                <w:szCs w:val="18"/>
              </w:rPr>
            </w:pPr>
            <w:r>
              <w:rPr>
                <w:kern w:val="0"/>
                <w:sz w:val="18"/>
                <w:szCs w:val="18"/>
              </w:rPr>
              <w:t>3</w:t>
            </w:r>
          </w:p>
        </w:tc>
        <w:tc>
          <w:tcPr>
            <w:tcW w:w="984" w:type="dxa"/>
            <w:vAlign w:val="center"/>
          </w:tcPr>
          <w:p>
            <w:pPr>
              <w:widowControl/>
              <w:spacing w:line="240" w:lineRule="atLeast"/>
              <w:ind w:firstLine="0" w:firstLineChars="0"/>
              <w:jc w:val="center"/>
              <w:rPr>
                <w:kern w:val="0"/>
                <w:sz w:val="18"/>
                <w:szCs w:val="18"/>
              </w:rPr>
            </w:pPr>
            <w:r>
              <w:rPr>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kern w:val="0"/>
                <w:sz w:val="18"/>
                <w:szCs w:val="18"/>
              </w:rPr>
              <w:t>5</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r>
              <w:rPr>
                <w:kern w:val="0"/>
                <w:sz w:val="18"/>
                <w:szCs w:val="18"/>
              </w:rPr>
              <w:t>7</w:t>
            </w: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井口</w:t>
            </w:r>
          </w:p>
        </w:tc>
        <w:tc>
          <w:tcPr>
            <w:tcW w:w="985" w:type="dxa"/>
            <w:vAlign w:val="center"/>
          </w:tcPr>
          <w:p>
            <w:pPr>
              <w:widowControl/>
              <w:spacing w:line="240" w:lineRule="atLeast"/>
              <w:ind w:firstLine="0" w:firstLineChars="0"/>
              <w:jc w:val="center"/>
              <w:rPr>
                <w:kern w:val="0"/>
                <w:sz w:val="18"/>
                <w:szCs w:val="18"/>
              </w:rPr>
            </w:pPr>
            <w:r>
              <w:rPr>
                <w:rFonts w:hint="eastAsia"/>
                <w:kern w:val="0"/>
                <w:sz w:val="18"/>
                <w:szCs w:val="18"/>
              </w:rPr>
              <w:t>3</w:t>
            </w: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覃家岗</w:t>
            </w:r>
          </w:p>
        </w:tc>
        <w:tc>
          <w:tcPr>
            <w:tcW w:w="985" w:type="dxa"/>
            <w:vAlign w:val="center"/>
          </w:tcPr>
          <w:p>
            <w:pPr>
              <w:widowControl/>
              <w:spacing w:line="240" w:lineRule="atLeast"/>
              <w:ind w:firstLine="0" w:firstLineChars="0"/>
              <w:jc w:val="center"/>
              <w:rPr>
                <w:kern w:val="0"/>
                <w:sz w:val="18"/>
                <w:szCs w:val="18"/>
              </w:rPr>
            </w:pPr>
            <w:r>
              <w:rPr>
                <w:kern w:val="0"/>
                <w:sz w:val="18"/>
                <w:szCs w:val="18"/>
              </w:rPr>
              <w:t>1</w:t>
            </w:r>
          </w:p>
        </w:tc>
        <w:tc>
          <w:tcPr>
            <w:tcW w:w="984" w:type="dxa"/>
            <w:vAlign w:val="center"/>
          </w:tcPr>
          <w:p>
            <w:pPr>
              <w:widowControl/>
              <w:spacing w:line="240" w:lineRule="atLeast"/>
              <w:ind w:firstLine="0" w:firstLineChars="0"/>
              <w:jc w:val="center"/>
              <w:rPr>
                <w:kern w:val="0"/>
                <w:sz w:val="18"/>
                <w:szCs w:val="18"/>
              </w:rPr>
            </w:pPr>
            <w:r>
              <w:rPr>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kern w:val="0"/>
                <w:sz w:val="20"/>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虎溪</w:t>
            </w:r>
          </w:p>
        </w:tc>
        <w:tc>
          <w:tcPr>
            <w:tcW w:w="985"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8</w:t>
            </w:r>
          </w:p>
        </w:tc>
        <w:tc>
          <w:tcPr>
            <w:tcW w:w="125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西永</w:t>
            </w:r>
          </w:p>
        </w:tc>
        <w:tc>
          <w:tcPr>
            <w:tcW w:w="985" w:type="dxa"/>
            <w:vAlign w:val="center"/>
          </w:tcPr>
          <w:p>
            <w:pPr>
              <w:widowControl/>
              <w:spacing w:line="240" w:lineRule="atLeast"/>
              <w:ind w:firstLine="0" w:firstLineChars="0"/>
              <w:jc w:val="center"/>
              <w:rPr>
                <w:kern w:val="0"/>
                <w:sz w:val="18"/>
                <w:szCs w:val="18"/>
              </w:rPr>
            </w:pPr>
            <w:r>
              <w:rPr>
                <w:kern w:val="0"/>
                <w:sz w:val="18"/>
                <w:szCs w:val="18"/>
              </w:rPr>
              <w:t>3</w:t>
            </w:r>
          </w:p>
        </w:tc>
        <w:tc>
          <w:tcPr>
            <w:tcW w:w="984" w:type="dxa"/>
            <w:vAlign w:val="center"/>
          </w:tcPr>
          <w:p>
            <w:pPr>
              <w:widowControl/>
              <w:spacing w:line="240" w:lineRule="atLeast"/>
              <w:ind w:firstLine="0" w:firstLineChars="0"/>
              <w:jc w:val="center"/>
              <w:rPr>
                <w:kern w:val="0"/>
                <w:sz w:val="18"/>
                <w:szCs w:val="18"/>
              </w:rPr>
            </w:pPr>
            <w:r>
              <w:rPr>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4</w:t>
            </w:r>
          </w:p>
        </w:tc>
        <w:tc>
          <w:tcPr>
            <w:tcW w:w="125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曾家</w:t>
            </w:r>
          </w:p>
        </w:tc>
        <w:tc>
          <w:tcPr>
            <w:tcW w:w="985" w:type="dxa"/>
            <w:vAlign w:val="center"/>
          </w:tcPr>
          <w:p>
            <w:pPr>
              <w:widowControl/>
              <w:spacing w:line="240" w:lineRule="atLeast"/>
              <w:ind w:firstLine="0" w:firstLineChars="0"/>
              <w:jc w:val="center"/>
              <w:rPr>
                <w:kern w:val="0"/>
                <w:sz w:val="18"/>
                <w:szCs w:val="18"/>
              </w:rPr>
            </w:pPr>
            <w:r>
              <w:rPr>
                <w:kern w:val="0"/>
                <w:sz w:val="18"/>
                <w:szCs w:val="18"/>
              </w:rPr>
              <w:t>1</w:t>
            </w: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kern w:val="0"/>
                <w:sz w:val="18"/>
                <w:szCs w:val="18"/>
              </w:rPr>
              <w:t>4</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土主</w:t>
            </w:r>
          </w:p>
        </w:tc>
        <w:tc>
          <w:tcPr>
            <w:tcW w:w="985" w:type="dxa"/>
            <w:vAlign w:val="center"/>
          </w:tcPr>
          <w:p>
            <w:pPr>
              <w:widowControl/>
              <w:spacing w:line="240" w:lineRule="atLeast"/>
              <w:ind w:firstLine="0" w:firstLineChars="0"/>
              <w:jc w:val="center"/>
              <w:rPr>
                <w:kern w:val="0"/>
                <w:sz w:val="18"/>
                <w:szCs w:val="18"/>
              </w:rPr>
            </w:pPr>
            <w:r>
              <w:rPr>
                <w:kern w:val="0"/>
                <w:sz w:val="18"/>
                <w:szCs w:val="18"/>
              </w:rPr>
              <w:t>1</w:t>
            </w:r>
          </w:p>
        </w:tc>
        <w:tc>
          <w:tcPr>
            <w:tcW w:w="984" w:type="dxa"/>
            <w:vAlign w:val="center"/>
          </w:tcPr>
          <w:p>
            <w:pPr>
              <w:widowControl/>
              <w:spacing w:line="240" w:lineRule="atLeast"/>
              <w:ind w:firstLine="0" w:firstLineChars="0"/>
              <w:jc w:val="center"/>
              <w:rPr>
                <w:kern w:val="0"/>
                <w:sz w:val="18"/>
                <w:szCs w:val="18"/>
              </w:rPr>
            </w:pPr>
            <w:r>
              <w:rPr>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青木关</w:t>
            </w:r>
          </w:p>
        </w:tc>
        <w:tc>
          <w:tcPr>
            <w:tcW w:w="985" w:type="dxa"/>
            <w:vAlign w:val="center"/>
          </w:tcPr>
          <w:p>
            <w:pPr>
              <w:widowControl/>
              <w:spacing w:line="240" w:lineRule="atLeast"/>
              <w:ind w:firstLine="0" w:firstLineChars="0"/>
              <w:jc w:val="center"/>
              <w:rPr>
                <w:kern w:val="0"/>
                <w:sz w:val="18"/>
                <w:szCs w:val="18"/>
              </w:rPr>
            </w:pPr>
            <w:r>
              <w:rPr>
                <w:rFonts w:hint="eastAsia"/>
                <w:kern w:val="0"/>
                <w:sz w:val="18"/>
                <w:szCs w:val="18"/>
              </w:rPr>
              <w:t>6</w:t>
            </w: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10</w:t>
            </w:r>
          </w:p>
        </w:tc>
        <w:tc>
          <w:tcPr>
            <w:tcW w:w="1254" w:type="dxa"/>
            <w:vAlign w:val="center"/>
          </w:tcPr>
          <w:p>
            <w:pPr>
              <w:widowControl/>
              <w:spacing w:line="240" w:lineRule="atLeast"/>
              <w:ind w:firstLine="0" w:firstLineChars="0"/>
              <w:jc w:val="center"/>
              <w:rPr>
                <w:kern w:val="0"/>
                <w:sz w:val="18"/>
                <w:szCs w:val="18"/>
              </w:rPr>
            </w:pPr>
            <w:r>
              <w:rPr>
                <w:kern w:val="0"/>
                <w:sz w:val="18"/>
                <w:szCs w:val="18"/>
              </w:rPr>
              <w:t>1</w:t>
            </w: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kern w:val="0"/>
                <w:sz w:val="20"/>
                <w:szCs w:val="15"/>
              </w:rPr>
              <w:t>1</w:t>
            </w:r>
            <w:r>
              <w:rPr>
                <w:rFonts w:hint="eastAsia"/>
                <w:kern w:val="0"/>
                <w:sz w:val="20"/>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回龙坝</w:t>
            </w:r>
          </w:p>
        </w:tc>
        <w:tc>
          <w:tcPr>
            <w:tcW w:w="985" w:type="dxa"/>
            <w:vAlign w:val="center"/>
          </w:tcPr>
          <w:p>
            <w:pPr>
              <w:widowControl/>
              <w:spacing w:line="240" w:lineRule="atLeast"/>
              <w:ind w:firstLine="0" w:firstLineChars="0"/>
              <w:jc w:val="center"/>
              <w:rPr>
                <w:kern w:val="0"/>
                <w:sz w:val="18"/>
                <w:szCs w:val="18"/>
              </w:rPr>
            </w:pPr>
            <w:r>
              <w:rPr>
                <w:rFonts w:hint="eastAsia"/>
                <w:kern w:val="0"/>
                <w:sz w:val="18"/>
                <w:szCs w:val="18"/>
              </w:rPr>
              <w:t>3</w:t>
            </w:r>
          </w:p>
        </w:tc>
        <w:tc>
          <w:tcPr>
            <w:tcW w:w="984" w:type="dxa"/>
            <w:vAlign w:val="center"/>
          </w:tcPr>
          <w:p>
            <w:pPr>
              <w:widowControl/>
              <w:spacing w:line="240" w:lineRule="atLeast"/>
              <w:ind w:firstLine="0" w:firstLineChars="0"/>
              <w:jc w:val="center"/>
              <w:rPr>
                <w:kern w:val="0"/>
                <w:sz w:val="18"/>
                <w:szCs w:val="18"/>
              </w:rPr>
            </w:pP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22</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中梁</w:t>
            </w:r>
          </w:p>
        </w:tc>
        <w:tc>
          <w:tcPr>
            <w:tcW w:w="985" w:type="dxa"/>
            <w:vAlign w:val="center"/>
          </w:tcPr>
          <w:p>
            <w:pPr>
              <w:widowControl/>
              <w:spacing w:line="240" w:lineRule="atLeast"/>
              <w:ind w:firstLine="0" w:firstLineChars="0"/>
              <w:jc w:val="center"/>
              <w:rPr>
                <w:kern w:val="0"/>
                <w:sz w:val="18"/>
                <w:szCs w:val="18"/>
              </w:rPr>
            </w:pPr>
            <w:r>
              <w:rPr>
                <w:kern w:val="0"/>
                <w:sz w:val="18"/>
                <w:szCs w:val="18"/>
              </w:rPr>
              <w:t>4</w:t>
            </w: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rFonts w:hint="eastAsia"/>
                <w:kern w:val="0"/>
                <w:sz w:val="18"/>
                <w:szCs w:val="18"/>
              </w:rPr>
              <w:t>5</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r>
              <w:rPr>
                <w:rFonts w:hint="eastAsia"/>
                <w:kern w:val="0"/>
                <w:sz w:val="18"/>
                <w:szCs w:val="18"/>
              </w:rPr>
              <w:t>8</w:t>
            </w: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20"/>
                <w:szCs w:val="15"/>
              </w:rPr>
            </w:pPr>
            <w:r>
              <w:rPr>
                <w:rFonts w:hint="eastAsia" w:ascii="宋体" w:hAnsi="宋体" w:cs="宋体"/>
                <w:kern w:val="0"/>
                <w:sz w:val="20"/>
                <w:szCs w:val="15"/>
              </w:rPr>
              <w:t>凤凰</w:t>
            </w:r>
          </w:p>
        </w:tc>
        <w:tc>
          <w:tcPr>
            <w:tcW w:w="985" w:type="dxa"/>
            <w:vAlign w:val="center"/>
          </w:tcPr>
          <w:p>
            <w:pPr>
              <w:widowControl/>
              <w:spacing w:line="240" w:lineRule="atLeast"/>
              <w:ind w:firstLine="0" w:firstLineChars="0"/>
              <w:jc w:val="center"/>
              <w:rPr>
                <w:kern w:val="0"/>
                <w:sz w:val="18"/>
                <w:szCs w:val="18"/>
              </w:rPr>
            </w:pPr>
            <w:r>
              <w:rPr>
                <w:rFonts w:hint="eastAsia"/>
                <w:kern w:val="0"/>
                <w:sz w:val="18"/>
                <w:szCs w:val="18"/>
              </w:rPr>
              <w:t>7</w:t>
            </w:r>
          </w:p>
        </w:tc>
        <w:tc>
          <w:tcPr>
            <w:tcW w:w="984" w:type="dxa"/>
            <w:vAlign w:val="center"/>
          </w:tcPr>
          <w:p>
            <w:pPr>
              <w:widowControl/>
              <w:spacing w:line="240" w:lineRule="atLeast"/>
              <w:ind w:firstLine="0" w:firstLineChars="0"/>
              <w:jc w:val="center"/>
              <w:rPr>
                <w:kern w:val="0"/>
                <w:sz w:val="18"/>
                <w:szCs w:val="18"/>
              </w:rPr>
            </w:pPr>
            <w:r>
              <w:rPr>
                <w:kern w:val="0"/>
                <w:sz w:val="18"/>
                <w:szCs w:val="18"/>
              </w:rPr>
              <w:t>1</w:t>
            </w:r>
          </w:p>
        </w:tc>
        <w:tc>
          <w:tcPr>
            <w:tcW w:w="1253" w:type="dxa"/>
            <w:vAlign w:val="center"/>
          </w:tcPr>
          <w:p>
            <w:pPr>
              <w:widowControl/>
              <w:spacing w:line="240" w:lineRule="atLeast"/>
              <w:ind w:firstLine="0" w:firstLineChars="0"/>
              <w:jc w:val="center"/>
              <w:rPr>
                <w:kern w:val="0"/>
                <w:sz w:val="18"/>
                <w:szCs w:val="18"/>
              </w:rPr>
            </w:pPr>
            <w:r>
              <w:rPr>
                <w:kern w:val="0"/>
                <w:sz w:val="18"/>
                <w:szCs w:val="18"/>
              </w:rPr>
              <w:t>2</w:t>
            </w:r>
            <w:r>
              <w:rPr>
                <w:rFonts w:hint="eastAsia"/>
                <w:kern w:val="0"/>
                <w:sz w:val="18"/>
                <w:szCs w:val="18"/>
              </w:rPr>
              <w:t>3</w:t>
            </w:r>
          </w:p>
        </w:tc>
        <w:tc>
          <w:tcPr>
            <w:tcW w:w="125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4" w:type="dxa"/>
            <w:vAlign w:val="center"/>
          </w:tcPr>
          <w:p>
            <w:pPr>
              <w:widowControl/>
              <w:spacing w:line="240" w:lineRule="atLeast"/>
              <w:ind w:firstLine="0" w:firstLineChars="0"/>
              <w:jc w:val="center"/>
              <w:rPr>
                <w:kern w:val="0"/>
                <w:sz w:val="18"/>
                <w:szCs w:val="18"/>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丰文街道</w:t>
            </w: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1</w:t>
            </w:r>
          </w:p>
        </w:tc>
        <w:tc>
          <w:tcPr>
            <w:tcW w:w="984" w:type="dxa"/>
            <w:vAlign w:val="center"/>
          </w:tcPr>
          <w:p>
            <w:pPr>
              <w:widowControl/>
              <w:spacing w:line="240" w:lineRule="atLeast"/>
              <w:ind w:firstLine="0" w:firstLineChars="0"/>
              <w:jc w:val="center"/>
              <w:rPr>
                <w:kern w:val="0"/>
                <w:sz w:val="20"/>
                <w:szCs w:val="15"/>
              </w:rPr>
            </w:pPr>
          </w:p>
        </w:tc>
        <w:tc>
          <w:tcPr>
            <w:tcW w:w="1253" w:type="dxa"/>
            <w:vAlign w:val="center"/>
          </w:tcPr>
          <w:p>
            <w:pPr>
              <w:widowControl/>
              <w:spacing w:line="240" w:lineRule="atLeast"/>
              <w:ind w:firstLine="0" w:firstLineChars="0"/>
              <w:jc w:val="center"/>
              <w:rPr>
                <w:kern w:val="0"/>
                <w:sz w:val="20"/>
                <w:szCs w:val="15"/>
              </w:rPr>
            </w:pPr>
            <w:r>
              <w:rPr>
                <w:rFonts w:hint="eastAsia"/>
                <w:kern w:val="0"/>
                <w:sz w:val="20"/>
                <w:szCs w:val="15"/>
              </w:rPr>
              <w:t>4</w:t>
            </w:r>
          </w:p>
        </w:tc>
        <w:tc>
          <w:tcPr>
            <w:tcW w:w="1254" w:type="dxa"/>
            <w:vAlign w:val="center"/>
          </w:tcPr>
          <w:p>
            <w:pPr>
              <w:widowControl/>
              <w:spacing w:line="240" w:lineRule="atLeast"/>
              <w:ind w:firstLine="0" w:firstLineChars="0"/>
              <w:jc w:val="center"/>
              <w:rPr>
                <w:kern w:val="0"/>
                <w:sz w:val="20"/>
                <w:szCs w:val="15"/>
              </w:rPr>
            </w:pPr>
            <w:r>
              <w:rPr>
                <w:rFonts w:hint="eastAsia"/>
                <w:kern w:val="0"/>
                <w:sz w:val="20"/>
                <w:szCs w:val="15"/>
              </w:rPr>
              <w:t>1</w:t>
            </w:r>
          </w:p>
        </w:tc>
        <w:tc>
          <w:tcPr>
            <w:tcW w:w="984"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双碑街道</w:t>
            </w:r>
          </w:p>
        </w:tc>
        <w:tc>
          <w:tcPr>
            <w:tcW w:w="985"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1253" w:type="dxa"/>
            <w:vAlign w:val="center"/>
          </w:tcPr>
          <w:p>
            <w:pPr>
              <w:widowControl/>
              <w:spacing w:line="240" w:lineRule="atLeast"/>
              <w:ind w:firstLine="0" w:firstLineChars="0"/>
              <w:jc w:val="center"/>
              <w:rPr>
                <w:kern w:val="0"/>
                <w:sz w:val="20"/>
                <w:szCs w:val="15"/>
              </w:rPr>
            </w:pPr>
            <w:r>
              <w:rPr>
                <w:rFonts w:hint="eastAsia"/>
                <w:kern w:val="0"/>
                <w:sz w:val="20"/>
                <w:szCs w:val="15"/>
              </w:rPr>
              <w:t>1</w:t>
            </w:r>
          </w:p>
        </w:tc>
        <w:tc>
          <w:tcPr>
            <w:tcW w:w="1254"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香炉山街道</w:t>
            </w:r>
          </w:p>
        </w:tc>
        <w:tc>
          <w:tcPr>
            <w:tcW w:w="985"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r>
              <w:rPr>
                <w:rFonts w:hint="eastAsia"/>
                <w:kern w:val="0"/>
                <w:sz w:val="20"/>
                <w:szCs w:val="15"/>
              </w:rPr>
              <w:t>1</w:t>
            </w:r>
          </w:p>
        </w:tc>
        <w:tc>
          <w:tcPr>
            <w:tcW w:w="1253" w:type="dxa"/>
            <w:vAlign w:val="center"/>
          </w:tcPr>
          <w:p>
            <w:pPr>
              <w:widowControl/>
              <w:spacing w:line="240" w:lineRule="atLeast"/>
              <w:ind w:firstLine="0" w:firstLineChars="0"/>
              <w:jc w:val="center"/>
              <w:rPr>
                <w:kern w:val="0"/>
                <w:sz w:val="20"/>
                <w:szCs w:val="15"/>
              </w:rPr>
            </w:pPr>
            <w:r>
              <w:rPr>
                <w:rFonts w:hint="eastAsia"/>
                <w:kern w:val="0"/>
                <w:sz w:val="20"/>
                <w:szCs w:val="15"/>
              </w:rPr>
              <w:t>6</w:t>
            </w:r>
          </w:p>
        </w:tc>
        <w:tc>
          <w:tcPr>
            <w:tcW w:w="1254"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984" w:type="dxa"/>
            <w:vAlign w:val="center"/>
          </w:tcPr>
          <w:p>
            <w:pPr>
              <w:widowControl/>
              <w:spacing w:line="240" w:lineRule="atLeast"/>
              <w:ind w:firstLine="0" w:firstLineChars="0"/>
              <w:jc w:val="center"/>
              <w:rPr>
                <w:kern w:val="0"/>
                <w:sz w:val="20"/>
                <w:szCs w:val="15"/>
              </w:rPr>
            </w:pP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vAlign w:val="center"/>
          </w:tcPr>
          <w:p>
            <w:pPr>
              <w:widowControl/>
              <w:spacing w:line="240" w:lineRule="atLeast"/>
              <w:ind w:firstLine="0" w:firstLineChars="0"/>
              <w:jc w:val="center"/>
              <w:rPr>
                <w:rFonts w:ascii="宋体" w:hAnsi="宋体" w:cs="宋体"/>
                <w:kern w:val="0"/>
                <w:sz w:val="18"/>
                <w:szCs w:val="18"/>
              </w:rPr>
            </w:pPr>
            <w:r>
              <w:rPr>
                <w:rFonts w:hint="eastAsia" w:ascii="宋体" w:hAnsi="宋体" w:cs="宋体"/>
                <w:kern w:val="0"/>
                <w:sz w:val="18"/>
                <w:szCs w:val="18"/>
              </w:rPr>
              <w:t>合计</w:t>
            </w: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40</w:t>
            </w:r>
          </w:p>
        </w:tc>
        <w:tc>
          <w:tcPr>
            <w:tcW w:w="984" w:type="dxa"/>
            <w:vAlign w:val="center"/>
          </w:tcPr>
          <w:p>
            <w:pPr>
              <w:widowControl/>
              <w:spacing w:line="240" w:lineRule="atLeast"/>
              <w:ind w:firstLine="0" w:firstLineChars="0"/>
              <w:jc w:val="center"/>
              <w:rPr>
                <w:kern w:val="0"/>
                <w:sz w:val="20"/>
                <w:szCs w:val="15"/>
              </w:rPr>
            </w:pPr>
            <w:r>
              <w:rPr>
                <w:rFonts w:hint="eastAsia"/>
                <w:kern w:val="0"/>
                <w:sz w:val="20"/>
                <w:szCs w:val="15"/>
              </w:rPr>
              <w:t>18</w:t>
            </w:r>
          </w:p>
        </w:tc>
        <w:tc>
          <w:tcPr>
            <w:tcW w:w="1253" w:type="dxa"/>
            <w:vAlign w:val="center"/>
          </w:tcPr>
          <w:p>
            <w:pPr>
              <w:widowControl/>
              <w:spacing w:line="240" w:lineRule="atLeast"/>
              <w:ind w:firstLine="0" w:firstLineChars="0"/>
              <w:jc w:val="center"/>
              <w:rPr>
                <w:kern w:val="0"/>
                <w:sz w:val="20"/>
                <w:szCs w:val="15"/>
              </w:rPr>
            </w:pPr>
            <w:r>
              <w:rPr>
                <w:kern w:val="0"/>
                <w:sz w:val="20"/>
                <w:szCs w:val="15"/>
              </w:rPr>
              <w:t>11</w:t>
            </w:r>
            <w:r>
              <w:rPr>
                <w:rFonts w:hint="eastAsia"/>
                <w:kern w:val="0"/>
                <w:sz w:val="20"/>
                <w:szCs w:val="15"/>
              </w:rPr>
              <w:t>8</w:t>
            </w:r>
          </w:p>
        </w:tc>
        <w:tc>
          <w:tcPr>
            <w:tcW w:w="1254" w:type="dxa"/>
            <w:vAlign w:val="center"/>
          </w:tcPr>
          <w:p>
            <w:pPr>
              <w:widowControl/>
              <w:spacing w:line="240" w:lineRule="atLeast"/>
              <w:ind w:firstLine="0" w:firstLineChars="0"/>
              <w:jc w:val="center"/>
              <w:rPr>
                <w:kern w:val="0"/>
                <w:sz w:val="20"/>
                <w:szCs w:val="15"/>
              </w:rPr>
            </w:pPr>
            <w:r>
              <w:rPr>
                <w:kern w:val="0"/>
                <w:sz w:val="20"/>
                <w:szCs w:val="15"/>
              </w:rPr>
              <w:t>4</w:t>
            </w:r>
          </w:p>
        </w:tc>
        <w:tc>
          <w:tcPr>
            <w:tcW w:w="984" w:type="dxa"/>
            <w:vAlign w:val="center"/>
          </w:tcPr>
          <w:p>
            <w:pPr>
              <w:widowControl/>
              <w:spacing w:line="240" w:lineRule="atLeast"/>
              <w:ind w:firstLine="0" w:firstLineChars="0"/>
              <w:jc w:val="center"/>
              <w:rPr>
                <w:kern w:val="0"/>
                <w:sz w:val="20"/>
                <w:szCs w:val="15"/>
              </w:rPr>
            </w:pPr>
            <w:r>
              <w:rPr>
                <w:rFonts w:hint="eastAsia"/>
                <w:kern w:val="0"/>
                <w:sz w:val="20"/>
                <w:szCs w:val="15"/>
              </w:rPr>
              <w:t>25</w:t>
            </w:r>
          </w:p>
        </w:tc>
        <w:tc>
          <w:tcPr>
            <w:tcW w:w="984" w:type="dxa"/>
            <w:vAlign w:val="center"/>
          </w:tcPr>
          <w:p>
            <w:pPr>
              <w:widowControl/>
              <w:spacing w:line="240" w:lineRule="atLeast"/>
              <w:ind w:firstLine="0" w:firstLineChars="0"/>
              <w:jc w:val="center"/>
              <w:rPr>
                <w:kern w:val="0"/>
                <w:sz w:val="20"/>
                <w:szCs w:val="15"/>
              </w:rPr>
            </w:pPr>
            <w:r>
              <w:rPr>
                <w:rFonts w:hint="eastAsia"/>
                <w:kern w:val="0"/>
                <w:sz w:val="20"/>
                <w:szCs w:val="15"/>
              </w:rPr>
              <w:t>0</w:t>
            </w:r>
          </w:p>
        </w:tc>
        <w:tc>
          <w:tcPr>
            <w:tcW w:w="985" w:type="dxa"/>
            <w:vAlign w:val="center"/>
          </w:tcPr>
          <w:p>
            <w:pPr>
              <w:widowControl/>
              <w:spacing w:line="240" w:lineRule="atLeast"/>
              <w:ind w:firstLine="0" w:firstLineChars="0"/>
              <w:jc w:val="center"/>
              <w:rPr>
                <w:kern w:val="0"/>
                <w:sz w:val="20"/>
                <w:szCs w:val="15"/>
              </w:rPr>
            </w:pPr>
            <w:r>
              <w:rPr>
                <w:rFonts w:hint="eastAsia"/>
                <w:kern w:val="0"/>
                <w:sz w:val="20"/>
                <w:szCs w:val="15"/>
              </w:rPr>
              <w:t>206</w:t>
            </w:r>
          </w:p>
        </w:tc>
      </w:tr>
    </w:tbl>
    <w:p>
      <w:pPr>
        <w:spacing w:line="400" w:lineRule="exact"/>
        <w:ind w:firstLine="420"/>
        <w:jc w:val="left"/>
        <w:rPr>
          <w:sz w:val="21"/>
          <w:szCs w:val="13"/>
        </w:rPr>
        <w:sectPr>
          <w:pgSz w:w="11906" w:h="16838"/>
          <w:pgMar w:top="1418" w:right="1701" w:bottom="1418" w:left="1134" w:header="851" w:footer="992" w:gutter="0"/>
          <w:cols w:space="720" w:num="1"/>
          <w:docGrid w:linePitch="312" w:charSpace="0"/>
        </w:sectPr>
      </w:pPr>
      <w:r>
        <w:rPr>
          <w:rFonts w:hint="eastAsia"/>
          <w:color w:val="000000"/>
          <w:sz w:val="21"/>
          <w:szCs w:val="20"/>
        </w:rPr>
        <w:t>注：香炉山街道、西永街道、曾家镇、虎溪街道已列入高新区范围。</w:t>
      </w:r>
    </w:p>
    <w:p>
      <w:pPr>
        <w:ind w:firstLine="562"/>
        <w:jc w:val="center"/>
        <w:rPr>
          <w:b/>
          <w:bCs/>
          <w:sz w:val="32"/>
          <w:szCs w:val="32"/>
        </w:rPr>
      </w:pPr>
      <w:r>
        <w:rPr>
          <w:b/>
          <w:bCs/>
          <w:szCs w:val="28"/>
        </w:rPr>
        <mc:AlternateContent>
          <mc:Choice Requires="wps">
            <w:drawing>
              <wp:anchor distT="0" distB="0" distL="114300" distR="114300" simplePos="0" relativeHeight="251657216" behindDoc="0" locked="0" layoutInCell="1" allowOverlap="1">
                <wp:simplePos x="0" y="0"/>
                <wp:positionH relativeFrom="column">
                  <wp:posOffset>-148590</wp:posOffset>
                </wp:positionH>
                <wp:positionV relativeFrom="paragraph">
                  <wp:posOffset>-624840</wp:posOffset>
                </wp:positionV>
                <wp:extent cx="9201150" cy="343535"/>
                <wp:effectExtent l="0" t="0" r="635" b="1270"/>
                <wp:wrapNone/>
                <wp:docPr id="4" name="文本框 31"/>
                <wp:cNvGraphicFramePr/>
                <a:graphic xmlns:a="http://schemas.openxmlformats.org/drawingml/2006/main">
                  <a:graphicData uri="http://schemas.microsoft.com/office/word/2010/wordprocessingShape">
                    <wps:wsp>
                      <wps:cNvSpPr txBox="true">
                        <a:spLocks noChangeArrowheads="true"/>
                      </wps:cNvSpPr>
                      <wps:spPr bwMode="auto">
                        <a:xfrm>
                          <a:off x="0" y="0"/>
                          <a:ext cx="9201150" cy="343535"/>
                        </a:xfrm>
                        <a:prstGeom prst="rect">
                          <a:avLst/>
                        </a:prstGeom>
                        <a:solidFill>
                          <a:srgbClr val="FFFFFF"/>
                        </a:solidFill>
                        <a:ln>
                          <a:noFill/>
                        </a:ln>
                      </wps:spPr>
                      <wps:txbx>
                        <w:txbxContent>
                          <w:p>
                            <w:pPr>
                              <w:ind w:firstLine="560"/>
                            </w:pPr>
                          </w:p>
                        </w:txbxContent>
                      </wps:txbx>
                      <wps:bodyPr rot="0" vert="horz" wrap="square" lIns="91440" tIns="45720" rIns="91440" bIns="45720" anchor="t" anchorCtr="false" upright="true">
                        <a:noAutofit/>
                      </wps:bodyPr>
                    </wps:wsp>
                  </a:graphicData>
                </a:graphic>
              </wp:anchor>
            </w:drawing>
          </mc:Choice>
          <mc:Fallback>
            <w:pict>
              <v:shape id="文本框 31" o:spid="_x0000_s1026" o:spt="202" type="#_x0000_t202" style="position:absolute;left:0pt;margin-left:-11.7pt;margin-top:-49.2pt;height:27.05pt;width:724.5pt;z-index:251657216;mso-width-relative:page;mso-height-relative:page;" fillcolor="#FFFFFF" filled="t" stroked="f" coordsize="21600,21600" o:gfxdata="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na18HtkAAAAMAQAADwAAAAAAAAABACAAAAA4AAAAZHJzL2Rvd25yZXYueG1sUEsBAhQA&#10;FAAAAAgAh07iQFSAiF0UAgAA/gMAAA4AAAAAAAAAAQAgAAAAPgEAAGRycy9lMm9Eb2MueG1sUEsF&#10;BgAAAAAGAAYAWQEAAMQFAAAAAA==&#10;">
                <v:fill on="t" focussize="0,0"/>
                <v:stroke on="f"/>
                <v:imagedata o:title=""/>
                <o:lock v:ext="edit" aspectratio="f"/>
                <v:textbox>
                  <w:txbxContent>
                    <w:p>
                      <w:pPr>
                        <w:ind w:firstLine="560"/>
                      </w:pPr>
                    </w:p>
                  </w:txbxContent>
                </v:textbox>
              </v:shape>
            </w:pict>
          </mc:Fallback>
        </mc:AlternateContent>
      </w:r>
      <w:r>
        <w:rPr>
          <w:rFonts w:hint="eastAsia"/>
          <w:b/>
          <w:bCs/>
          <w:sz w:val="32"/>
          <w:szCs w:val="32"/>
        </w:rPr>
        <w:t>附</w:t>
      </w:r>
      <w:r>
        <w:rPr>
          <w:b/>
          <w:bCs/>
          <w:sz w:val="32"/>
          <w:szCs w:val="32"/>
        </w:rPr>
        <w:t>表</w:t>
      </w:r>
      <w:r>
        <w:rPr>
          <w:rFonts w:hint="eastAsia"/>
          <w:b/>
          <w:bCs/>
          <w:sz w:val="32"/>
          <w:szCs w:val="32"/>
        </w:rPr>
        <w:t>2</w:t>
      </w:r>
      <w:r>
        <w:rPr>
          <w:b/>
          <w:bCs/>
          <w:sz w:val="32"/>
          <w:szCs w:val="32"/>
        </w:rPr>
        <w:t xml:space="preserve">      </w:t>
      </w:r>
      <w:r>
        <w:rPr>
          <w:rFonts w:hint="eastAsia"/>
          <w:b/>
          <w:bCs/>
          <w:sz w:val="32"/>
          <w:szCs w:val="32"/>
        </w:rPr>
        <w:t>重庆市</w:t>
      </w:r>
      <w:r>
        <w:rPr>
          <w:b/>
          <w:bCs/>
          <w:sz w:val="32"/>
          <w:szCs w:val="32"/>
        </w:rPr>
        <w:t>沙坪坝区地质灾害防治分区划分表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735"/>
        <w:gridCol w:w="2145"/>
        <w:gridCol w:w="620"/>
        <w:gridCol w:w="575"/>
        <w:gridCol w:w="2825"/>
        <w:gridCol w:w="3489"/>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505"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b/>
                <w:sz w:val="24"/>
              </w:rPr>
            </w:pPr>
            <w:bookmarkStart w:id="413" w:name="_Toc326329179"/>
            <w:r>
              <w:rPr>
                <w:rFonts w:ascii="Times New Roman" w:hAnsi="Times New Roman" w:eastAsia="宋体"/>
                <w:sz w:val="18"/>
              </w:rPr>
              <w:t>等级</w:t>
            </w:r>
            <w:bookmarkEnd w:id="413"/>
          </w:p>
        </w:tc>
        <w:tc>
          <w:tcPr>
            <w:tcW w:w="735"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14" w:name="_Toc326329180"/>
            <w:r>
              <w:rPr>
                <w:rFonts w:ascii="Times New Roman" w:hAnsi="Times New Roman" w:eastAsia="宋体"/>
                <w:sz w:val="18"/>
              </w:rPr>
              <w:t>亚区</w:t>
            </w:r>
            <w:bookmarkEnd w:id="414"/>
          </w:p>
          <w:p>
            <w:pPr>
              <w:pStyle w:val="20"/>
              <w:spacing w:line="240" w:lineRule="atLeast"/>
              <w:ind w:firstLine="0" w:firstLineChars="0"/>
              <w:jc w:val="center"/>
              <w:rPr>
                <w:rFonts w:ascii="Times New Roman" w:hAnsi="Times New Roman" w:eastAsia="宋体"/>
                <w:sz w:val="18"/>
              </w:rPr>
            </w:pPr>
            <w:bookmarkStart w:id="415" w:name="_Toc326329181"/>
            <w:r>
              <w:rPr>
                <w:rFonts w:ascii="Times New Roman" w:hAnsi="Times New Roman" w:eastAsia="宋体"/>
                <w:sz w:val="18"/>
              </w:rPr>
              <w:t>名称</w:t>
            </w:r>
            <w:bookmarkEnd w:id="415"/>
          </w:p>
        </w:tc>
        <w:tc>
          <w:tcPr>
            <w:tcW w:w="2145"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16" w:name="_Toc326329182"/>
            <w:r>
              <w:rPr>
                <w:rFonts w:ascii="Times New Roman" w:hAnsi="Times New Roman" w:eastAsia="宋体"/>
                <w:sz w:val="18"/>
              </w:rPr>
              <w:t>分区范围</w:t>
            </w:r>
            <w:bookmarkEnd w:id="416"/>
          </w:p>
        </w:tc>
        <w:tc>
          <w:tcPr>
            <w:tcW w:w="620" w:type="dxa"/>
            <w:tcMar>
              <w:top w:w="28" w:type="dxa"/>
              <w:left w:w="85" w:type="dxa"/>
              <w:bottom w:w="28" w:type="dxa"/>
              <w:right w:w="85" w:type="dxa"/>
            </w:tcMar>
            <w:vAlign w:val="center"/>
          </w:tcPr>
          <w:p>
            <w:pPr>
              <w:spacing w:line="240" w:lineRule="atLeast"/>
              <w:ind w:firstLine="0" w:firstLineChars="0"/>
              <w:jc w:val="center"/>
              <w:rPr>
                <w:sz w:val="18"/>
              </w:rPr>
            </w:pPr>
            <w:r>
              <w:rPr>
                <w:sz w:val="18"/>
              </w:rPr>
              <w:t>面积</w:t>
            </w:r>
          </w:p>
          <w:p>
            <w:pPr>
              <w:spacing w:line="240" w:lineRule="atLeast"/>
              <w:ind w:firstLine="0" w:firstLineChars="0"/>
              <w:jc w:val="center"/>
              <w:rPr>
                <w:sz w:val="18"/>
              </w:rPr>
            </w:pPr>
            <w:r>
              <w:rPr>
                <w:sz w:val="18"/>
              </w:rPr>
              <w:t>(Km</w:t>
            </w:r>
            <w:r>
              <w:rPr>
                <w:sz w:val="18"/>
                <w:vertAlign w:val="superscript"/>
              </w:rPr>
              <w:t>2</w:t>
            </w:r>
            <w:r>
              <w:rPr>
                <w:sz w:val="18"/>
              </w:rPr>
              <w:t>)</w:t>
            </w:r>
          </w:p>
        </w:tc>
        <w:tc>
          <w:tcPr>
            <w:tcW w:w="575" w:type="dxa"/>
            <w:tcMar>
              <w:top w:w="28" w:type="dxa"/>
              <w:left w:w="85" w:type="dxa"/>
              <w:bottom w:w="28" w:type="dxa"/>
              <w:right w:w="85" w:type="dxa"/>
            </w:tcMar>
            <w:vAlign w:val="center"/>
          </w:tcPr>
          <w:p>
            <w:pPr>
              <w:spacing w:line="240" w:lineRule="atLeast"/>
              <w:ind w:firstLine="0" w:firstLineChars="0"/>
              <w:jc w:val="center"/>
              <w:rPr>
                <w:sz w:val="18"/>
              </w:rPr>
            </w:pPr>
            <w:r>
              <w:rPr>
                <w:sz w:val="18"/>
              </w:rPr>
              <w:t>比例</w:t>
            </w:r>
          </w:p>
          <w:p>
            <w:pPr>
              <w:spacing w:line="240" w:lineRule="atLeast"/>
              <w:ind w:firstLine="0" w:firstLineChars="0"/>
              <w:jc w:val="center"/>
              <w:rPr>
                <w:sz w:val="18"/>
              </w:rPr>
            </w:pPr>
            <w:r>
              <w:rPr>
                <w:sz w:val="18"/>
              </w:rPr>
              <w:t>(%)</w:t>
            </w:r>
          </w:p>
        </w:tc>
        <w:tc>
          <w:tcPr>
            <w:tcW w:w="2825"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17" w:name="_Toc326329183"/>
            <w:r>
              <w:rPr>
                <w:rFonts w:ascii="Times New Roman" w:hAnsi="Times New Roman" w:eastAsia="宋体"/>
                <w:sz w:val="18"/>
              </w:rPr>
              <w:t>地质灾害发育情况</w:t>
            </w:r>
            <w:bookmarkEnd w:id="417"/>
          </w:p>
        </w:tc>
        <w:tc>
          <w:tcPr>
            <w:tcW w:w="3489"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18" w:name="_Toc326329184"/>
            <w:r>
              <w:rPr>
                <w:rFonts w:ascii="Times New Roman" w:hAnsi="Times New Roman" w:eastAsia="宋体"/>
                <w:sz w:val="18"/>
              </w:rPr>
              <w:t>地质灾害危害情况</w:t>
            </w:r>
            <w:bookmarkEnd w:id="418"/>
          </w:p>
        </w:tc>
        <w:tc>
          <w:tcPr>
            <w:tcW w:w="2109"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19" w:name="_Toc326329185"/>
            <w:r>
              <w:rPr>
                <w:rFonts w:ascii="Times New Roman" w:hAnsi="Times New Roman" w:eastAsia="宋体"/>
                <w:sz w:val="18"/>
              </w:rPr>
              <w:t>地质灾害防治措施</w:t>
            </w:r>
            <w:bookmarkEnd w:id="4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atLeast"/>
        </w:trPr>
        <w:tc>
          <w:tcPr>
            <w:tcW w:w="505" w:type="dxa"/>
            <w:vMerge w:val="restart"/>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bookmarkStart w:id="420" w:name="_Toc326329186"/>
            <w:r>
              <w:rPr>
                <w:rFonts w:ascii="Times New Roman" w:hAnsi="Times New Roman" w:eastAsia="宋体"/>
                <w:sz w:val="18"/>
              </w:rPr>
              <w:t>重点防治区</w:t>
            </w:r>
          </w:p>
          <w:p>
            <w:pPr>
              <w:pStyle w:val="20"/>
              <w:spacing w:line="240" w:lineRule="atLeast"/>
              <w:ind w:firstLine="0" w:firstLineChars="0"/>
              <w:jc w:val="center"/>
              <w:rPr>
                <w:rFonts w:ascii="Times New Roman" w:hAnsi="Times New Roman" w:eastAsia="宋体"/>
                <w:sz w:val="18"/>
              </w:rPr>
            </w:pPr>
          </w:p>
          <w:p>
            <w:pPr>
              <w:pStyle w:val="20"/>
              <w:spacing w:line="240" w:lineRule="atLeast"/>
              <w:ind w:firstLine="0" w:firstLineChars="0"/>
              <w:jc w:val="center"/>
              <w:rPr>
                <w:rFonts w:ascii="Times New Roman" w:hAnsi="Times New Roman" w:eastAsia="宋体"/>
                <w:b/>
                <w:bCs/>
                <w:sz w:val="18"/>
              </w:rPr>
            </w:pPr>
            <w:r>
              <w:rPr>
                <w:rFonts w:hint="eastAsia" w:ascii="宋体" w:hAnsi="宋体" w:eastAsia="宋体" w:cs="宋体"/>
                <w:b/>
                <w:bCs/>
                <w:sz w:val="18"/>
              </w:rPr>
              <w:t>Ⅰ</w:t>
            </w:r>
            <w:bookmarkEnd w:id="420"/>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b/>
                <w:bCs/>
                <w:sz w:val="18"/>
              </w:rPr>
            </w:pPr>
            <w:r>
              <w:rPr>
                <w:rFonts w:hint="eastAsia" w:ascii="宋体" w:hAnsi="宋体"/>
                <w:szCs w:val="28"/>
              </w:rPr>
              <w:t>Ⅰ</w:t>
            </w:r>
            <w:r>
              <w:rPr>
                <w:rFonts w:hint="eastAsia" w:ascii="宋体" w:hAnsi="宋体"/>
                <w:szCs w:val="28"/>
                <w:vertAlign w:val="subscript"/>
              </w:rPr>
              <w:t>1</w:t>
            </w:r>
          </w:p>
        </w:tc>
        <w:tc>
          <w:tcPr>
            <w:tcW w:w="2145" w:type="dxa"/>
            <w:tcMar>
              <w:top w:w="28" w:type="dxa"/>
              <w:left w:w="85" w:type="dxa"/>
              <w:bottom w:w="28" w:type="dxa"/>
              <w:right w:w="85" w:type="dxa"/>
            </w:tcMar>
            <w:vAlign w:val="center"/>
          </w:tcPr>
          <w:p>
            <w:pPr>
              <w:adjustRightInd w:val="0"/>
              <w:snapToGrid w:val="0"/>
              <w:spacing w:line="240" w:lineRule="atLeast"/>
              <w:ind w:firstLine="0" w:firstLineChars="0"/>
              <w:rPr>
                <w:sz w:val="18"/>
              </w:rPr>
            </w:pPr>
            <w:r>
              <w:rPr>
                <w:rFonts w:hint="eastAsia"/>
                <w:sz w:val="18"/>
              </w:rPr>
              <w:t>中梁镇—歌乐山镇重点防治区，</w:t>
            </w:r>
            <w:r>
              <w:rPr>
                <w:sz w:val="18"/>
              </w:rPr>
              <w:t>该区域主要涉及</w:t>
            </w:r>
            <w:r>
              <w:rPr>
                <w:rFonts w:hint="eastAsia"/>
                <w:sz w:val="18"/>
              </w:rPr>
              <w:t>中梁镇和歌乐山镇岩溶发育地区，居民、厂房均较密集。</w:t>
            </w:r>
          </w:p>
          <w:p>
            <w:pPr>
              <w:autoSpaceDE w:val="0"/>
              <w:autoSpaceDN w:val="0"/>
              <w:adjustRightInd w:val="0"/>
              <w:spacing w:line="240" w:lineRule="atLeast"/>
              <w:ind w:firstLine="0" w:firstLineChars="0"/>
              <w:jc w:val="left"/>
              <w:rPr>
                <w:sz w:val="18"/>
              </w:rPr>
            </w:pP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33.46</w:t>
            </w:r>
          </w:p>
        </w:tc>
        <w:tc>
          <w:tcPr>
            <w:tcW w:w="575" w:type="dxa"/>
            <w:tcMar>
              <w:top w:w="28" w:type="dxa"/>
              <w:left w:w="85" w:type="dxa"/>
              <w:bottom w:w="28" w:type="dxa"/>
              <w:right w:w="85" w:type="dxa"/>
            </w:tcMar>
            <w:vAlign w:val="center"/>
          </w:tcPr>
          <w:p>
            <w:pPr>
              <w:spacing w:line="240" w:lineRule="atLeast"/>
              <w:ind w:firstLine="0" w:firstLineChars="0"/>
              <w:jc w:val="center"/>
              <w:rPr>
                <w:sz w:val="18"/>
              </w:rPr>
            </w:pPr>
            <w:r>
              <w:rPr>
                <w:rFonts w:hint="eastAsia"/>
                <w:sz w:val="18"/>
              </w:rPr>
              <w:t>9.60</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jc w:val="left"/>
              <w:rPr>
                <w:sz w:val="18"/>
              </w:rPr>
            </w:pPr>
            <w:r>
              <w:rPr>
                <w:rFonts w:hint="eastAsia"/>
                <w:sz w:val="18"/>
              </w:rPr>
              <w:t>地貌上属岩溶槽谷宽缓地带，地形相对低洼，并且有第四系土层覆盖较厚，分布有塌陷、洼地和峰丛等。区域属于地质灾害高易发区和中易发区，地灾类型主要为塌陷，其次为滑坡和不稳定斜坡等。</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rPr>
              <w:t>区域内人口密集，工业较发达，地质灾害主要类型为塌陷，发育密度大。正在施工的成渝客专歌乐山隧洞、兰渝铁路中梁山隧洞、“两双工程”的双碑隧道，在施工过程中可能诱发地面塌陷、地下水疏干等地质灾害。</w:t>
            </w:r>
            <w:r>
              <w:rPr>
                <w:sz w:val="18"/>
              </w:rPr>
              <w:t>区内人地质灾害密度较大，稳定性差，</w:t>
            </w:r>
            <w:r>
              <w:rPr>
                <w:rFonts w:hint="eastAsia"/>
                <w:sz w:val="18"/>
              </w:rPr>
              <w:t>发生地灾的可能性为中～大，地质灾害的风险性大。</w:t>
            </w:r>
          </w:p>
        </w:tc>
        <w:tc>
          <w:tcPr>
            <w:tcW w:w="2109" w:type="dxa"/>
            <w:tcMar>
              <w:top w:w="28" w:type="dxa"/>
              <w:left w:w="85" w:type="dxa"/>
              <w:bottom w:w="28" w:type="dxa"/>
              <w:right w:w="85" w:type="dxa"/>
            </w:tcMar>
            <w:vAlign w:val="center"/>
          </w:tcPr>
          <w:p>
            <w:pPr>
              <w:autoSpaceDE w:val="0"/>
              <w:autoSpaceDN w:val="0"/>
              <w:adjustRightInd w:val="0"/>
              <w:spacing w:line="240" w:lineRule="atLeast"/>
              <w:ind w:firstLine="0" w:firstLineChars="0"/>
              <w:jc w:val="left"/>
              <w:rPr>
                <w:sz w:val="18"/>
              </w:rPr>
            </w:pPr>
            <w:r>
              <w:rPr>
                <w:rFonts w:hint="eastAsia"/>
                <w:sz w:val="18"/>
              </w:rPr>
              <w:t>根据地灾的特性，区内以搬迁避让、结合工程治理为主，对区内所有地面塌陷进行专业监测，其他危害性较小或稳定性较好的先行实施三级监测。</w:t>
            </w:r>
          </w:p>
          <w:p>
            <w:pPr>
              <w:autoSpaceDE w:val="0"/>
              <w:autoSpaceDN w:val="0"/>
              <w:adjustRightInd w:val="0"/>
              <w:spacing w:line="240" w:lineRule="atLeast"/>
              <w:ind w:firstLine="0" w:firstLineChars="0"/>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b/>
                <w:bCs/>
                <w:sz w:val="18"/>
              </w:rPr>
            </w:pPr>
            <w:r>
              <w:rPr>
                <w:rFonts w:hint="eastAsia" w:ascii="宋体" w:hAnsi="宋体"/>
                <w:szCs w:val="28"/>
              </w:rPr>
              <w:t>Ⅰ</w:t>
            </w:r>
            <w:r>
              <w:rPr>
                <w:rFonts w:hint="eastAsia" w:ascii="宋体" w:hAnsi="宋体"/>
                <w:szCs w:val="28"/>
                <w:vertAlign w:val="subscript"/>
              </w:rPr>
              <w:t>2</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rPr>
              <w:t>磁器口及嘉陵江沿岸重点防治区，</w:t>
            </w:r>
            <w:r>
              <w:rPr>
                <w:sz w:val="18"/>
              </w:rPr>
              <w:t>主要涉及</w:t>
            </w:r>
            <w:r>
              <w:rPr>
                <w:rFonts w:hint="eastAsia"/>
                <w:sz w:val="18"/>
              </w:rPr>
              <w:t>磁器口及嘉陵江沿岸高易发区（A2区）和土湾二层岩高易发区（A1区）,该区地处嘉陵江右岸，主要为沙坪坝城市区，居民密集。</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1.81</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0.52</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rPr>
              <w:t>该区地处嘉陵江右岸，主要为沙坪坝城市区，旅游区、居民密集。岸坡地形较陡，人类工程活动极强烈，在暴雨的作用下，易形成或加剧地质灾害。同时岸坡受嘉陵江地表水影响明显，在暴雨和江水涨落的作用下，易形成或加剧地质灾害。区域属于地质灾害中-高易发区。</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rPr>
              <w:t>主要为沙坪坝城市区和嘉陵江右岸，居民密集，区域内社会经济发达，并分布有中国历史文化名街磁器口古镇，同时影响嘉陵江航道安全通航。同时该区域为地质灾害高易发区</w:t>
            </w:r>
            <w:r>
              <w:rPr>
                <w:sz w:val="18"/>
              </w:rPr>
              <w:t>，危害程度大</w:t>
            </w:r>
            <w:r>
              <w:rPr>
                <w:rFonts w:hint="eastAsia"/>
                <w:sz w:val="18"/>
              </w:rPr>
              <w:t>，地灾</w:t>
            </w:r>
            <w:r>
              <w:rPr>
                <w:sz w:val="18"/>
              </w:rPr>
              <w:t>稳定性差，</w:t>
            </w:r>
            <w:r>
              <w:rPr>
                <w:rFonts w:hint="eastAsia"/>
                <w:sz w:val="18"/>
              </w:rPr>
              <w:t>发生地灾的可能性大，地质灾害的风险性大。</w:t>
            </w:r>
          </w:p>
        </w:tc>
        <w:tc>
          <w:tcPr>
            <w:tcW w:w="210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rPr>
              <w:t>根据地灾的特性，区内对稳定性较差的岸坡、不稳定斜坡以工程治理和</w:t>
            </w:r>
            <w:r>
              <w:rPr>
                <w:sz w:val="18"/>
              </w:rPr>
              <w:t>生物工程进行防治</w:t>
            </w:r>
            <w:r>
              <w:rPr>
                <w:rFonts w:hint="eastAsia"/>
                <w:sz w:val="18"/>
              </w:rPr>
              <w:t>为主，对所有地灾点进行的实施三级监测。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505" w:type="dxa"/>
            <w:vMerge w:val="restart"/>
            <w:tcMar>
              <w:top w:w="28" w:type="dxa"/>
              <w:left w:w="85" w:type="dxa"/>
              <w:bottom w:w="28" w:type="dxa"/>
              <w:right w:w="85" w:type="dxa"/>
            </w:tcMar>
            <w:vAlign w:val="center"/>
          </w:tcPr>
          <w:p>
            <w:pPr>
              <w:pStyle w:val="20"/>
              <w:spacing w:line="240" w:lineRule="atLeast"/>
              <w:ind w:firstLine="0" w:firstLineChars="0"/>
              <w:rPr>
                <w:rFonts w:ascii="Times New Roman" w:hAnsi="Times New Roman" w:eastAsia="宋体"/>
                <w:sz w:val="18"/>
              </w:rPr>
            </w:pPr>
            <w:r>
              <w:rPr>
                <w:rFonts w:hint="eastAsia" w:ascii="Times New Roman" w:hAnsi="Times New Roman" w:eastAsia="宋体"/>
                <w:sz w:val="18"/>
              </w:rPr>
              <w:t>次重点防治区</w:t>
            </w:r>
            <w:r>
              <w:rPr>
                <w:rFonts w:hint="eastAsia" w:ascii="宋体" w:hAnsi="宋体" w:eastAsia="宋体"/>
                <w:szCs w:val="28"/>
              </w:rPr>
              <w:t>Ⅱ</w:t>
            </w: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b/>
                <w:bCs/>
                <w:sz w:val="18"/>
              </w:rPr>
            </w:pPr>
            <w:r>
              <w:rPr>
                <w:rFonts w:hint="eastAsia" w:ascii="宋体" w:hAnsi="宋体"/>
                <w:szCs w:val="28"/>
              </w:rPr>
              <w:t>Ⅱ</w:t>
            </w:r>
            <w:r>
              <w:rPr>
                <w:rFonts w:hint="eastAsia" w:ascii="宋体" w:hAnsi="宋体"/>
                <w:szCs w:val="28"/>
                <w:vertAlign w:val="subscript"/>
              </w:rPr>
              <w:t>1</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ascii="宋体" w:hAnsi="宋体"/>
                <w:sz w:val="18"/>
                <w:szCs w:val="18"/>
              </w:rPr>
              <w:t>青木关—曾家镇西侧低山</w:t>
            </w:r>
            <w:r>
              <w:rPr>
                <w:rFonts w:hint="eastAsia"/>
                <w:sz w:val="18"/>
              </w:rPr>
              <w:t>次重点防治区</w:t>
            </w:r>
            <w:r>
              <w:rPr>
                <w:rFonts w:hint="eastAsia" w:ascii="宋体" w:hAnsi="宋体"/>
                <w:sz w:val="18"/>
                <w:szCs w:val="18"/>
              </w:rPr>
              <w:t>。</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42..15</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12.10</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szCs w:val="18"/>
              </w:rPr>
              <w:t>该地区主要位于缙云山东坡斜坡中下部，面积约42.38km</w:t>
            </w:r>
            <w:r>
              <w:rPr>
                <w:rFonts w:hint="eastAsia"/>
                <w:sz w:val="18"/>
                <w:szCs w:val="18"/>
                <w:vertAlign w:val="superscript"/>
              </w:rPr>
              <w:t>2</w:t>
            </w:r>
            <w:r>
              <w:rPr>
                <w:rFonts w:hint="eastAsia"/>
                <w:sz w:val="18"/>
                <w:szCs w:val="18"/>
              </w:rPr>
              <w:t>，</w:t>
            </w:r>
            <w:r>
              <w:rPr>
                <w:sz w:val="18"/>
                <w:szCs w:val="18"/>
              </w:rPr>
              <w:t>占全区面积的</w:t>
            </w:r>
            <w:r>
              <w:rPr>
                <w:rFonts w:hint="eastAsia"/>
                <w:sz w:val="18"/>
                <w:szCs w:val="18"/>
              </w:rPr>
              <w:t>10.70</w:t>
            </w:r>
            <w:r>
              <w:rPr>
                <w:sz w:val="18"/>
                <w:szCs w:val="18"/>
              </w:rPr>
              <w:t>%</w:t>
            </w:r>
            <w:r>
              <w:rPr>
                <w:rFonts w:hint="eastAsia"/>
                <w:sz w:val="18"/>
                <w:szCs w:val="18"/>
              </w:rPr>
              <w:t>。该区处于温塘峡背斜东翼的斜坡地带，斜坡中下部第四系堆积物丰富，在降雨或人类工程活动等因素的影响下，较易形成滑坡等地质灾害，为地质灾害中易发区。</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sz w:val="18"/>
                <w:szCs w:val="18"/>
              </w:rPr>
              <w:t>区域</w:t>
            </w:r>
            <w:r>
              <w:rPr>
                <w:rFonts w:hint="eastAsia" w:ascii="宋体" w:hAnsi="宋体"/>
                <w:sz w:val="18"/>
                <w:szCs w:val="18"/>
              </w:rPr>
              <w:t>为丘陵山区，各类地质灾害沿斜坡西侧呈南北带状均有发育分布，区内</w:t>
            </w:r>
            <w:r>
              <w:rPr>
                <w:rFonts w:hint="eastAsia"/>
                <w:sz w:val="18"/>
                <w:szCs w:val="18"/>
              </w:rPr>
              <w:t>分布有城镇及农村居民，人口密度稍大。因此，本次规划中划分为次重点防治区。</w:t>
            </w:r>
          </w:p>
        </w:tc>
        <w:tc>
          <w:tcPr>
            <w:tcW w:w="210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sz w:val="18"/>
              </w:rPr>
              <w:t>区内以群测群防、</w:t>
            </w:r>
            <w:r>
              <w:rPr>
                <w:rFonts w:hint="eastAsia"/>
                <w:sz w:val="18"/>
              </w:rPr>
              <w:t>三级</w:t>
            </w:r>
            <w:r>
              <w:rPr>
                <w:sz w:val="18"/>
              </w:rPr>
              <w:t>监测为主。</w:t>
            </w:r>
            <w:r>
              <w:rPr>
                <w:rFonts w:hint="eastAsia"/>
                <w:sz w:val="18"/>
              </w:rPr>
              <w:t>对</w:t>
            </w:r>
            <w:r>
              <w:rPr>
                <w:sz w:val="18"/>
              </w:rPr>
              <w:t>稳定性较差</w:t>
            </w:r>
            <w:r>
              <w:rPr>
                <w:rFonts w:hint="eastAsia"/>
                <w:sz w:val="18"/>
              </w:rPr>
              <w:t>地灾点，</w:t>
            </w:r>
            <w:r>
              <w:rPr>
                <w:rFonts w:hint="eastAsia" w:ascii="宋体" w:hAnsi="宋体"/>
                <w:color w:val="000000"/>
                <w:sz w:val="18"/>
                <w:szCs w:val="18"/>
              </w:rPr>
              <w:t>居民</w:t>
            </w:r>
            <w:r>
              <w:rPr>
                <w:sz w:val="18"/>
              </w:rPr>
              <w:t>进行搬迁避让</w:t>
            </w:r>
            <w:r>
              <w:rPr>
                <w:rFonts w:hint="eastAsia"/>
                <w:sz w:val="18"/>
              </w:rPr>
              <w:t>，对影响人口较多的地灾点采用</w:t>
            </w:r>
            <w:r>
              <w:rPr>
                <w:sz w:val="18"/>
              </w:rPr>
              <w:t>工程措施、生物工程进行综合防治。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rFonts w:ascii="宋体" w:hAnsi="宋体"/>
                <w:szCs w:val="28"/>
              </w:rPr>
            </w:pPr>
            <w:r>
              <w:rPr>
                <w:rFonts w:hint="eastAsia" w:ascii="宋体" w:hAnsi="宋体"/>
                <w:szCs w:val="28"/>
              </w:rPr>
              <w:t>Ⅱ</w:t>
            </w:r>
            <w:r>
              <w:rPr>
                <w:rFonts w:hint="eastAsia" w:ascii="宋体" w:hAnsi="宋体"/>
                <w:szCs w:val="28"/>
                <w:vertAlign w:val="subscript"/>
              </w:rPr>
              <w:t>2</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rPr>
                <w:rFonts w:ascii="宋体" w:hAnsi="宋体"/>
                <w:sz w:val="18"/>
                <w:szCs w:val="18"/>
              </w:rPr>
            </w:pPr>
            <w:r>
              <w:rPr>
                <w:rFonts w:hint="eastAsia" w:ascii="宋体" w:hAnsi="宋体"/>
                <w:sz w:val="18"/>
                <w:szCs w:val="18"/>
              </w:rPr>
              <w:t>凤凰镇徐家坡-西永团结村低山</w:t>
            </w:r>
            <w:r>
              <w:rPr>
                <w:rFonts w:hint="eastAsia"/>
                <w:sz w:val="18"/>
              </w:rPr>
              <w:t>次重点防治区</w:t>
            </w:r>
            <w:r>
              <w:rPr>
                <w:rFonts w:hint="eastAsia" w:ascii="宋体" w:hAnsi="宋体"/>
                <w:sz w:val="18"/>
                <w:szCs w:val="18"/>
              </w:rPr>
              <w:t>。</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17.14</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4.92</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szCs w:val="18"/>
              </w:rPr>
            </w:pPr>
            <w:r>
              <w:rPr>
                <w:rFonts w:hint="eastAsia"/>
                <w:sz w:val="18"/>
                <w:szCs w:val="18"/>
              </w:rPr>
              <w:t xml:space="preserve">   该地区主要位于中梁山西侧坡斜坡中下部，面积约17.14km</w:t>
            </w:r>
            <w:r>
              <w:rPr>
                <w:rFonts w:hint="eastAsia"/>
                <w:sz w:val="18"/>
                <w:szCs w:val="18"/>
                <w:vertAlign w:val="superscript"/>
              </w:rPr>
              <w:t>2</w:t>
            </w:r>
            <w:r>
              <w:rPr>
                <w:rFonts w:hint="eastAsia"/>
                <w:sz w:val="18"/>
                <w:szCs w:val="18"/>
              </w:rPr>
              <w:t>，</w:t>
            </w:r>
            <w:r>
              <w:rPr>
                <w:sz w:val="18"/>
                <w:szCs w:val="18"/>
              </w:rPr>
              <w:t>占全区面积的</w:t>
            </w:r>
            <w:r>
              <w:rPr>
                <w:rFonts w:hint="eastAsia"/>
                <w:sz w:val="18"/>
                <w:szCs w:val="18"/>
              </w:rPr>
              <w:t>10.70</w:t>
            </w:r>
            <w:r>
              <w:rPr>
                <w:sz w:val="18"/>
                <w:szCs w:val="18"/>
              </w:rPr>
              <w:t>%</w:t>
            </w:r>
            <w:r>
              <w:rPr>
                <w:rFonts w:hint="eastAsia"/>
                <w:sz w:val="18"/>
                <w:szCs w:val="18"/>
              </w:rPr>
              <w:t>。该区处于观音峡背斜西翼的斜坡地带</w:t>
            </w:r>
            <w:r>
              <w:rPr>
                <w:rFonts w:hint="eastAsia"/>
                <w:sz w:val="18"/>
              </w:rPr>
              <w:t>。</w:t>
            </w:r>
            <w:r>
              <w:rPr>
                <w:rFonts w:hint="eastAsia" w:ascii="宋体" w:hAnsi="宋体"/>
                <w:sz w:val="18"/>
              </w:rPr>
              <w:t>受地形地貌和地层岩性影响，坡角较陡，岩体易沿层面破坏，</w:t>
            </w:r>
            <w:r>
              <w:rPr>
                <w:rFonts w:hint="eastAsia"/>
                <w:sz w:val="18"/>
                <w:szCs w:val="18"/>
              </w:rPr>
              <w:t xml:space="preserve">斜坡中下部第四系堆积物丰富，在降雨或人类工程活动等因素的影响下，较易形成滑坡等地质灾害，为地质灾害中易发区， </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szCs w:val="18"/>
              </w:rPr>
            </w:pPr>
            <w:r>
              <w:rPr>
                <w:rFonts w:hint="eastAsia"/>
                <w:sz w:val="18"/>
                <w:szCs w:val="18"/>
              </w:rPr>
              <w:t>区域</w:t>
            </w:r>
            <w:r>
              <w:rPr>
                <w:rFonts w:hint="eastAsia" w:ascii="宋体" w:hAnsi="宋体"/>
                <w:sz w:val="18"/>
                <w:szCs w:val="18"/>
              </w:rPr>
              <w:t>为丘陵山区，各类地质灾害沿斜坡西侧呈南北带状均有发育分布，区内</w:t>
            </w:r>
            <w:r>
              <w:rPr>
                <w:rFonts w:hint="eastAsia"/>
                <w:sz w:val="18"/>
                <w:szCs w:val="18"/>
              </w:rPr>
              <w:t>分布有城镇及农村居民，人口密度稍大。因此，本次规划中划分为次重点防治区。</w:t>
            </w:r>
          </w:p>
        </w:tc>
        <w:tc>
          <w:tcPr>
            <w:tcW w:w="210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sz w:val="18"/>
              </w:rPr>
              <w:t>区内以群测群防、</w:t>
            </w:r>
            <w:r>
              <w:rPr>
                <w:rFonts w:hint="eastAsia"/>
                <w:sz w:val="18"/>
              </w:rPr>
              <w:t>三级</w:t>
            </w:r>
            <w:r>
              <w:rPr>
                <w:sz w:val="18"/>
              </w:rPr>
              <w:t>监测为主。</w:t>
            </w:r>
            <w:r>
              <w:rPr>
                <w:rFonts w:hint="eastAsia"/>
                <w:sz w:val="18"/>
              </w:rPr>
              <w:t>对</w:t>
            </w:r>
            <w:r>
              <w:rPr>
                <w:sz w:val="18"/>
              </w:rPr>
              <w:t>稳定性较差</w:t>
            </w:r>
            <w:r>
              <w:rPr>
                <w:rFonts w:hint="eastAsia"/>
                <w:sz w:val="18"/>
              </w:rPr>
              <w:t>地灾点，</w:t>
            </w:r>
            <w:r>
              <w:rPr>
                <w:rFonts w:hint="eastAsia" w:ascii="宋体" w:hAnsi="宋体"/>
                <w:color w:val="000000"/>
                <w:sz w:val="18"/>
                <w:szCs w:val="18"/>
              </w:rPr>
              <w:t>居民</w:t>
            </w:r>
            <w:r>
              <w:rPr>
                <w:sz w:val="18"/>
              </w:rPr>
              <w:t>进行搬迁避让</w:t>
            </w:r>
            <w:r>
              <w:rPr>
                <w:rFonts w:hint="eastAsia"/>
                <w:sz w:val="18"/>
              </w:rPr>
              <w:t>，对影响人口较多的地灾点采用</w:t>
            </w:r>
            <w:r>
              <w:rPr>
                <w:sz w:val="18"/>
              </w:rPr>
              <w:t>工程措施、生物工程进行综合防治。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rFonts w:ascii="宋体" w:hAnsi="宋体"/>
                <w:szCs w:val="28"/>
              </w:rPr>
            </w:pPr>
            <w:r>
              <w:rPr>
                <w:rFonts w:hint="eastAsia" w:ascii="宋体" w:hAnsi="宋体"/>
                <w:szCs w:val="28"/>
              </w:rPr>
              <w:t>Ⅱ</w:t>
            </w:r>
            <w:r>
              <w:rPr>
                <w:rFonts w:hint="eastAsia" w:ascii="宋体" w:hAnsi="宋体"/>
                <w:szCs w:val="28"/>
                <w:vertAlign w:val="subscript"/>
              </w:rPr>
              <w:t>3</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rPr>
                <w:rFonts w:ascii="宋体" w:hAnsi="宋体"/>
                <w:sz w:val="18"/>
                <w:szCs w:val="18"/>
              </w:rPr>
            </w:pPr>
            <w:r>
              <w:rPr>
                <w:rFonts w:hint="eastAsia" w:ascii="宋体" w:hAnsi="宋体"/>
                <w:sz w:val="18"/>
                <w:szCs w:val="18"/>
              </w:rPr>
              <w:t>中梁山火烧山-新桥街道低山</w:t>
            </w:r>
            <w:r>
              <w:rPr>
                <w:rFonts w:hint="eastAsia"/>
                <w:sz w:val="18"/>
              </w:rPr>
              <w:t>次重点防治区</w:t>
            </w:r>
            <w:r>
              <w:rPr>
                <w:rFonts w:hint="eastAsia" w:ascii="宋体" w:hAnsi="宋体"/>
                <w:sz w:val="18"/>
                <w:szCs w:val="18"/>
              </w:rPr>
              <w:t>。</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21.50</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6.17</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szCs w:val="18"/>
              </w:rPr>
            </w:pPr>
            <w:r>
              <w:rPr>
                <w:rFonts w:hint="eastAsia"/>
                <w:sz w:val="18"/>
                <w:szCs w:val="18"/>
              </w:rPr>
              <w:t xml:space="preserve">   该地区主要位于中梁山西侧坡斜坡中下部，面积约17.14km</w:t>
            </w:r>
            <w:r>
              <w:rPr>
                <w:rFonts w:hint="eastAsia"/>
                <w:sz w:val="18"/>
                <w:szCs w:val="18"/>
                <w:vertAlign w:val="superscript"/>
              </w:rPr>
              <w:t>2</w:t>
            </w:r>
            <w:r>
              <w:rPr>
                <w:rFonts w:hint="eastAsia"/>
                <w:sz w:val="18"/>
                <w:szCs w:val="18"/>
              </w:rPr>
              <w:t>，</w:t>
            </w:r>
            <w:r>
              <w:rPr>
                <w:sz w:val="18"/>
                <w:szCs w:val="18"/>
              </w:rPr>
              <w:t>占全区面积的</w:t>
            </w:r>
            <w:r>
              <w:rPr>
                <w:rFonts w:hint="eastAsia"/>
                <w:sz w:val="18"/>
                <w:szCs w:val="18"/>
              </w:rPr>
              <w:t>10.70</w:t>
            </w:r>
            <w:r>
              <w:rPr>
                <w:sz w:val="18"/>
                <w:szCs w:val="18"/>
              </w:rPr>
              <w:t>%</w:t>
            </w:r>
            <w:r>
              <w:rPr>
                <w:rFonts w:hint="eastAsia"/>
                <w:sz w:val="18"/>
                <w:szCs w:val="18"/>
              </w:rPr>
              <w:t>。该区处于观音峡背斜西翼的斜坡地带</w:t>
            </w:r>
            <w:r>
              <w:rPr>
                <w:rFonts w:hint="eastAsia"/>
                <w:sz w:val="18"/>
              </w:rPr>
              <w:t>，</w:t>
            </w:r>
            <w:r>
              <w:rPr>
                <w:rFonts w:hint="eastAsia" w:ascii="宋体" w:hAnsi="宋体"/>
                <w:sz w:val="18"/>
              </w:rPr>
              <w:t>受地形地貌和地层岩性影响，坡角较陡，岩体易沿层面破坏，</w:t>
            </w:r>
            <w:r>
              <w:rPr>
                <w:rFonts w:hint="eastAsia"/>
                <w:sz w:val="18"/>
                <w:szCs w:val="18"/>
              </w:rPr>
              <w:t xml:space="preserve">斜坡中下部第四系堆积物丰富，在降雨或人类工程活动等因素的影响下，较易形成滑坡等地质灾害，为地质灾害中易发区。 </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szCs w:val="18"/>
              </w:rPr>
            </w:pPr>
            <w:r>
              <w:rPr>
                <w:rFonts w:hint="eastAsia"/>
                <w:sz w:val="18"/>
                <w:szCs w:val="18"/>
              </w:rPr>
              <w:t>区域</w:t>
            </w:r>
            <w:r>
              <w:rPr>
                <w:rFonts w:hint="eastAsia" w:ascii="宋体" w:hAnsi="宋体"/>
                <w:sz w:val="18"/>
                <w:szCs w:val="18"/>
              </w:rPr>
              <w:t>为丘陵山区，各类地质灾害沿斜坡西侧呈南北带状均有发育分布，区内</w:t>
            </w:r>
            <w:r>
              <w:rPr>
                <w:rFonts w:hint="eastAsia"/>
                <w:sz w:val="18"/>
                <w:szCs w:val="18"/>
              </w:rPr>
              <w:t>分布有城镇及农村居民，人口密度稍大。因此，本次规划中划分为次重点防治区。</w:t>
            </w:r>
          </w:p>
        </w:tc>
        <w:tc>
          <w:tcPr>
            <w:tcW w:w="210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sz w:val="18"/>
              </w:rPr>
              <w:t>区内以群测群防、</w:t>
            </w:r>
            <w:r>
              <w:rPr>
                <w:rFonts w:hint="eastAsia"/>
                <w:sz w:val="18"/>
              </w:rPr>
              <w:t>三级</w:t>
            </w:r>
            <w:r>
              <w:rPr>
                <w:sz w:val="18"/>
              </w:rPr>
              <w:t>监测为主。</w:t>
            </w:r>
            <w:r>
              <w:rPr>
                <w:rFonts w:hint="eastAsia"/>
                <w:sz w:val="18"/>
              </w:rPr>
              <w:t>对</w:t>
            </w:r>
            <w:r>
              <w:rPr>
                <w:sz w:val="18"/>
              </w:rPr>
              <w:t>稳定性较差</w:t>
            </w:r>
            <w:r>
              <w:rPr>
                <w:rFonts w:hint="eastAsia"/>
                <w:sz w:val="18"/>
              </w:rPr>
              <w:t>地灾点，</w:t>
            </w:r>
            <w:r>
              <w:rPr>
                <w:rFonts w:hint="eastAsia" w:ascii="宋体" w:hAnsi="宋体"/>
                <w:color w:val="000000"/>
                <w:sz w:val="18"/>
                <w:szCs w:val="18"/>
              </w:rPr>
              <w:t>居民</w:t>
            </w:r>
            <w:r>
              <w:rPr>
                <w:sz w:val="18"/>
              </w:rPr>
              <w:t>进行搬迁避让</w:t>
            </w:r>
            <w:r>
              <w:rPr>
                <w:rFonts w:hint="eastAsia"/>
                <w:sz w:val="18"/>
              </w:rPr>
              <w:t>，对影响人口较多的地灾点采用</w:t>
            </w:r>
            <w:r>
              <w:rPr>
                <w:sz w:val="18"/>
              </w:rPr>
              <w:t>工程措施、生物工程进行综合防治。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pStyle w:val="20"/>
              <w:spacing w:line="240" w:lineRule="atLeast"/>
              <w:ind w:firstLine="0" w:firstLineChars="0"/>
              <w:jc w:val="center"/>
              <w:rPr>
                <w:rFonts w:ascii="宋体" w:hAnsi="宋体" w:eastAsia="宋体"/>
                <w:szCs w:val="28"/>
              </w:rPr>
            </w:pPr>
            <w:r>
              <w:rPr>
                <w:rFonts w:hint="eastAsia" w:ascii="宋体" w:hAnsi="宋体" w:eastAsia="宋体"/>
                <w:szCs w:val="28"/>
              </w:rPr>
              <w:t>Ⅱ</w:t>
            </w:r>
            <w:r>
              <w:rPr>
                <w:rFonts w:hint="eastAsia" w:ascii="宋体" w:hAnsi="宋体" w:eastAsia="宋体"/>
                <w:szCs w:val="28"/>
                <w:vertAlign w:val="subscript"/>
              </w:rPr>
              <w:t>4</w:t>
            </w:r>
          </w:p>
        </w:tc>
        <w:tc>
          <w:tcPr>
            <w:tcW w:w="2145" w:type="dxa"/>
            <w:tcMar>
              <w:top w:w="28" w:type="dxa"/>
              <w:left w:w="85" w:type="dxa"/>
              <w:bottom w:w="28" w:type="dxa"/>
              <w:right w:w="85" w:type="dxa"/>
            </w:tcMar>
            <w:vAlign w:val="center"/>
          </w:tcPr>
          <w:p>
            <w:pPr>
              <w:pStyle w:val="20"/>
              <w:spacing w:line="240" w:lineRule="atLeast"/>
              <w:ind w:firstLine="0" w:firstLineChars="0"/>
              <w:jc w:val="left"/>
              <w:rPr>
                <w:rFonts w:ascii="宋体" w:hAnsi="宋体"/>
                <w:sz w:val="18"/>
                <w:szCs w:val="18"/>
              </w:rPr>
            </w:pPr>
            <w:r>
              <w:rPr>
                <w:rFonts w:hint="eastAsia" w:ascii="Times New Roman" w:hAnsi="Times New Roman" w:eastAsia="宋体"/>
                <w:sz w:val="18"/>
              </w:rPr>
              <w:t>中梁镇北侧背斜核部次重点防治区。</w:t>
            </w:r>
          </w:p>
        </w:tc>
        <w:tc>
          <w:tcPr>
            <w:tcW w:w="620" w:type="dxa"/>
            <w:tcMar>
              <w:top w:w="28" w:type="dxa"/>
              <w:left w:w="85" w:type="dxa"/>
              <w:bottom w:w="28" w:type="dxa"/>
              <w:right w:w="85" w:type="dxa"/>
            </w:tcMar>
            <w:vAlign w:val="center"/>
          </w:tcPr>
          <w:p>
            <w:pPr>
              <w:spacing w:line="240" w:lineRule="atLeast"/>
              <w:ind w:firstLine="0" w:firstLineChars="0"/>
              <w:jc w:val="center"/>
              <w:rPr>
                <w:sz w:val="18"/>
              </w:rPr>
            </w:pPr>
            <w:r>
              <w:rPr>
                <w:rFonts w:hint="eastAsia"/>
                <w:sz w:val="18"/>
              </w:rPr>
              <w:t>8.02</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2.30</w:t>
            </w:r>
          </w:p>
        </w:tc>
        <w:tc>
          <w:tcPr>
            <w:tcW w:w="2825" w:type="dxa"/>
            <w:tcMar>
              <w:top w:w="28" w:type="dxa"/>
              <w:left w:w="85" w:type="dxa"/>
              <w:bottom w:w="28" w:type="dxa"/>
              <w:right w:w="85" w:type="dxa"/>
            </w:tcMar>
            <w:vAlign w:val="center"/>
          </w:tcPr>
          <w:p>
            <w:pPr>
              <w:pStyle w:val="20"/>
              <w:spacing w:line="240" w:lineRule="atLeast"/>
              <w:ind w:firstLine="0" w:firstLineChars="0"/>
              <w:rPr>
                <w:sz w:val="18"/>
                <w:szCs w:val="18"/>
              </w:rPr>
            </w:pPr>
            <w:r>
              <w:rPr>
                <w:rFonts w:hint="eastAsia" w:ascii="宋体" w:hAnsi="宋体" w:eastAsia="宋体"/>
                <w:sz w:val="18"/>
              </w:rPr>
              <w:t>区域属岩溶槽谷宽缓地貌，地形相对较高，</w:t>
            </w:r>
            <w:r>
              <w:rPr>
                <w:rFonts w:hint="eastAsia" w:ascii="Times New Roman" w:hAnsi="Times New Roman" w:eastAsia="宋体"/>
                <w:sz w:val="18"/>
              </w:rPr>
              <w:t>两侧斜坡地带呈南北向展布，斜坡地带，灌木茂盛，多为国有林场范围</w:t>
            </w:r>
            <w:r>
              <w:rPr>
                <w:rFonts w:hint="eastAsia" w:ascii="宋体" w:hAnsi="宋体" w:eastAsia="宋体"/>
                <w:sz w:val="18"/>
              </w:rPr>
              <w:t>第四系土层覆盖较薄，分布有滑坡、不稳定斜坡、零星地面塌陷及多处废弃矿山。区域属于地质灾害中易发区。</w:t>
            </w:r>
          </w:p>
        </w:tc>
        <w:tc>
          <w:tcPr>
            <w:tcW w:w="3489" w:type="dxa"/>
            <w:tcMar>
              <w:top w:w="28" w:type="dxa"/>
              <w:left w:w="85" w:type="dxa"/>
              <w:bottom w:w="28" w:type="dxa"/>
              <w:right w:w="85" w:type="dxa"/>
            </w:tcMar>
            <w:vAlign w:val="center"/>
          </w:tcPr>
          <w:p>
            <w:pPr>
              <w:pStyle w:val="20"/>
              <w:spacing w:line="240" w:lineRule="atLeast"/>
              <w:ind w:firstLine="0" w:firstLineChars="0"/>
              <w:rPr>
                <w:sz w:val="18"/>
                <w:szCs w:val="18"/>
              </w:rPr>
            </w:pPr>
            <w:r>
              <w:rPr>
                <w:rFonts w:ascii="Times New Roman" w:hAnsi="Times New Roman" w:eastAsia="宋体"/>
                <w:sz w:val="18"/>
              </w:rPr>
              <w:t>区</w:t>
            </w:r>
            <w:r>
              <w:rPr>
                <w:rFonts w:hint="eastAsia" w:ascii="Times New Roman" w:hAnsi="Times New Roman" w:eastAsia="宋体"/>
                <w:sz w:val="18"/>
              </w:rPr>
              <w:t>域内多为林场或公园，多处废弃矿山，分布有少量住民，区</w:t>
            </w:r>
            <w:r>
              <w:rPr>
                <w:rFonts w:ascii="Times New Roman" w:hAnsi="Times New Roman" w:eastAsia="宋体"/>
                <w:sz w:val="18"/>
              </w:rPr>
              <w:t>内人</w:t>
            </w:r>
            <w:r>
              <w:rPr>
                <w:rFonts w:hint="eastAsia" w:ascii="Times New Roman" w:hAnsi="Times New Roman" w:eastAsia="宋体"/>
                <w:sz w:val="18"/>
              </w:rPr>
              <w:t>口</w:t>
            </w:r>
            <w:r>
              <w:rPr>
                <w:rFonts w:ascii="Times New Roman" w:hAnsi="Times New Roman" w:eastAsia="宋体"/>
                <w:sz w:val="18"/>
              </w:rPr>
              <w:t>地质灾害密度</w:t>
            </w:r>
            <w:r>
              <w:rPr>
                <w:rFonts w:hint="eastAsia" w:ascii="Times New Roman" w:hAnsi="Times New Roman" w:eastAsia="宋体"/>
                <w:sz w:val="18"/>
              </w:rPr>
              <w:t>小</w:t>
            </w:r>
            <w:r>
              <w:rPr>
                <w:rFonts w:ascii="Times New Roman" w:hAnsi="Times New Roman" w:eastAsia="宋体"/>
                <w:sz w:val="18"/>
              </w:rPr>
              <w:t>，</w:t>
            </w:r>
            <w:r>
              <w:rPr>
                <w:rFonts w:hint="eastAsia" w:ascii="Times New Roman" w:hAnsi="Times New Roman" w:eastAsia="宋体"/>
                <w:sz w:val="18"/>
              </w:rPr>
              <w:t>危害性小，同时人类工程活动影响弱。区域地灾体</w:t>
            </w:r>
            <w:r>
              <w:rPr>
                <w:rFonts w:ascii="Times New Roman" w:hAnsi="Times New Roman" w:eastAsia="宋体"/>
                <w:sz w:val="18"/>
              </w:rPr>
              <w:t>稳定性</w:t>
            </w:r>
            <w:r>
              <w:rPr>
                <w:rFonts w:hint="eastAsia" w:ascii="Times New Roman" w:hAnsi="Times New Roman" w:eastAsia="宋体"/>
                <w:sz w:val="18"/>
              </w:rPr>
              <w:t>中等～</w:t>
            </w:r>
            <w:r>
              <w:rPr>
                <w:rFonts w:ascii="Times New Roman" w:hAnsi="Times New Roman" w:eastAsia="宋体"/>
                <w:sz w:val="18"/>
              </w:rPr>
              <w:t>较差，</w:t>
            </w:r>
            <w:r>
              <w:rPr>
                <w:rFonts w:hint="eastAsia" w:ascii="Times New Roman" w:hAnsi="Times New Roman" w:eastAsia="宋体"/>
                <w:sz w:val="18"/>
              </w:rPr>
              <w:t>发生地灾的可能性为中等，危害性小，地质灾害的风险性小。本次规划中划分为次重点防治区。</w:t>
            </w:r>
          </w:p>
        </w:tc>
        <w:tc>
          <w:tcPr>
            <w:tcW w:w="2109" w:type="dxa"/>
            <w:tcMar>
              <w:top w:w="28" w:type="dxa"/>
              <w:left w:w="85" w:type="dxa"/>
              <w:bottom w:w="28" w:type="dxa"/>
              <w:right w:w="85" w:type="dxa"/>
            </w:tcMar>
            <w:vAlign w:val="center"/>
          </w:tcPr>
          <w:p>
            <w:pPr>
              <w:pStyle w:val="20"/>
              <w:spacing w:line="240" w:lineRule="atLeast"/>
              <w:ind w:firstLine="0" w:firstLineChars="0"/>
              <w:jc w:val="center"/>
              <w:rPr>
                <w:sz w:val="18"/>
              </w:rPr>
            </w:pPr>
            <w:r>
              <w:rPr>
                <w:rFonts w:ascii="Times New Roman" w:hAnsi="Times New Roman" w:eastAsia="宋体"/>
                <w:sz w:val="18"/>
              </w:rPr>
              <w:t>区内以群测群防、</w:t>
            </w:r>
            <w:r>
              <w:rPr>
                <w:rFonts w:hint="eastAsia" w:ascii="Times New Roman" w:hAnsi="Times New Roman" w:eastAsia="宋体"/>
                <w:sz w:val="18"/>
              </w:rPr>
              <w:t>三级</w:t>
            </w:r>
            <w:r>
              <w:rPr>
                <w:rFonts w:ascii="Times New Roman" w:hAnsi="Times New Roman" w:eastAsia="宋体"/>
                <w:sz w:val="18"/>
              </w:rPr>
              <w:t>监测为主。</w:t>
            </w:r>
            <w:r>
              <w:rPr>
                <w:rFonts w:hint="eastAsia" w:ascii="Times New Roman" w:hAnsi="Times New Roman" w:eastAsia="宋体"/>
                <w:sz w:val="18"/>
              </w:rPr>
              <w:t>对</w:t>
            </w:r>
            <w:r>
              <w:rPr>
                <w:rFonts w:ascii="Times New Roman" w:hAnsi="Times New Roman" w:eastAsia="宋体"/>
                <w:sz w:val="18"/>
              </w:rPr>
              <w:t>稳定性较差</w:t>
            </w:r>
            <w:r>
              <w:rPr>
                <w:rFonts w:hint="eastAsia" w:ascii="Times New Roman" w:hAnsi="Times New Roman" w:eastAsia="宋体"/>
                <w:sz w:val="18"/>
              </w:rPr>
              <w:t>地灾点，居民</w:t>
            </w:r>
            <w:r>
              <w:rPr>
                <w:rFonts w:ascii="Times New Roman" w:hAnsi="Times New Roman" w:eastAsia="宋体"/>
                <w:sz w:val="18"/>
              </w:rPr>
              <w:t>进行搬迁避让。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pStyle w:val="20"/>
              <w:spacing w:line="240" w:lineRule="atLeast"/>
              <w:ind w:firstLine="0" w:firstLineChars="0"/>
              <w:jc w:val="center"/>
              <w:rPr>
                <w:rFonts w:ascii="宋体" w:hAnsi="宋体" w:eastAsia="宋体"/>
                <w:szCs w:val="28"/>
              </w:rPr>
            </w:pPr>
            <w:r>
              <w:rPr>
                <w:rFonts w:hint="eastAsia" w:ascii="宋体" w:hAnsi="宋体" w:eastAsia="宋体"/>
                <w:szCs w:val="28"/>
              </w:rPr>
              <w:t>Ⅱ</w:t>
            </w:r>
            <w:r>
              <w:rPr>
                <w:rFonts w:hint="eastAsia" w:ascii="宋体" w:hAnsi="宋体" w:eastAsia="宋体"/>
                <w:szCs w:val="28"/>
                <w:vertAlign w:val="subscript"/>
              </w:rPr>
              <w:t>5</w:t>
            </w:r>
          </w:p>
        </w:tc>
        <w:tc>
          <w:tcPr>
            <w:tcW w:w="2145" w:type="dxa"/>
            <w:tcMar>
              <w:top w:w="28" w:type="dxa"/>
              <w:left w:w="85" w:type="dxa"/>
              <w:bottom w:w="28" w:type="dxa"/>
              <w:right w:w="85" w:type="dxa"/>
            </w:tcMar>
            <w:vAlign w:val="center"/>
          </w:tcPr>
          <w:p>
            <w:pPr>
              <w:pStyle w:val="20"/>
              <w:spacing w:line="240" w:lineRule="atLeast"/>
              <w:ind w:firstLine="0" w:firstLineChars="0"/>
              <w:jc w:val="left"/>
              <w:rPr>
                <w:rFonts w:ascii="Times New Roman" w:hAnsi="Times New Roman" w:eastAsia="宋体"/>
                <w:sz w:val="18"/>
              </w:rPr>
            </w:pPr>
            <w:r>
              <w:rPr>
                <w:rFonts w:hint="eastAsia" w:ascii="Times New Roman" w:hAnsi="Times New Roman" w:eastAsia="宋体"/>
                <w:sz w:val="18"/>
              </w:rPr>
              <w:t>歌乐山镇-山洞背斜核部次重点防治区。</w:t>
            </w:r>
          </w:p>
        </w:tc>
        <w:tc>
          <w:tcPr>
            <w:tcW w:w="620" w:type="dxa"/>
            <w:tcMar>
              <w:top w:w="28" w:type="dxa"/>
              <w:left w:w="85" w:type="dxa"/>
              <w:bottom w:w="28" w:type="dxa"/>
              <w:right w:w="85" w:type="dxa"/>
            </w:tcMar>
            <w:vAlign w:val="center"/>
          </w:tcPr>
          <w:p>
            <w:pPr>
              <w:spacing w:line="240" w:lineRule="atLeast"/>
              <w:ind w:firstLine="0" w:firstLineChars="0"/>
              <w:jc w:val="center"/>
              <w:rPr>
                <w:sz w:val="18"/>
              </w:rPr>
            </w:pPr>
            <w:r>
              <w:rPr>
                <w:rFonts w:hint="eastAsia"/>
                <w:sz w:val="18"/>
              </w:rPr>
              <w:t>6.02</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1.73</w:t>
            </w:r>
          </w:p>
        </w:tc>
        <w:tc>
          <w:tcPr>
            <w:tcW w:w="2825" w:type="dxa"/>
            <w:tcMar>
              <w:top w:w="28" w:type="dxa"/>
              <w:left w:w="85" w:type="dxa"/>
              <w:bottom w:w="28" w:type="dxa"/>
              <w:right w:w="85" w:type="dxa"/>
            </w:tcMar>
            <w:vAlign w:val="center"/>
          </w:tcPr>
          <w:p>
            <w:pPr>
              <w:pStyle w:val="20"/>
              <w:spacing w:line="240" w:lineRule="atLeast"/>
              <w:ind w:firstLine="0" w:firstLineChars="0"/>
              <w:rPr>
                <w:rFonts w:ascii="宋体" w:hAnsi="宋体" w:eastAsia="宋体"/>
                <w:sz w:val="18"/>
              </w:rPr>
            </w:pPr>
            <w:r>
              <w:rPr>
                <w:rFonts w:hint="eastAsia" w:ascii="宋体" w:hAnsi="宋体" w:eastAsia="宋体"/>
                <w:sz w:val="18"/>
              </w:rPr>
              <w:t>区域属岩溶槽谷宽缓地貌，地形相对较高，</w:t>
            </w:r>
            <w:r>
              <w:rPr>
                <w:rFonts w:hint="eastAsia" w:ascii="Times New Roman" w:hAnsi="Times New Roman" w:eastAsia="宋体"/>
                <w:sz w:val="18"/>
              </w:rPr>
              <w:t>两侧斜坡地带呈南北向展布，斜坡地带，灌木茂盛，多为国有林场范围</w:t>
            </w:r>
            <w:r>
              <w:rPr>
                <w:rFonts w:hint="eastAsia" w:ascii="宋体" w:hAnsi="宋体" w:eastAsia="宋体"/>
                <w:sz w:val="18"/>
              </w:rPr>
              <w:t>第四系土层覆盖较薄，分布有滑坡、不稳定斜坡及零星地面塌陷。两侧斜坡地带主要受地形地貌和地层岩性影响，坡角较陡，岩体易沿层面破坏，其次中间区域内零星有岩溶发育，可能发生塌陷地质灾害险情。区域属于地质灾害中易发区。</w:t>
            </w:r>
          </w:p>
        </w:tc>
        <w:tc>
          <w:tcPr>
            <w:tcW w:w="3489" w:type="dxa"/>
            <w:tcMar>
              <w:top w:w="28" w:type="dxa"/>
              <w:left w:w="85" w:type="dxa"/>
              <w:bottom w:w="28" w:type="dxa"/>
              <w:right w:w="85" w:type="dxa"/>
            </w:tcMar>
            <w:vAlign w:val="center"/>
          </w:tcPr>
          <w:p>
            <w:pPr>
              <w:pStyle w:val="20"/>
              <w:spacing w:line="240" w:lineRule="atLeast"/>
              <w:ind w:firstLine="0" w:firstLineChars="0"/>
              <w:rPr>
                <w:rFonts w:ascii="Times New Roman" w:hAnsi="Times New Roman" w:eastAsia="宋体"/>
                <w:sz w:val="18"/>
              </w:rPr>
            </w:pPr>
            <w:r>
              <w:rPr>
                <w:rFonts w:ascii="Times New Roman" w:hAnsi="Times New Roman" w:eastAsia="宋体"/>
                <w:sz w:val="18"/>
              </w:rPr>
              <w:t>区</w:t>
            </w:r>
            <w:r>
              <w:rPr>
                <w:rFonts w:hint="eastAsia" w:ascii="Times New Roman" w:hAnsi="Times New Roman" w:eastAsia="宋体"/>
                <w:sz w:val="18"/>
              </w:rPr>
              <w:t>域内多为林场或公园，多处废弃矿山，分布有少量住民，区</w:t>
            </w:r>
            <w:r>
              <w:rPr>
                <w:rFonts w:ascii="Times New Roman" w:hAnsi="Times New Roman" w:eastAsia="宋体"/>
                <w:sz w:val="18"/>
              </w:rPr>
              <w:t>内人</w:t>
            </w:r>
            <w:r>
              <w:rPr>
                <w:rFonts w:hint="eastAsia" w:ascii="Times New Roman" w:hAnsi="Times New Roman" w:eastAsia="宋体"/>
                <w:sz w:val="18"/>
              </w:rPr>
              <w:t>口</w:t>
            </w:r>
            <w:r>
              <w:rPr>
                <w:rFonts w:ascii="Times New Roman" w:hAnsi="Times New Roman" w:eastAsia="宋体"/>
                <w:sz w:val="18"/>
              </w:rPr>
              <w:t>地质灾害密度</w:t>
            </w:r>
            <w:r>
              <w:rPr>
                <w:rFonts w:hint="eastAsia" w:ascii="Times New Roman" w:hAnsi="Times New Roman" w:eastAsia="宋体"/>
                <w:sz w:val="18"/>
              </w:rPr>
              <w:t>小</w:t>
            </w:r>
            <w:r>
              <w:rPr>
                <w:rFonts w:ascii="Times New Roman" w:hAnsi="Times New Roman" w:eastAsia="宋体"/>
                <w:sz w:val="18"/>
              </w:rPr>
              <w:t>，</w:t>
            </w:r>
            <w:r>
              <w:rPr>
                <w:rFonts w:hint="eastAsia" w:ascii="Times New Roman" w:hAnsi="Times New Roman" w:eastAsia="宋体"/>
                <w:sz w:val="18"/>
              </w:rPr>
              <w:t>危害性小，同时人类工程活动影响弱。区域地灾体</w:t>
            </w:r>
            <w:r>
              <w:rPr>
                <w:rFonts w:ascii="Times New Roman" w:hAnsi="Times New Roman" w:eastAsia="宋体"/>
                <w:sz w:val="18"/>
              </w:rPr>
              <w:t>稳定性</w:t>
            </w:r>
            <w:r>
              <w:rPr>
                <w:rFonts w:hint="eastAsia" w:ascii="Times New Roman" w:hAnsi="Times New Roman" w:eastAsia="宋体"/>
                <w:sz w:val="18"/>
              </w:rPr>
              <w:t>中等～</w:t>
            </w:r>
            <w:r>
              <w:rPr>
                <w:rFonts w:ascii="Times New Roman" w:hAnsi="Times New Roman" w:eastAsia="宋体"/>
                <w:sz w:val="18"/>
              </w:rPr>
              <w:t>较差，</w:t>
            </w:r>
            <w:r>
              <w:rPr>
                <w:rFonts w:hint="eastAsia" w:ascii="Times New Roman" w:hAnsi="Times New Roman" w:eastAsia="宋体"/>
                <w:sz w:val="18"/>
              </w:rPr>
              <w:t>发生地灾的可能性为中等，危害性小，地质灾害的风险性小。本次规划中划分为次重点防治区。</w:t>
            </w:r>
          </w:p>
        </w:tc>
        <w:tc>
          <w:tcPr>
            <w:tcW w:w="2109" w:type="dxa"/>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区内以群测群防、</w:t>
            </w:r>
            <w:r>
              <w:rPr>
                <w:rFonts w:hint="eastAsia" w:ascii="Times New Roman" w:hAnsi="Times New Roman" w:eastAsia="宋体"/>
                <w:sz w:val="18"/>
              </w:rPr>
              <w:t>三级</w:t>
            </w:r>
            <w:r>
              <w:rPr>
                <w:rFonts w:ascii="Times New Roman" w:hAnsi="Times New Roman" w:eastAsia="宋体"/>
                <w:sz w:val="18"/>
              </w:rPr>
              <w:t>监测为主。</w:t>
            </w:r>
            <w:r>
              <w:rPr>
                <w:rFonts w:hint="eastAsia" w:ascii="Times New Roman" w:hAnsi="Times New Roman" w:eastAsia="宋体"/>
                <w:sz w:val="18"/>
              </w:rPr>
              <w:t>对</w:t>
            </w:r>
            <w:r>
              <w:rPr>
                <w:rFonts w:ascii="Times New Roman" w:hAnsi="Times New Roman" w:eastAsia="宋体"/>
                <w:sz w:val="18"/>
              </w:rPr>
              <w:t>稳定性较差</w:t>
            </w:r>
            <w:r>
              <w:rPr>
                <w:rFonts w:hint="eastAsia" w:ascii="Times New Roman" w:hAnsi="Times New Roman" w:eastAsia="宋体"/>
                <w:sz w:val="18"/>
              </w:rPr>
              <w:t>地灾点，居民</w:t>
            </w:r>
            <w:r>
              <w:rPr>
                <w:rFonts w:ascii="Times New Roman" w:hAnsi="Times New Roman" w:eastAsia="宋体"/>
                <w:sz w:val="18"/>
              </w:rPr>
              <w:t>进行搬迁避让。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505" w:type="dxa"/>
            <w:vMerge w:val="restart"/>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一</w:t>
            </w:r>
          </w:p>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般</w:t>
            </w:r>
          </w:p>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防</w:t>
            </w:r>
          </w:p>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治</w:t>
            </w:r>
          </w:p>
          <w:p>
            <w:pPr>
              <w:pStyle w:val="20"/>
              <w:spacing w:line="240" w:lineRule="atLeast"/>
              <w:ind w:firstLine="0" w:firstLineChars="0"/>
              <w:jc w:val="center"/>
              <w:rPr>
                <w:rFonts w:ascii="Times New Roman" w:hAnsi="Times New Roman" w:eastAsia="宋体"/>
                <w:sz w:val="18"/>
              </w:rPr>
            </w:pPr>
            <w:r>
              <w:rPr>
                <w:rFonts w:ascii="Times New Roman" w:hAnsi="Times New Roman" w:eastAsia="宋体"/>
                <w:sz w:val="18"/>
              </w:rPr>
              <w:t>区</w:t>
            </w:r>
          </w:p>
          <w:p>
            <w:pPr>
              <w:pStyle w:val="20"/>
              <w:spacing w:line="240" w:lineRule="atLeast"/>
              <w:ind w:firstLine="0" w:firstLineChars="0"/>
              <w:rPr>
                <w:rFonts w:ascii="Times New Roman" w:hAnsi="Times New Roman" w:eastAsia="宋体"/>
                <w:sz w:val="18"/>
              </w:rPr>
            </w:pPr>
            <w:r>
              <w:rPr>
                <w:rFonts w:hint="eastAsia" w:ascii="宋体" w:hAnsi="宋体" w:eastAsia="宋体" w:cs="宋体"/>
                <w:b/>
                <w:bCs/>
                <w:sz w:val="18"/>
              </w:rPr>
              <w:t>Ⅲ</w:t>
            </w: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rFonts w:ascii="宋体" w:hAnsi="宋体"/>
                <w:szCs w:val="28"/>
              </w:rPr>
            </w:pPr>
            <w:r>
              <w:rPr>
                <w:rFonts w:hint="eastAsia" w:ascii="宋体" w:hAnsi="宋体"/>
                <w:szCs w:val="28"/>
              </w:rPr>
              <w:t>Ⅲ</w:t>
            </w:r>
            <w:r>
              <w:rPr>
                <w:rFonts w:hint="eastAsia" w:ascii="宋体" w:hAnsi="宋体"/>
                <w:szCs w:val="28"/>
                <w:vertAlign w:val="subscript"/>
              </w:rPr>
              <w:t>1</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ascii="宋体" w:hAnsi="宋体"/>
                <w:sz w:val="18"/>
                <w:szCs w:val="18"/>
              </w:rPr>
              <w:t>回龙镇-凤凰镇—土主镇—陈家桥街道—虎溪镇—曾家街道一般</w:t>
            </w:r>
            <w:r>
              <w:rPr>
                <w:rFonts w:ascii="宋体" w:hAnsi="宋体"/>
                <w:sz w:val="18"/>
                <w:szCs w:val="18"/>
              </w:rPr>
              <w:t>防治区</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177.96</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51.07</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ascii="宋体" w:hAnsi="宋体"/>
                <w:sz w:val="18"/>
                <w:szCs w:val="18"/>
              </w:rPr>
              <w:t>地处各工业园区、城镇及广大农村。构造上处于北碚向斜轴部及两翼，出露地层为侏罗系沙溪庙组砂、泥岩地层，地势平缓，为丘陵地貌，相对高差小，地质灾害数量较少，且多为小型危岩崩塌。</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ascii="宋体" w:hAnsi="宋体"/>
                <w:color w:val="000000"/>
                <w:sz w:val="18"/>
                <w:szCs w:val="18"/>
              </w:rPr>
              <w:t>。</w:t>
            </w:r>
            <w:r>
              <w:rPr>
                <w:rFonts w:hint="eastAsia" w:ascii="宋体" w:hAnsi="宋体"/>
                <w:sz w:val="18"/>
                <w:szCs w:val="18"/>
              </w:rPr>
              <w:t>区域内地质灾害规模小，密度小，</w:t>
            </w:r>
            <w:r>
              <w:rPr>
                <w:sz w:val="18"/>
              </w:rPr>
              <w:t>危害程度一般</w:t>
            </w:r>
            <w:r>
              <w:rPr>
                <w:rFonts w:hint="eastAsia"/>
                <w:sz w:val="18"/>
              </w:rPr>
              <w:t>。</w:t>
            </w:r>
            <w:r>
              <w:rPr>
                <w:rFonts w:hint="eastAsia"/>
                <w:sz w:val="18"/>
                <w:szCs w:val="18"/>
              </w:rPr>
              <w:t>因此，本次规划中划分为</w:t>
            </w:r>
            <w:r>
              <w:rPr>
                <w:rFonts w:hint="eastAsia" w:ascii="宋体" w:hAnsi="宋体"/>
                <w:sz w:val="18"/>
                <w:szCs w:val="18"/>
              </w:rPr>
              <w:t>一般</w:t>
            </w:r>
            <w:r>
              <w:rPr>
                <w:rFonts w:ascii="宋体" w:hAnsi="宋体"/>
                <w:sz w:val="18"/>
                <w:szCs w:val="18"/>
              </w:rPr>
              <w:t>防治区</w:t>
            </w:r>
            <w:r>
              <w:rPr>
                <w:rFonts w:hint="eastAsia"/>
                <w:sz w:val="18"/>
                <w:szCs w:val="18"/>
              </w:rPr>
              <w:t>。</w:t>
            </w:r>
          </w:p>
        </w:tc>
        <w:tc>
          <w:tcPr>
            <w:tcW w:w="2109" w:type="dxa"/>
            <w:vMerge w:val="restart"/>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sz w:val="18"/>
              </w:rPr>
              <w:t>区内以搬迁避让、群测群防、</w:t>
            </w:r>
            <w:r>
              <w:rPr>
                <w:rFonts w:hint="eastAsia"/>
                <w:sz w:val="18"/>
              </w:rPr>
              <w:t>三级</w:t>
            </w:r>
            <w:r>
              <w:rPr>
                <w:sz w:val="18"/>
              </w:rPr>
              <w:t>监测为主，局部易于治理的崩塌</w:t>
            </w:r>
            <w:r>
              <w:rPr>
                <w:rFonts w:hint="eastAsia"/>
                <w:sz w:val="18"/>
              </w:rPr>
              <w:t>或受危胁人口较多</w:t>
            </w:r>
            <w:r>
              <w:rPr>
                <w:sz w:val="18"/>
              </w:rPr>
              <w:t>可采取工程治理。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6" w:hRule="atLeast"/>
        </w:trPr>
        <w:tc>
          <w:tcPr>
            <w:tcW w:w="505" w:type="dxa"/>
            <w:vMerge w:val="continue"/>
            <w:tcMar>
              <w:top w:w="28" w:type="dxa"/>
              <w:left w:w="85" w:type="dxa"/>
              <w:bottom w:w="28" w:type="dxa"/>
              <w:right w:w="85" w:type="dxa"/>
            </w:tcMar>
            <w:vAlign w:val="center"/>
          </w:tcPr>
          <w:p>
            <w:pPr>
              <w:pStyle w:val="20"/>
              <w:spacing w:line="240" w:lineRule="atLeast"/>
              <w:ind w:firstLine="0" w:firstLineChars="0"/>
              <w:jc w:val="center"/>
              <w:rPr>
                <w:rFonts w:ascii="Times New Roman" w:hAnsi="Times New Roman" w:eastAsia="宋体"/>
                <w:sz w:val="18"/>
              </w:rPr>
            </w:pPr>
          </w:p>
        </w:tc>
        <w:tc>
          <w:tcPr>
            <w:tcW w:w="73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rFonts w:ascii="宋体" w:hAnsi="宋体"/>
                <w:szCs w:val="28"/>
              </w:rPr>
            </w:pPr>
            <w:r>
              <w:rPr>
                <w:rFonts w:hint="eastAsia" w:ascii="宋体" w:hAnsi="宋体"/>
                <w:szCs w:val="28"/>
              </w:rPr>
              <w:t>Ⅲ</w:t>
            </w:r>
            <w:r>
              <w:rPr>
                <w:rFonts w:hint="eastAsia" w:ascii="宋体" w:hAnsi="宋体"/>
                <w:szCs w:val="28"/>
                <w:vertAlign w:val="subscript"/>
              </w:rPr>
              <w:t>2</w:t>
            </w:r>
          </w:p>
        </w:tc>
        <w:tc>
          <w:tcPr>
            <w:tcW w:w="214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ascii="宋体" w:hAnsi="宋体"/>
                <w:sz w:val="18"/>
                <w:szCs w:val="18"/>
              </w:rPr>
              <w:t>覃家岗—磁器口—井口镇一般</w:t>
            </w:r>
            <w:r>
              <w:rPr>
                <w:rFonts w:ascii="宋体" w:hAnsi="宋体"/>
                <w:sz w:val="18"/>
                <w:szCs w:val="18"/>
              </w:rPr>
              <w:t>防治区</w:t>
            </w:r>
          </w:p>
        </w:tc>
        <w:tc>
          <w:tcPr>
            <w:tcW w:w="620"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40.40</w:t>
            </w:r>
          </w:p>
        </w:tc>
        <w:tc>
          <w:tcPr>
            <w:tcW w:w="575" w:type="dxa"/>
            <w:tcMar>
              <w:top w:w="28" w:type="dxa"/>
              <w:left w:w="85" w:type="dxa"/>
              <w:bottom w:w="28" w:type="dxa"/>
              <w:right w:w="85" w:type="dxa"/>
            </w:tcMar>
            <w:vAlign w:val="center"/>
          </w:tcPr>
          <w:p>
            <w:pPr>
              <w:autoSpaceDE w:val="0"/>
              <w:autoSpaceDN w:val="0"/>
              <w:adjustRightInd w:val="0"/>
              <w:spacing w:line="240" w:lineRule="atLeast"/>
              <w:ind w:firstLine="0" w:firstLineChars="0"/>
              <w:jc w:val="center"/>
              <w:rPr>
                <w:sz w:val="18"/>
              </w:rPr>
            </w:pPr>
            <w:r>
              <w:rPr>
                <w:rFonts w:hint="eastAsia"/>
                <w:sz w:val="18"/>
              </w:rPr>
              <w:t>11.59</w:t>
            </w:r>
          </w:p>
        </w:tc>
        <w:tc>
          <w:tcPr>
            <w:tcW w:w="2825"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ascii="宋体" w:hAnsi="宋体"/>
                <w:sz w:val="18"/>
                <w:szCs w:val="18"/>
              </w:rPr>
              <w:t>地处沙坪坝城区，构造上处于沙坪坝背斜轴部及两翼，地势起伏较小，为丘陵缓坡地貌，区内地质灾害主要为风化剥落、掉块为主。</w:t>
            </w:r>
            <w:r>
              <w:rPr>
                <w:sz w:val="18"/>
              </w:rPr>
              <w:t xml:space="preserve"> </w:t>
            </w:r>
          </w:p>
        </w:tc>
        <w:tc>
          <w:tcPr>
            <w:tcW w:w="3489" w:type="dxa"/>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r>
              <w:rPr>
                <w:rFonts w:hint="eastAsia" w:ascii="宋体" w:hAnsi="宋体"/>
                <w:sz w:val="18"/>
                <w:szCs w:val="18"/>
              </w:rPr>
              <w:t>区域内地质灾害规模小，密度小，受影响人数少，</w:t>
            </w:r>
            <w:r>
              <w:rPr>
                <w:sz w:val="18"/>
              </w:rPr>
              <w:t>危害程度一般</w:t>
            </w:r>
            <w:r>
              <w:rPr>
                <w:rFonts w:hint="eastAsia"/>
                <w:sz w:val="18"/>
              </w:rPr>
              <w:t>。</w:t>
            </w:r>
            <w:r>
              <w:rPr>
                <w:rFonts w:hint="eastAsia"/>
                <w:sz w:val="18"/>
                <w:szCs w:val="18"/>
              </w:rPr>
              <w:t>因此，本次规划中划分为</w:t>
            </w:r>
            <w:r>
              <w:rPr>
                <w:rFonts w:hint="eastAsia" w:ascii="宋体" w:hAnsi="宋体"/>
                <w:sz w:val="18"/>
                <w:szCs w:val="18"/>
              </w:rPr>
              <w:t>一般</w:t>
            </w:r>
            <w:r>
              <w:rPr>
                <w:rFonts w:ascii="宋体" w:hAnsi="宋体"/>
                <w:sz w:val="18"/>
                <w:szCs w:val="18"/>
              </w:rPr>
              <w:t>防治区</w:t>
            </w:r>
            <w:r>
              <w:rPr>
                <w:rFonts w:hint="eastAsia"/>
                <w:sz w:val="18"/>
                <w:szCs w:val="18"/>
              </w:rPr>
              <w:t>。</w:t>
            </w:r>
          </w:p>
        </w:tc>
        <w:tc>
          <w:tcPr>
            <w:tcW w:w="2109" w:type="dxa"/>
            <w:vMerge w:val="continue"/>
            <w:tcMar>
              <w:top w:w="28" w:type="dxa"/>
              <w:left w:w="85" w:type="dxa"/>
              <w:bottom w:w="28" w:type="dxa"/>
              <w:right w:w="85" w:type="dxa"/>
            </w:tcMar>
            <w:vAlign w:val="center"/>
          </w:tcPr>
          <w:p>
            <w:pPr>
              <w:autoSpaceDE w:val="0"/>
              <w:autoSpaceDN w:val="0"/>
              <w:adjustRightInd w:val="0"/>
              <w:spacing w:line="240" w:lineRule="atLeast"/>
              <w:ind w:firstLine="0" w:firstLineChars="0"/>
              <w:rPr>
                <w:sz w:val="18"/>
              </w:rPr>
            </w:pPr>
          </w:p>
        </w:tc>
      </w:tr>
    </w:tbl>
    <w:p>
      <w:pPr>
        <w:spacing w:line="620" w:lineRule="exact"/>
        <w:ind w:right="53" w:rightChars="19" w:firstLine="0" w:firstLineChars="0"/>
      </w:pPr>
    </w:p>
    <w:sectPr>
      <w:pgSz w:w="16838" w:h="11906" w:orient="landscape"/>
      <w:pgMar w:top="1134" w:right="1418" w:bottom="1701" w:left="1418" w:header="851" w:footer="99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幼圆">
    <w:panose1 w:val="0201050906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56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560"/>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560"/>
      <w:jc w:val="center"/>
    </w:pPr>
    <w:r>
      <w:rPr>
        <w:rFonts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rPr>
        <w:rFonts w:ascii="幼圆" w:eastAsia="幼圆"/>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3535" cy="279400"/>
              <wp:effectExtent l="0" t="0" r="9525" b="0"/>
              <wp:wrapNone/>
              <wp:docPr id="6" name="文本框 6"/>
              <wp:cNvGraphicFramePr/>
              <a:graphic xmlns:a="http://schemas.openxmlformats.org/drawingml/2006/main">
                <a:graphicData uri="http://schemas.microsoft.com/office/word/2010/wordprocessingShape">
                  <wps:wsp>
                    <wps:cNvSpPr txBox="true"/>
                    <wps:spPr>
                      <a:xfrm>
                        <a:off x="0" y="0"/>
                        <a:ext cx="343535" cy="279400"/>
                      </a:xfrm>
                      <a:prstGeom prst="rect">
                        <a:avLst/>
                      </a:prstGeom>
                      <a:noFill/>
                      <a:ln w="9525">
                        <a:noFill/>
                      </a:ln>
                    </wps:spPr>
                    <wps:txbx>
                      <w:txbxContent>
                        <w:p>
                          <w:pPr>
                            <w:pStyle w:val="22"/>
                            <w:ind w:firstLine="360"/>
                          </w:pPr>
                        </w:p>
                      </w:txbxContent>
                    </wps:txbx>
                    <wps:bodyPr wrap="none" lIns="0" tIns="0" rIns="0" bIns="0">
                      <a:spAutoFit/>
                    </wps:bodyPr>
                  </wps:wsp>
                </a:graphicData>
              </a:graphic>
            </wp:anchor>
          </w:drawing>
        </mc:Choice>
        <mc:Fallback>
          <w:pict>
            <v:shape id="_x0000_s1026" o:spid="_x0000_s1026" o:spt="202" type="#_x0000_t202" style="position:absolute;left:0pt;margin-top:0pt;height:22pt;width:27.05pt;mso-position-horizontal:center;mso-position-horizontal-relative:margin;mso-wrap-style:none;z-index:251658240;mso-width-relative:page;mso-height-relative:page;" filled="f" stroked="f" coordsize="21600,21600" o:gfxdata="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2v6G59EAAAADAQAADwAAAAAAAAABACAAAAA4AAAAZHJzL2Rv&#10;d25yZXYueG1sUEsBAhQAFAAAAAgAh07iQAAs6Te5AQAASQMAAA4AAAAAAAAAAQAgAAAANgEAAGRy&#10;cy9lMm9Eb2MueG1sUEsFBgAAAAAGAAYAWQEAAGEFAAAAAA==&#10;">
              <v:fill on="f" focussize="0,0"/>
              <v:stroke on="f"/>
              <v:imagedata o:title=""/>
              <o:lock v:ext="edit" aspectratio="f"/>
              <v:textbox inset="0mm,0mm,0mm,0mm" style="mso-fit-shape-to-text:t;">
                <w:txbxContent>
                  <w:p>
                    <w:pPr>
                      <w:pStyle w:val="22"/>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rPr>
        <w:rFonts w:ascii="幼圆" w:eastAsia="幼圆"/>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39090" cy="279400"/>
              <wp:effectExtent l="1905" t="3175" r="0" b="317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39090" cy="279400"/>
                      </a:xfrm>
                      <a:prstGeom prst="rect">
                        <a:avLst/>
                      </a:prstGeom>
                      <a:noFill/>
                      <a:ln>
                        <a:noFill/>
                      </a:ln>
                    </wps:spPr>
                    <wps:txbx>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22pt;width:26.7pt;mso-position-horizontal:center;mso-position-horizontal-relative:margin;mso-wrap-style:none;z-index:251657216;mso-width-relative:page;mso-height-relative:page;" filled="f" stroked="f" coordsize="21600,21600" o:gfxdata="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X1C7NEAAAADAQAADwAAAAAAAAABACAAAAA4AAAAZHJz&#10;L2Rvd25yZXYueG1sUEsBAhQAFAAAAAgAh07iQEEoX471AQAAwQMAAA4AAAAAAAAAAQAgAAAANgEA&#10;AGRycy9lMm9Eb2MueG1sUEsFBgAAAAAGAAYAWQEAAJ0FAAAAAA==&#10;">
              <v:fill on="f" focussize="0,0"/>
              <v:stroke on="f"/>
              <v:imagedata o:title=""/>
              <o:lock v:ext="edit" aspectratio="f"/>
              <v:textbox inset="0mm,0mm,0mm,0mm" style="mso-fit-shape-to-text:t;">
                <w:txbxContent>
                  <w:p>
                    <w:pPr>
                      <w:pStyle w:val="22"/>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560"/>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rFonts w:hint="eastAsia"/>
      </w:rPr>
      <w:t>重庆市沙坪坝区地质灾害防治规划（2019-2023）</w:t>
    </w:r>
  </w:p>
  <w:p>
    <w:pPr>
      <w:pStyle w:val="2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rFonts w:hint="eastAsia"/>
      </w:rPr>
      <w:t>重庆市沙坪坝区地质灾害防治规划（2019-2023）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rFonts w:hint="eastAsia"/>
      </w:rPr>
      <w:t>重庆市沙坪坝区地质灾害防治规划（2019-2023）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9CCC5"/>
    <w:multiLevelType w:val="singleLevel"/>
    <w:tmpl w:val="DC09CCC5"/>
    <w:lvl w:ilvl="0" w:tentative="0">
      <w:start w:val="1"/>
      <w:numFmt w:val="decimal"/>
      <w:suff w:val="space"/>
      <w:lvlText w:val="%1."/>
      <w:lvlJc w:val="left"/>
    </w:lvl>
  </w:abstractNum>
  <w:abstractNum w:abstractNumId="1">
    <w:nsid w:val="E76322B9"/>
    <w:multiLevelType w:val="singleLevel"/>
    <w:tmpl w:val="E76322B9"/>
    <w:lvl w:ilvl="0" w:tentative="0">
      <w:start w:val="3"/>
      <w:numFmt w:val="chineseCounting"/>
      <w:suff w:val="space"/>
      <w:lvlText w:val="第%1节"/>
      <w:lvlJc w:val="left"/>
      <w:rPr>
        <w:rFonts w:hint="eastAsia"/>
      </w:rPr>
    </w:lvl>
  </w:abstractNum>
  <w:abstractNum w:abstractNumId="2">
    <w:nsid w:val="3238E4BF"/>
    <w:multiLevelType w:val="singleLevel"/>
    <w:tmpl w:val="3238E4BF"/>
    <w:lvl w:ilvl="0" w:tentative="0">
      <w:start w:val="6"/>
      <w:numFmt w:val="chineseCounting"/>
      <w:suff w:val="space"/>
      <w:lvlText w:val="第%1节"/>
      <w:lvlJc w:val="left"/>
      <w:rPr>
        <w:rFonts w:hint="eastAsia"/>
      </w:rPr>
    </w:lvl>
  </w:abstractNum>
  <w:abstractNum w:abstractNumId="3">
    <w:nsid w:val="4330FDB4"/>
    <w:multiLevelType w:val="singleLevel"/>
    <w:tmpl w:val="4330FDB4"/>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40"/>
  <w:drawingGridVerticalSpacing w:val="381"/>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D9"/>
    <w:rsid w:val="00001CA0"/>
    <w:rsid w:val="0000297B"/>
    <w:rsid w:val="000034A1"/>
    <w:rsid w:val="000042D2"/>
    <w:rsid w:val="000052AB"/>
    <w:rsid w:val="00005FCA"/>
    <w:rsid w:val="000070DD"/>
    <w:rsid w:val="000071FB"/>
    <w:rsid w:val="000074D7"/>
    <w:rsid w:val="00007826"/>
    <w:rsid w:val="00007EE6"/>
    <w:rsid w:val="00011508"/>
    <w:rsid w:val="000126B6"/>
    <w:rsid w:val="000130C3"/>
    <w:rsid w:val="00013921"/>
    <w:rsid w:val="00014559"/>
    <w:rsid w:val="00014DBA"/>
    <w:rsid w:val="00015476"/>
    <w:rsid w:val="00020942"/>
    <w:rsid w:val="00021006"/>
    <w:rsid w:val="00021574"/>
    <w:rsid w:val="000215D6"/>
    <w:rsid w:val="00021AE8"/>
    <w:rsid w:val="00023094"/>
    <w:rsid w:val="000235F6"/>
    <w:rsid w:val="000307D6"/>
    <w:rsid w:val="000319A5"/>
    <w:rsid w:val="000338ED"/>
    <w:rsid w:val="00033B4E"/>
    <w:rsid w:val="00034081"/>
    <w:rsid w:val="00034EAC"/>
    <w:rsid w:val="000366ED"/>
    <w:rsid w:val="00037487"/>
    <w:rsid w:val="0003791E"/>
    <w:rsid w:val="000414AA"/>
    <w:rsid w:val="00041F80"/>
    <w:rsid w:val="00042426"/>
    <w:rsid w:val="00043C27"/>
    <w:rsid w:val="00045336"/>
    <w:rsid w:val="00046A38"/>
    <w:rsid w:val="00047967"/>
    <w:rsid w:val="000503A3"/>
    <w:rsid w:val="00051187"/>
    <w:rsid w:val="0005231A"/>
    <w:rsid w:val="00052AF1"/>
    <w:rsid w:val="000534C0"/>
    <w:rsid w:val="000549F3"/>
    <w:rsid w:val="00054AF1"/>
    <w:rsid w:val="00054E84"/>
    <w:rsid w:val="00055237"/>
    <w:rsid w:val="0005560A"/>
    <w:rsid w:val="00056177"/>
    <w:rsid w:val="00056937"/>
    <w:rsid w:val="00056D7C"/>
    <w:rsid w:val="00057407"/>
    <w:rsid w:val="000578F7"/>
    <w:rsid w:val="00060534"/>
    <w:rsid w:val="00060A0A"/>
    <w:rsid w:val="000612D6"/>
    <w:rsid w:val="0006149F"/>
    <w:rsid w:val="000614F5"/>
    <w:rsid w:val="00062049"/>
    <w:rsid w:val="00063438"/>
    <w:rsid w:val="000643CD"/>
    <w:rsid w:val="00065298"/>
    <w:rsid w:val="00066722"/>
    <w:rsid w:val="00070146"/>
    <w:rsid w:val="0007025A"/>
    <w:rsid w:val="00070328"/>
    <w:rsid w:val="000711FE"/>
    <w:rsid w:val="00072108"/>
    <w:rsid w:val="00072435"/>
    <w:rsid w:val="000736DE"/>
    <w:rsid w:val="000741C6"/>
    <w:rsid w:val="0007476F"/>
    <w:rsid w:val="00075605"/>
    <w:rsid w:val="00075EEF"/>
    <w:rsid w:val="000801F4"/>
    <w:rsid w:val="0008026E"/>
    <w:rsid w:val="000811F8"/>
    <w:rsid w:val="00081980"/>
    <w:rsid w:val="00082389"/>
    <w:rsid w:val="00084BF1"/>
    <w:rsid w:val="00087292"/>
    <w:rsid w:val="000905B3"/>
    <w:rsid w:val="00090607"/>
    <w:rsid w:val="00090C51"/>
    <w:rsid w:val="00091EFF"/>
    <w:rsid w:val="00094A4A"/>
    <w:rsid w:val="00094BCC"/>
    <w:rsid w:val="000958A2"/>
    <w:rsid w:val="00095F4E"/>
    <w:rsid w:val="00095F8C"/>
    <w:rsid w:val="00097191"/>
    <w:rsid w:val="000976DC"/>
    <w:rsid w:val="000A01E1"/>
    <w:rsid w:val="000A1E11"/>
    <w:rsid w:val="000A27D1"/>
    <w:rsid w:val="000A4F2A"/>
    <w:rsid w:val="000A5FF6"/>
    <w:rsid w:val="000B0136"/>
    <w:rsid w:val="000B13D4"/>
    <w:rsid w:val="000B143B"/>
    <w:rsid w:val="000B1AB3"/>
    <w:rsid w:val="000B1FFE"/>
    <w:rsid w:val="000B370F"/>
    <w:rsid w:val="000B3A2A"/>
    <w:rsid w:val="000B4F77"/>
    <w:rsid w:val="000B5E5D"/>
    <w:rsid w:val="000B7B08"/>
    <w:rsid w:val="000C10E1"/>
    <w:rsid w:val="000C11F2"/>
    <w:rsid w:val="000C3611"/>
    <w:rsid w:val="000C42EB"/>
    <w:rsid w:val="000C46DC"/>
    <w:rsid w:val="000C4C98"/>
    <w:rsid w:val="000D2333"/>
    <w:rsid w:val="000D3EB7"/>
    <w:rsid w:val="000D54C4"/>
    <w:rsid w:val="000D6539"/>
    <w:rsid w:val="000E0A4A"/>
    <w:rsid w:val="000E0C2D"/>
    <w:rsid w:val="000E0CC4"/>
    <w:rsid w:val="000E0DF6"/>
    <w:rsid w:val="000E12F8"/>
    <w:rsid w:val="000E148E"/>
    <w:rsid w:val="000E2B73"/>
    <w:rsid w:val="000E35BA"/>
    <w:rsid w:val="000E5EC0"/>
    <w:rsid w:val="000E64AC"/>
    <w:rsid w:val="000E760E"/>
    <w:rsid w:val="000E7F56"/>
    <w:rsid w:val="000F10E5"/>
    <w:rsid w:val="000F1263"/>
    <w:rsid w:val="000F221E"/>
    <w:rsid w:val="000F2924"/>
    <w:rsid w:val="000F3EB9"/>
    <w:rsid w:val="000F5810"/>
    <w:rsid w:val="000F7537"/>
    <w:rsid w:val="000F7B24"/>
    <w:rsid w:val="001000B6"/>
    <w:rsid w:val="0010035F"/>
    <w:rsid w:val="0010113D"/>
    <w:rsid w:val="001017E5"/>
    <w:rsid w:val="001033E4"/>
    <w:rsid w:val="00103750"/>
    <w:rsid w:val="00103DC3"/>
    <w:rsid w:val="00105181"/>
    <w:rsid w:val="00105C28"/>
    <w:rsid w:val="00106B4C"/>
    <w:rsid w:val="00106C0D"/>
    <w:rsid w:val="00106F2D"/>
    <w:rsid w:val="00107318"/>
    <w:rsid w:val="00112EFC"/>
    <w:rsid w:val="00113BA0"/>
    <w:rsid w:val="0011503E"/>
    <w:rsid w:val="001155DF"/>
    <w:rsid w:val="0011691A"/>
    <w:rsid w:val="00120EB1"/>
    <w:rsid w:val="00122565"/>
    <w:rsid w:val="00124A10"/>
    <w:rsid w:val="001250A4"/>
    <w:rsid w:val="00126C2C"/>
    <w:rsid w:val="00127F4D"/>
    <w:rsid w:val="00131BA5"/>
    <w:rsid w:val="001325F9"/>
    <w:rsid w:val="0013304B"/>
    <w:rsid w:val="00134715"/>
    <w:rsid w:val="001350BD"/>
    <w:rsid w:val="001361E2"/>
    <w:rsid w:val="0013770F"/>
    <w:rsid w:val="001378B9"/>
    <w:rsid w:val="00141C95"/>
    <w:rsid w:val="001428A0"/>
    <w:rsid w:val="00142AC5"/>
    <w:rsid w:val="00144179"/>
    <w:rsid w:val="0015009B"/>
    <w:rsid w:val="001537B8"/>
    <w:rsid w:val="001539DE"/>
    <w:rsid w:val="00154129"/>
    <w:rsid w:val="00154A72"/>
    <w:rsid w:val="00155144"/>
    <w:rsid w:val="001556A1"/>
    <w:rsid w:val="00156061"/>
    <w:rsid w:val="001560FD"/>
    <w:rsid w:val="00157970"/>
    <w:rsid w:val="00157D3F"/>
    <w:rsid w:val="00161834"/>
    <w:rsid w:val="00163024"/>
    <w:rsid w:val="00164DF7"/>
    <w:rsid w:val="00165078"/>
    <w:rsid w:val="001656AA"/>
    <w:rsid w:val="00165DFC"/>
    <w:rsid w:val="001707B3"/>
    <w:rsid w:val="00171F21"/>
    <w:rsid w:val="0017204D"/>
    <w:rsid w:val="00172242"/>
    <w:rsid w:val="001734B5"/>
    <w:rsid w:val="0017575F"/>
    <w:rsid w:val="00176F4F"/>
    <w:rsid w:val="00181418"/>
    <w:rsid w:val="001818F0"/>
    <w:rsid w:val="001822BC"/>
    <w:rsid w:val="001823D3"/>
    <w:rsid w:val="0018352D"/>
    <w:rsid w:val="001836E2"/>
    <w:rsid w:val="00184FE9"/>
    <w:rsid w:val="00185226"/>
    <w:rsid w:val="00187C7E"/>
    <w:rsid w:val="001903FB"/>
    <w:rsid w:val="00190C44"/>
    <w:rsid w:val="00193083"/>
    <w:rsid w:val="00195699"/>
    <w:rsid w:val="00195E36"/>
    <w:rsid w:val="00195F60"/>
    <w:rsid w:val="00196FA1"/>
    <w:rsid w:val="00197878"/>
    <w:rsid w:val="001A023D"/>
    <w:rsid w:val="001A194E"/>
    <w:rsid w:val="001A57F9"/>
    <w:rsid w:val="001A5C19"/>
    <w:rsid w:val="001A737F"/>
    <w:rsid w:val="001A7C80"/>
    <w:rsid w:val="001A7FE4"/>
    <w:rsid w:val="001B13C5"/>
    <w:rsid w:val="001B24EE"/>
    <w:rsid w:val="001B527F"/>
    <w:rsid w:val="001C0D15"/>
    <w:rsid w:val="001C2A6A"/>
    <w:rsid w:val="001C31A1"/>
    <w:rsid w:val="001C459B"/>
    <w:rsid w:val="001C4828"/>
    <w:rsid w:val="001C682D"/>
    <w:rsid w:val="001C7544"/>
    <w:rsid w:val="001D167D"/>
    <w:rsid w:val="001D2EAE"/>
    <w:rsid w:val="001D408A"/>
    <w:rsid w:val="001D449A"/>
    <w:rsid w:val="001D4685"/>
    <w:rsid w:val="001D4BAD"/>
    <w:rsid w:val="001D5EFE"/>
    <w:rsid w:val="001D60FF"/>
    <w:rsid w:val="001D6EEE"/>
    <w:rsid w:val="001D77F8"/>
    <w:rsid w:val="001E02E6"/>
    <w:rsid w:val="001E1063"/>
    <w:rsid w:val="001E13FE"/>
    <w:rsid w:val="001E14F4"/>
    <w:rsid w:val="001E36B8"/>
    <w:rsid w:val="001E36E1"/>
    <w:rsid w:val="001E3D09"/>
    <w:rsid w:val="001E4636"/>
    <w:rsid w:val="001E50D9"/>
    <w:rsid w:val="001E514D"/>
    <w:rsid w:val="001E5B4A"/>
    <w:rsid w:val="001E6528"/>
    <w:rsid w:val="001E662A"/>
    <w:rsid w:val="001E674C"/>
    <w:rsid w:val="001E6FBD"/>
    <w:rsid w:val="001E78FE"/>
    <w:rsid w:val="001F016C"/>
    <w:rsid w:val="001F294D"/>
    <w:rsid w:val="001F2B61"/>
    <w:rsid w:val="001F2FD8"/>
    <w:rsid w:val="001F413E"/>
    <w:rsid w:val="001F50DC"/>
    <w:rsid w:val="001F60F1"/>
    <w:rsid w:val="001F63CF"/>
    <w:rsid w:val="001F7E1C"/>
    <w:rsid w:val="002002CA"/>
    <w:rsid w:val="0020094F"/>
    <w:rsid w:val="0020320D"/>
    <w:rsid w:val="002036F4"/>
    <w:rsid w:val="00203E1D"/>
    <w:rsid w:val="002042BD"/>
    <w:rsid w:val="00204F96"/>
    <w:rsid w:val="002069F1"/>
    <w:rsid w:val="00207038"/>
    <w:rsid w:val="00211274"/>
    <w:rsid w:val="00211DEA"/>
    <w:rsid w:val="0021212D"/>
    <w:rsid w:val="0021417C"/>
    <w:rsid w:val="00215827"/>
    <w:rsid w:val="00215D20"/>
    <w:rsid w:val="00217E57"/>
    <w:rsid w:val="002202AC"/>
    <w:rsid w:val="00220626"/>
    <w:rsid w:val="002217A4"/>
    <w:rsid w:val="00221D44"/>
    <w:rsid w:val="002229A0"/>
    <w:rsid w:val="00222EB5"/>
    <w:rsid w:val="00223997"/>
    <w:rsid w:val="00224002"/>
    <w:rsid w:val="00224576"/>
    <w:rsid w:val="00224A57"/>
    <w:rsid w:val="00225229"/>
    <w:rsid w:val="00227929"/>
    <w:rsid w:val="00231205"/>
    <w:rsid w:val="00233E77"/>
    <w:rsid w:val="00233EF5"/>
    <w:rsid w:val="0023406D"/>
    <w:rsid w:val="00235964"/>
    <w:rsid w:val="00236C55"/>
    <w:rsid w:val="0024073F"/>
    <w:rsid w:val="00240FFB"/>
    <w:rsid w:val="002431B1"/>
    <w:rsid w:val="00244550"/>
    <w:rsid w:val="002448DA"/>
    <w:rsid w:val="00245168"/>
    <w:rsid w:val="00246455"/>
    <w:rsid w:val="00246533"/>
    <w:rsid w:val="00246876"/>
    <w:rsid w:val="002522AA"/>
    <w:rsid w:val="00252671"/>
    <w:rsid w:val="00252D5D"/>
    <w:rsid w:val="0025301D"/>
    <w:rsid w:val="002533C3"/>
    <w:rsid w:val="00253977"/>
    <w:rsid w:val="00253DFA"/>
    <w:rsid w:val="00255250"/>
    <w:rsid w:val="00255612"/>
    <w:rsid w:val="00255A94"/>
    <w:rsid w:val="00256B98"/>
    <w:rsid w:val="0026072A"/>
    <w:rsid w:val="00260F24"/>
    <w:rsid w:val="00261900"/>
    <w:rsid w:val="00261A54"/>
    <w:rsid w:val="00262855"/>
    <w:rsid w:val="00263C5B"/>
    <w:rsid w:val="00263FDA"/>
    <w:rsid w:val="002667AA"/>
    <w:rsid w:val="002667E8"/>
    <w:rsid w:val="00266CD9"/>
    <w:rsid w:val="00270A5E"/>
    <w:rsid w:val="00270F01"/>
    <w:rsid w:val="002727B3"/>
    <w:rsid w:val="00276D9B"/>
    <w:rsid w:val="002772C5"/>
    <w:rsid w:val="0027738C"/>
    <w:rsid w:val="002775CE"/>
    <w:rsid w:val="00277794"/>
    <w:rsid w:val="00280711"/>
    <w:rsid w:val="002810EA"/>
    <w:rsid w:val="00281414"/>
    <w:rsid w:val="00281763"/>
    <w:rsid w:val="00281EF7"/>
    <w:rsid w:val="00282E71"/>
    <w:rsid w:val="00283AA0"/>
    <w:rsid w:val="00284223"/>
    <w:rsid w:val="0028606A"/>
    <w:rsid w:val="0029064C"/>
    <w:rsid w:val="002906BC"/>
    <w:rsid w:val="00292A4D"/>
    <w:rsid w:val="00292D03"/>
    <w:rsid w:val="0029593E"/>
    <w:rsid w:val="00297BD9"/>
    <w:rsid w:val="002A1DBE"/>
    <w:rsid w:val="002A24BE"/>
    <w:rsid w:val="002A276E"/>
    <w:rsid w:val="002A38DD"/>
    <w:rsid w:val="002A3927"/>
    <w:rsid w:val="002A3EF2"/>
    <w:rsid w:val="002A5A19"/>
    <w:rsid w:val="002A5C8A"/>
    <w:rsid w:val="002A610E"/>
    <w:rsid w:val="002B0A67"/>
    <w:rsid w:val="002B13CE"/>
    <w:rsid w:val="002B231B"/>
    <w:rsid w:val="002B4032"/>
    <w:rsid w:val="002B4852"/>
    <w:rsid w:val="002B69B2"/>
    <w:rsid w:val="002C0463"/>
    <w:rsid w:val="002C1554"/>
    <w:rsid w:val="002C1846"/>
    <w:rsid w:val="002C3DE4"/>
    <w:rsid w:val="002C5BF7"/>
    <w:rsid w:val="002C60DF"/>
    <w:rsid w:val="002C6636"/>
    <w:rsid w:val="002C6CF9"/>
    <w:rsid w:val="002C7174"/>
    <w:rsid w:val="002D06F9"/>
    <w:rsid w:val="002D1904"/>
    <w:rsid w:val="002D20E0"/>
    <w:rsid w:val="002D276B"/>
    <w:rsid w:val="002D6643"/>
    <w:rsid w:val="002D6821"/>
    <w:rsid w:val="002D6DAB"/>
    <w:rsid w:val="002E095A"/>
    <w:rsid w:val="002E1539"/>
    <w:rsid w:val="002F024F"/>
    <w:rsid w:val="002F0673"/>
    <w:rsid w:val="002F085C"/>
    <w:rsid w:val="002F18B1"/>
    <w:rsid w:val="002F1EA2"/>
    <w:rsid w:val="002F1EA5"/>
    <w:rsid w:val="002F2D98"/>
    <w:rsid w:val="002F3DA8"/>
    <w:rsid w:val="003018D6"/>
    <w:rsid w:val="00302584"/>
    <w:rsid w:val="00303252"/>
    <w:rsid w:val="00303C6F"/>
    <w:rsid w:val="00303CC1"/>
    <w:rsid w:val="00305684"/>
    <w:rsid w:val="00305ED5"/>
    <w:rsid w:val="003064D8"/>
    <w:rsid w:val="00306BA9"/>
    <w:rsid w:val="00310349"/>
    <w:rsid w:val="00312D58"/>
    <w:rsid w:val="0031323A"/>
    <w:rsid w:val="00313B54"/>
    <w:rsid w:val="0031486C"/>
    <w:rsid w:val="00314A10"/>
    <w:rsid w:val="00315DAD"/>
    <w:rsid w:val="0031749C"/>
    <w:rsid w:val="003203C0"/>
    <w:rsid w:val="00320AD1"/>
    <w:rsid w:val="0032220B"/>
    <w:rsid w:val="00322388"/>
    <w:rsid w:val="00322E76"/>
    <w:rsid w:val="003234E3"/>
    <w:rsid w:val="00323FBD"/>
    <w:rsid w:val="00324C85"/>
    <w:rsid w:val="003250C0"/>
    <w:rsid w:val="00325C00"/>
    <w:rsid w:val="00326473"/>
    <w:rsid w:val="00327584"/>
    <w:rsid w:val="003279C9"/>
    <w:rsid w:val="0033025D"/>
    <w:rsid w:val="0033060D"/>
    <w:rsid w:val="00330D9B"/>
    <w:rsid w:val="00334636"/>
    <w:rsid w:val="00334FE7"/>
    <w:rsid w:val="00336B60"/>
    <w:rsid w:val="003375EB"/>
    <w:rsid w:val="003402B1"/>
    <w:rsid w:val="00341341"/>
    <w:rsid w:val="00342810"/>
    <w:rsid w:val="0034501D"/>
    <w:rsid w:val="00345765"/>
    <w:rsid w:val="003474DF"/>
    <w:rsid w:val="0034770C"/>
    <w:rsid w:val="0035020B"/>
    <w:rsid w:val="003519CF"/>
    <w:rsid w:val="00354611"/>
    <w:rsid w:val="003551ED"/>
    <w:rsid w:val="00356D05"/>
    <w:rsid w:val="00357972"/>
    <w:rsid w:val="00360429"/>
    <w:rsid w:val="0036172A"/>
    <w:rsid w:val="003629F4"/>
    <w:rsid w:val="00362CCF"/>
    <w:rsid w:val="00363940"/>
    <w:rsid w:val="00363E56"/>
    <w:rsid w:val="003644B7"/>
    <w:rsid w:val="003645A8"/>
    <w:rsid w:val="003651F6"/>
    <w:rsid w:val="003652D4"/>
    <w:rsid w:val="003656D5"/>
    <w:rsid w:val="003662A0"/>
    <w:rsid w:val="00366B88"/>
    <w:rsid w:val="00366FAA"/>
    <w:rsid w:val="00367C6C"/>
    <w:rsid w:val="0037205F"/>
    <w:rsid w:val="00372507"/>
    <w:rsid w:val="00381326"/>
    <w:rsid w:val="00381A2C"/>
    <w:rsid w:val="00381F06"/>
    <w:rsid w:val="00382919"/>
    <w:rsid w:val="00382C00"/>
    <w:rsid w:val="00383291"/>
    <w:rsid w:val="0038343A"/>
    <w:rsid w:val="00383D87"/>
    <w:rsid w:val="00384009"/>
    <w:rsid w:val="003842A7"/>
    <w:rsid w:val="0038467A"/>
    <w:rsid w:val="00384E77"/>
    <w:rsid w:val="0038523F"/>
    <w:rsid w:val="0038638B"/>
    <w:rsid w:val="00390213"/>
    <w:rsid w:val="00390624"/>
    <w:rsid w:val="00390636"/>
    <w:rsid w:val="00391B05"/>
    <w:rsid w:val="00392522"/>
    <w:rsid w:val="00392951"/>
    <w:rsid w:val="00392F80"/>
    <w:rsid w:val="0039324D"/>
    <w:rsid w:val="00393B24"/>
    <w:rsid w:val="00393C65"/>
    <w:rsid w:val="00397F56"/>
    <w:rsid w:val="003A07CA"/>
    <w:rsid w:val="003A0976"/>
    <w:rsid w:val="003A12C0"/>
    <w:rsid w:val="003A14FE"/>
    <w:rsid w:val="003A18A7"/>
    <w:rsid w:val="003A2AFB"/>
    <w:rsid w:val="003A3091"/>
    <w:rsid w:val="003A4603"/>
    <w:rsid w:val="003A479A"/>
    <w:rsid w:val="003A4C81"/>
    <w:rsid w:val="003A52A5"/>
    <w:rsid w:val="003A6172"/>
    <w:rsid w:val="003B07E4"/>
    <w:rsid w:val="003B42D1"/>
    <w:rsid w:val="003B464F"/>
    <w:rsid w:val="003B50ED"/>
    <w:rsid w:val="003B5AA1"/>
    <w:rsid w:val="003B5E19"/>
    <w:rsid w:val="003B7C49"/>
    <w:rsid w:val="003C005F"/>
    <w:rsid w:val="003C0611"/>
    <w:rsid w:val="003C13C9"/>
    <w:rsid w:val="003C21F1"/>
    <w:rsid w:val="003C2C02"/>
    <w:rsid w:val="003C34AB"/>
    <w:rsid w:val="003C3C77"/>
    <w:rsid w:val="003C3F0B"/>
    <w:rsid w:val="003C4C66"/>
    <w:rsid w:val="003C5B84"/>
    <w:rsid w:val="003C6CA0"/>
    <w:rsid w:val="003D0B60"/>
    <w:rsid w:val="003D2111"/>
    <w:rsid w:val="003D29B3"/>
    <w:rsid w:val="003D32B6"/>
    <w:rsid w:val="003D4FF5"/>
    <w:rsid w:val="003D59E5"/>
    <w:rsid w:val="003D7461"/>
    <w:rsid w:val="003D7868"/>
    <w:rsid w:val="003E310D"/>
    <w:rsid w:val="003E33AC"/>
    <w:rsid w:val="003E3501"/>
    <w:rsid w:val="003E5031"/>
    <w:rsid w:val="003E5403"/>
    <w:rsid w:val="003E6561"/>
    <w:rsid w:val="003E6E81"/>
    <w:rsid w:val="003E7E3E"/>
    <w:rsid w:val="003F01E8"/>
    <w:rsid w:val="003F0625"/>
    <w:rsid w:val="003F0C28"/>
    <w:rsid w:val="003F0C32"/>
    <w:rsid w:val="003F1509"/>
    <w:rsid w:val="003F2946"/>
    <w:rsid w:val="003F5256"/>
    <w:rsid w:val="003F5E20"/>
    <w:rsid w:val="003F632E"/>
    <w:rsid w:val="003F7CE0"/>
    <w:rsid w:val="004004C7"/>
    <w:rsid w:val="004005DE"/>
    <w:rsid w:val="00400D3B"/>
    <w:rsid w:val="00400F3C"/>
    <w:rsid w:val="00402ACF"/>
    <w:rsid w:val="004035A6"/>
    <w:rsid w:val="00403823"/>
    <w:rsid w:val="00404AA5"/>
    <w:rsid w:val="00404D50"/>
    <w:rsid w:val="00405643"/>
    <w:rsid w:val="00405786"/>
    <w:rsid w:val="00405F7A"/>
    <w:rsid w:val="00406B30"/>
    <w:rsid w:val="00406B51"/>
    <w:rsid w:val="004075B7"/>
    <w:rsid w:val="0041092E"/>
    <w:rsid w:val="00411674"/>
    <w:rsid w:val="00412F5A"/>
    <w:rsid w:val="00413A1B"/>
    <w:rsid w:val="00415D26"/>
    <w:rsid w:val="00415D71"/>
    <w:rsid w:val="0041761B"/>
    <w:rsid w:val="0041765F"/>
    <w:rsid w:val="00417681"/>
    <w:rsid w:val="00420BBF"/>
    <w:rsid w:val="00420CFB"/>
    <w:rsid w:val="0042179C"/>
    <w:rsid w:val="00422D51"/>
    <w:rsid w:val="00422DF2"/>
    <w:rsid w:val="00425051"/>
    <w:rsid w:val="00426EE6"/>
    <w:rsid w:val="00427DA6"/>
    <w:rsid w:val="00431992"/>
    <w:rsid w:val="004338D2"/>
    <w:rsid w:val="0043659D"/>
    <w:rsid w:val="004372CF"/>
    <w:rsid w:val="00440D32"/>
    <w:rsid w:val="004413F8"/>
    <w:rsid w:val="004418C2"/>
    <w:rsid w:val="0044342A"/>
    <w:rsid w:val="00445CB3"/>
    <w:rsid w:val="00447C04"/>
    <w:rsid w:val="00451183"/>
    <w:rsid w:val="00451DEC"/>
    <w:rsid w:val="00452465"/>
    <w:rsid w:val="00452ACD"/>
    <w:rsid w:val="00453E22"/>
    <w:rsid w:val="004549F6"/>
    <w:rsid w:val="00454E92"/>
    <w:rsid w:val="00455D1A"/>
    <w:rsid w:val="00457622"/>
    <w:rsid w:val="004577B6"/>
    <w:rsid w:val="00460006"/>
    <w:rsid w:val="00460320"/>
    <w:rsid w:val="00460EC4"/>
    <w:rsid w:val="00461D81"/>
    <w:rsid w:val="0046258C"/>
    <w:rsid w:val="004627C9"/>
    <w:rsid w:val="00462A71"/>
    <w:rsid w:val="00463468"/>
    <w:rsid w:val="0046536C"/>
    <w:rsid w:val="00465543"/>
    <w:rsid w:val="0046622A"/>
    <w:rsid w:val="00466689"/>
    <w:rsid w:val="004668F2"/>
    <w:rsid w:val="00467193"/>
    <w:rsid w:val="00467521"/>
    <w:rsid w:val="00467E36"/>
    <w:rsid w:val="00470DC3"/>
    <w:rsid w:val="00471798"/>
    <w:rsid w:val="00471C46"/>
    <w:rsid w:val="004721E3"/>
    <w:rsid w:val="00472FDE"/>
    <w:rsid w:val="00473577"/>
    <w:rsid w:val="00473DD9"/>
    <w:rsid w:val="00474399"/>
    <w:rsid w:val="004743C4"/>
    <w:rsid w:val="004812E6"/>
    <w:rsid w:val="00481482"/>
    <w:rsid w:val="00481998"/>
    <w:rsid w:val="00481C10"/>
    <w:rsid w:val="004835C5"/>
    <w:rsid w:val="004838BB"/>
    <w:rsid w:val="00483DEF"/>
    <w:rsid w:val="00484582"/>
    <w:rsid w:val="004860CB"/>
    <w:rsid w:val="00486594"/>
    <w:rsid w:val="00487219"/>
    <w:rsid w:val="0049005D"/>
    <w:rsid w:val="004949D6"/>
    <w:rsid w:val="004965EB"/>
    <w:rsid w:val="004A0199"/>
    <w:rsid w:val="004A0A27"/>
    <w:rsid w:val="004A18F4"/>
    <w:rsid w:val="004A2C47"/>
    <w:rsid w:val="004A2FFF"/>
    <w:rsid w:val="004A32B6"/>
    <w:rsid w:val="004A3815"/>
    <w:rsid w:val="004A4322"/>
    <w:rsid w:val="004A45D6"/>
    <w:rsid w:val="004A5601"/>
    <w:rsid w:val="004A707D"/>
    <w:rsid w:val="004A7F06"/>
    <w:rsid w:val="004B16C4"/>
    <w:rsid w:val="004B2038"/>
    <w:rsid w:val="004B2269"/>
    <w:rsid w:val="004B4225"/>
    <w:rsid w:val="004B429E"/>
    <w:rsid w:val="004B5C55"/>
    <w:rsid w:val="004C267E"/>
    <w:rsid w:val="004C2B07"/>
    <w:rsid w:val="004C2E59"/>
    <w:rsid w:val="004C3424"/>
    <w:rsid w:val="004C3EA7"/>
    <w:rsid w:val="004C5683"/>
    <w:rsid w:val="004C58E4"/>
    <w:rsid w:val="004C7998"/>
    <w:rsid w:val="004C7E1A"/>
    <w:rsid w:val="004D28F1"/>
    <w:rsid w:val="004D35B9"/>
    <w:rsid w:val="004D382F"/>
    <w:rsid w:val="004D4E8D"/>
    <w:rsid w:val="004D52EF"/>
    <w:rsid w:val="004D6466"/>
    <w:rsid w:val="004D68E7"/>
    <w:rsid w:val="004D6EE3"/>
    <w:rsid w:val="004E0270"/>
    <w:rsid w:val="004E028B"/>
    <w:rsid w:val="004E03C0"/>
    <w:rsid w:val="004E0447"/>
    <w:rsid w:val="004E04E2"/>
    <w:rsid w:val="004E06E0"/>
    <w:rsid w:val="004E0C5F"/>
    <w:rsid w:val="004E1CF5"/>
    <w:rsid w:val="004E30B5"/>
    <w:rsid w:val="004E47F1"/>
    <w:rsid w:val="004E5262"/>
    <w:rsid w:val="004E586C"/>
    <w:rsid w:val="004E6723"/>
    <w:rsid w:val="004E6D42"/>
    <w:rsid w:val="004F0EB5"/>
    <w:rsid w:val="004F124F"/>
    <w:rsid w:val="004F378A"/>
    <w:rsid w:val="004F3F97"/>
    <w:rsid w:val="004F5E8A"/>
    <w:rsid w:val="004F7B70"/>
    <w:rsid w:val="005000E8"/>
    <w:rsid w:val="00500DDD"/>
    <w:rsid w:val="00502742"/>
    <w:rsid w:val="00503213"/>
    <w:rsid w:val="00503CEB"/>
    <w:rsid w:val="00504A8C"/>
    <w:rsid w:val="00505A2C"/>
    <w:rsid w:val="00506779"/>
    <w:rsid w:val="00510389"/>
    <w:rsid w:val="00511637"/>
    <w:rsid w:val="00512D74"/>
    <w:rsid w:val="00515373"/>
    <w:rsid w:val="00516997"/>
    <w:rsid w:val="00517DBB"/>
    <w:rsid w:val="005214A5"/>
    <w:rsid w:val="00522732"/>
    <w:rsid w:val="00522802"/>
    <w:rsid w:val="00522C9D"/>
    <w:rsid w:val="00524191"/>
    <w:rsid w:val="00526B2C"/>
    <w:rsid w:val="00527A23"/>
    <w:rsid w:val="00527C3F"/>
    <w:rsid w:val="0053090F"/>
    <w:rsid w:val="0053228E"/>
    <w:rsid w:val="005334FD"/>
    <w:rsid w:val="00533BD1"/>
    <w:rsid w:val="005341DB"/>
    <w:rsid w:val="00534F4A"/>
    <w:rsid w:val="005350D5"/>
    <w:rsid w:val="00535E5F"/>
    <w:rsid w:val="00536B5F"/>
    <w:rsid w:val="00540A41"/>
    <w:rsid w:val="00542130"/>
    <w:rsid w:val="005434C1"/>
    <w:rsid w:val="00543B93"/>
    <w:rsid w:val="00544A28"/>
    <w:rsid w:val="00551409"/>
    <w:rsid w:val="0055220E"/>
    <w:rsid w:val="005537A7"/>
    <w:rsid w:val="005540C1"/>
    <w:rsid w:val="00554161"/>
    <w:rsid w:val="00554847"/>
    <w:rsid w:val="00554904"/>
    <w:rsid w:val="00555475"/>
    <w:rsid w:val="00555D9F"/>
    <w:rsid w:val="005604B6"/>
    <w:rsid w:val="00560CC8"/>
    <w:rsid w:val="005621BA"/>
    <w:rsid w:val="005631AE"/>
    <w:rsid w:val="005640C5"/>
    <w:rsid w:val="0056480E"/>
    <w:rsid w:val="00565A09"/>
    <w:rsid w:val="00566361"/>
    <w:rsid w:val="005674BF"/>
    <w:rsid w:val="00570061"/>
    <w:rsid w:val="00570F74"/>
    <w:rsid w:val="00571743"/>
    <w:rsid w:val="00571A83"/>
    <w:rsid w:val="005725B8"/>
    <w:rsid w:val="00572E20"/>
    <w:rsid w:val="005738FB"/>
    <w:rsid w:val="0057431E"/>
    <w:rsid w:val="00574816"/>
    <w:rsid w:val="005753FC"/>
    <w:rsid w:val="00580F68"/>
    <w:rsid w:val="005832A4"/>
    <w:rsid w:val="00583809"/>
    <w:rsid w:val="00585D47"/>
    <w:rsid w:val="005870AA"/>
    <w:rsid w:val="00587D1A"/>
    <w:rsid w:val="00590B63"/>
    <w:rsid w:val="005927FC"/>
    <w:rsid w:val="00592E51"/>
    <w:rsid w:val="00593C32"/>
    <w:rsid w:val="00594064"/>
    <w:rsid w:val="00594469"/>
    <w:rsid w:val="00594F2A"/>
    <w:rsid w:val="005950D8"/>
    <w:rsid w:val="00595406"/>
    <w:rsid w:val="0059620F"/>
    <w:rsid w:val="0059640F"/>
    <w:rsid w:val="00596C05"/>
    <w:rsid w:val="00597054"/>
    <w:rsid w:val="00597CC4"/>
    <w:rsid w:val="005A1066"/>
    <w:rsid w:val="005A1410"/>
    <w:rsid w:val="005A19CE"/>
    <w:rsid w:val="005A2882"/>
    <w:rsid w:val="005A2DA5"/>
    <w:rsid w:val="005A339F"/>
    <w:rsid w:val="005A3D6F"/>
    <w:rsid w:val="005A49F7"/>
    <w:rsid w:val="005A5655"/>
    <w:rsid w:val="005A69B4"/>
    <w:rsid w:val="005A6CF2"/>
    <w:rsid w:val="005A717D"/>
    <w:rsid w:val="005A7466"/>
    <w:rsid w:val="005A74A6"/>
    <w:rsid w:val="005B0C33"/>
    <w:rsid w:val="005B1721"/>
    <w:rsid w:val="005B1D42"/>
    <w:rsid w:val="005B3260"/>
    <w:rsid w:val="005B34BE"/>
    <w:rsid w:val="005B34EA"/>
    <w:rsid w:val="005B4286"/>
    <w:rsid w:val="005B4AC5"/>
    <w:rsid w:val="005B57D0"/>
    <w:rsid w:val="005C0F27"/>
    <w:rsid w:val="005C1F16"/>
    <w:rsid w:val="005C26F3"/>
    <w:rsid w:val="005C297F"/>
    <w:rsid w:val="005C3180"/>
    <w:rsid w:val="005C31E3"/>
    <w:rsid w:val="005C3E9E"/>
    <w:rsid w:val="005C4364"/>
    <w:rsid w:val="005C51A8"/>
    <w:rsid w:val="005C5D8D"/>
    <w:rsid w:val="005C603B"/>
    <w:rsid w:val="005C64D3"/>
    <w:rsid w:val="005C73D6"/>
    <w:rsid w:val="005C7FBA"/>
    <w:rsid w:val="005D065F"/>
    <w:rsid w:val="005D3ECE"/>
    <w:rsid w:val="005D5C19"/>
    <w:rsid w:val="005D5DE4"/>
    <w:rsid w:val="005D5ED0"/>
    <w:rsid w:val="005D66B6"/>
    <w:rsid w:val="005D6CD4"/>
    <w:rsid w:val="005D76E4"/>
    <w:rsid w:val="005E1C76"/>
    <w:rsid w:val="005E1D65"/>
    <w:rsid w:val="005E28C7"/>
    <w:rsid w:val="005E32E9"/>
    <w:rsid w:val="005E37A5"/>
    <w:rsid w:val="005E6558"/>
    <w:rsid w:val="005E67E6"/>
    <w:rsid w:val="005F0C9D"/>
    <w:rsid w:val="005F1103"/>
    <w:rsid w:val="005F1778"/>
    <w:rsid w:val="005F1DFF"/>
    <w:rsid w:val="005F374C"/>
    <w:rsid w:val="005F3BB3"/>
    <w:rsid w:val="005F41D3"/>
    <w:rsid w:val="005F5756"/>
    <w:rsid w:val="005F5DAC"/>
    <w:rsid w:val="005F6051"/>
    <w:rsid w:val="005F63B5"/>
    <w:rsid w:val="005F67D6"/>
    <w:rsid w:val="005F7C44"/>
    <w:rsid w:val="00601910"/>
    <w:rsid w:val="00601AEA"/>
    <w:rsid w:val="00604694"/>
    <w:rsid w:val="00604810"/>
    <w:rsid w:val="00604AB8"/>
    <w:rsid w:val="00604D92"/>
    <w:rsid w:val="00605432"/>
    <w:rsid w:val="006079D3"/>
    <w:rsid w:val="00607F29"/>
    <w:rsid w:val="00610456"/>
    <w:rsid w:val="00610FF4"/>
    <w:rsid w:val="0062193A"/>
    <w:rsid w:val="00622E57"/>
    <w:rsid w:val="006235EA"/>
    <w:rsid w:val="00623B48"/>
    <w:rsid w:val="00625041"/>
    <w:rsid w:val="00625E57"/>
    <w:rsid w:val="00626B40"/>
    <w:rsid w:val="0062702A"/>
    <w:rsid w:val="006273EE"/>
    <w:rsid w:val="006312BC"/>
    <w:rsid w:val="0063259D"/>
    <w:rsid w:val="00632B2D"/>
    <w:rsid w:val="00633881"/>
    <w:rsid w:val="0063424A"/>
    <w:rsid w:val="00634360"/>
    <w:rsid w:val="00634C61"/>
    <w:rsid w:val="0063527B"/>
    <w:rsid w:val="00635A61"/>
    <w:rsid w:val="006368A5"/>
    <w:rsid w:val="00636A36"/>
    <w:rsid w:val="006377D5"/>
    <w:rsid w:val="0064061A"/>
    <w:rsid w:val="006416A1"/>
    <w:rsid w:val="00642A5C"/>
    <w:rsid w:val="0064474E"/>
    <w:rsid w:val="00645A55"/>
    <w:rsid w:val="00646953"/>
    <w:rsid w:val="00647416"/>
    <w:rsid w:val="00650910"/>
    <w:rsid w:val="00652B36"/>
    <w:rsid w:val="006537D8"/>
    <w:rsid w:val="0065384D"/>
    <w:rsid w:val="00654EBC"/>
    <w:rsid w:val="00656585"/>
    <w:rsid w:val="006566CF"/>
    <w:rsid w:val="00660D2F"/>
    <w:rsid w:val="006615CA"/>
    <w:rsid w:val="0066188E"/>
    <w:rsid w:val="006649F7"/>
    <w:rsid w:val="00666A02"/>
    <w:rsid w:val="006703B8"/>
    <w:rsid w:val="00671ACD"/>
    <w:rsid w:val="00671B93"/>
    <w:rsid w:val="0067275C"/>
    <w:rsid w:val="0067383F"/>
    <w:rsid w:val="00674F68"/>
    <w:rsid w:val="006764E9"/>
    <w:rsid w:val="0067677B"/>
    <w:rsid w:val="0067692D"/>
    <w:rsid w:val="006774D0"/>
    <w:rsid w:val="006776A8"/>
    <w:rsid w:val="0068088A"/>
    <w:rsid w:val="00683111"/>
    <w:rsid w:val="00683458"/>
    <w:rsid w:val="006836DD"/>
    <w:rsid w:val="00684325"/>
    <w:rsid w:val="0068453F"/>
    <w:rsid w:val="0068476A"/>
    <w:rsid w:val="006867F5"/>
    <w:rsid w:val="00687356"/>
    <w:rsid w:val="006878E7"/>
    <w:rsid w:val="006900ED"/>
    <w:rsid w:val="00691CF6"/>
    <w:rsid w:val="00692981"/>
    <w:rsid w:val="00693AE4"/>
    <w:rsid w:val="00693D7D"/>
    <w:rsid w:val="006942BA"/>
    <w:rsid w:val="006950BA"/>
    <w:rsid w:val="0069585E"/>
    <w:rsid w:val="0069592F"/>
    <w:rsid w:val="00696FEE"/>
    <w:rsid w:val="006A10B0"/>
    <w:rsid w:val="006A1B2E"/>
    <w:rsid w:val="006A2216"/>
    <w:rsid w:val="006A2609"/>
    <w:rsid w:val="006A5A9D"/>
    <w:rsid w:val="006A63F1"/>
    <w:rsid w:val="006A69FC"/>
    <w:rsid w:val="006A6F6E"/>
    <w:rsid w:val="006A7D10"/>
    <w:rsid w:val="006B036B"/>
    <w:rsid w:val="006B1334"/>
    <w:rsid w:val="006B1D35"/>
    <w:rsid w:val="006B383D"/>
    <w:rsid w:val="006B43B1"/>
    <w:rsid w:val="006B5140"/>
    <w:rsid w:val="006B732C"/>
    <w:rsid w:val="006C04B8"/>
    <w:rsid w:val="006C1640"/>
    <w:rsid w:val="006C1A5B"/>
    <w:rsid w:val="006C2313"/>
    <w:rsid w:val="006C41BB"/>
    <w:rsid w:val="006C68AD"/>
    <w:rsid w:val="006C6E93"/>
    <w:rsid w:val="006C6FB3"/>
    <w:rsid w:val="006D05AD"/>
    <w:rsid w:val="006D29A1"/>
    <w:rsid w:val="006D3AF3"/>
    <w:rsid w:val="006D4232"/>
    <w:rsid w:val="006D5D2D"/>
    <w:rsid w:val="006D717B"/>
    <w:rsid w:val="006D74A8"/>
    <w:rsid w:val="006E1138"/>
    <w:rsid w:val="006E135E"/>
    <w:rsid w:val="006E3C59"/>
    <w:rsid w:val="006E500B"/>
    <w:rsid w:val="006E5FDB"/>
    <w:rsid w:val="006E6103"/>
    <w:rsid w:val="006E61FA"/>
    <w:rsid w:val="006E674D"/>
    <w:rsid w:val="006E69D3"/>
    <w:rsid w:val="006E6CF5"/>
    <w:rsid w:val="006F1DAD"/>
    <w:rsid w:val="006F4443"/>
    <w:rsid w:val="006F5405"/>
    <w:rsid w:val="006F5E5C"/>
    <w:rsid w:val="007016A8"/>
    <w:rsid w:val="00701BBE"/>
    <w:rsid w:val="007026DC"/>
    <w:rsid w:val="007031B7"/>
    <w:rsid w:val="00703D26"/>
    <w:rsid w:val="00703FBF"/>
    <w:rsid w:val="0070417E"/>
    <w:rsid w:val="0070458E"/>
    <w:rsid w:val="00704CF9"/>
    <w:rsid w:val="00706699"/>
    <w:rsid w:val="00706741"/>
    <w:rsid w:val="00707734"/>
    <w:rsid w:val="00711D56"/>
    <w:rsid w:val="00712615"/>
    <w:rsid w:val="007140D2"/>
    <w:rsid w:val="007149E6"/>
    <w:rsid w:val="00715E11"/>
    <w:rsid w:val="00720AA7"/>
    <w:rsid w:val="00721BF5"/>
    <w:rsid w:val="007225C9"/>
    <w:rsid w:val="00722BF7"/>
    <w:rsid w:val="00722DF3"/>
    <w:rsid w:val="007245C8"/>
    <w:rsid w:val="0072505D"/>
    <w:rsid w:val="00727BBF"/>
    <w:rsid w:val="007306F5"/>
    <w:rsid w:val="0073292C"/>
    <w:rsid w:val="00734FE6"/>
    <w:rsid w:val="00735E1D"/>
    <w:rsid w:val="007361BC"/>
    <w:rsid w:val="00737B09"/>
    <w:rsid w:val="00741302"/>
    <w:rsid w:val="007417E6"/>
    <w:rsid w:val="00741E5D"/>
    <w:rsid w:val="00741F8B"/>
    <w:rsid w:val="00742A85"/>
    <w:rsid w:val="00743454"/>
    <w:rsid w:val="00744118"/>
    <w:rsid w:val="00744C9F"/>
    <w:rsid w:val="007460AA"/>
    <w:rsid w:val="0074776D"/>
    <w:rsid w:val="00747DD7"/>
    <w:rsid w:val="00750751"/>
    <w:rsid w:val="00754112"/>
    <w:rsid w:val="00757DD5"/>
    <w:rsid w:val="00760C32"/>
    <w:rsid w:val="00761119"/>
    <w:rsid w:val="00762D1F"/>
    <w:rsid w:val="00762ED5"/>
    <w:rsid w:val="00766292"/>
    <w:rsid w:val="0076643F"/>
    <w:rsid w:val="00766F25"/>
    <w:rsid w:val="00766FD9"/>
    <w:rsid w:val="00767415"/>
    <w:rsid w:val="007708B1"/>
    <w:rsid w:val="00770AA4"/>
    <w:rsid w:val="0077235D"/>
    <w:rsid w:val="0077265E"/>
    <w:rsid w:val="007727E4"/>
    <w:rsid w:val="00773251"/>
    <w:rsid w:val="007736F1"/>
    <w:rsid w:val="007740EA"/>
    <w:rsid w:val="007741C5"/>
    <w:rsid w:val="007754E6"/>
    <w:rsid w:val="0077589B"/>
    <w:rsid w:val="007767F0"/>
    <w:rsid w:val="00780578"/>
    <w:rsid w:val="00781036"/>
    <w:rsid w:val="00783493"/>
    <w:rsid w:val="00783CDE"/>
    <w:rsid w:val="00784A24"/>
    <w:rsid w:val="0078580A"/>
    <w:rsid w:val="00785F40"/>
    <w:rsid w:val="007908AA"/>
    <w:rsid w:val="007910A3"/>
    <w:rsid w:val="007916E4"/>
    <w:rsid w:val="00791AF6"/>
    <w:rsid w:val="00792D4E"/>
    <w:rsid w:val="00792F5A"/>
    <w:rsid w:val="007933AE"/>
    <w:rsid w:val="00793540"/>
    <w:rsid w:val="00797B59"/>
    <w:rsid w:val="00797F97"/>
    <w:rsid w:val="007A027C"/>
    <w:rsid w:val="007A09EB"/>
    <w:rsid w:val="007A12DA"/>
    <w:rsid w:val="007A2050"/>
    <w:rsid w:val="007A2531"/>
    <w:rsid w:val="007A31BD"/>
    <w:rsid w:val="007A368B"/>
    <w:rsid w:val="007A3FDE"/>
    <w:rsid w:val="007A517C"/>
    <w:rsid w:val="007A5B9D"/>
    <w:rsid w:val="007A6273"/>
    <w:rsid w:val="007A6F21"/>
    <w:rsid w:val="007A7A5D"/>
    <w:rsid w:val="007B0C92"/>
    <w:rsid w:val="007B1F44"/>
    <w:rsid w:val="007B25E6"/>
    <w:rsid w:val="007B4B3B"/>
    <w:rsid w:val="007B4DA4"/>
    <w:rsid w:val="007B4F84"/>
    <w:rsid w:val="007B631C"/>
    <w:rsid w:val="007B6CB0"/>
    <w:rsid w:val="007B7F82"/>
    <w:rsid w:val="007C2F0C"/>
    <w:rsid w:val="007C568E"/>
    <w:rsid w:val="007C5870"/>
    <w:rsid w:val="007C58BC"/>
    <w:rsid w:val="007C6994"/>
    <w:rsid w:val="007C7A51"/>
    <w:rsid w:val="007D01E5"/>
    <w:rsid w:val="007D0D3B"/>
    <w:rsid w:val="007D0D64"/>
    <w:rsid w:val="007D1BBD"/>
    <w:rsid w:val="007D3109"/>
    <w:rsid w:val="007D3D11"/>
    <w:rsid w:val="007D3D42"/>
    <w:rsid w:val="007D4DE9"/>
    <w:rsid w:val="007D5396"/>
    <w:rsid w:val="007D6AAC"/>
    <w:rsid w:val="007D6CFC"/>
    <w:rsid w:val="007E0994"/>
    <w:rsid w:val="007E32B5"/>
    <w:rsid w:val="007E4650"/>
    <w:rsid w:val="007E4949"/>
    <w:rsid w:val="007E55BD"/>
    <w:rsid w:val="007E67E6"/>
    <w:rsid w:val="007E6AAE"/>
    <w:rsid w:val="007E6B4E"/>
    <w:rsid w:val="007F0628"/>
    <w:rsid w:val="007F0818"/>
    <w:rsid w:val="007F0DCA"/>
    <w:rsid w:val="007F152A"/>
    <w:rsid w:val="007F2850"/>
    <w:rsid w:val="007F3D2E"/>
    <w:rsid w:val="007F44C4"/>
    <w:rsid w:val="007F52FD"/>
    <w:rsid w:val="007F6BF4"/>
    <w:rsid w:val="007F7288"/>
    <w:rsid w:val="008000E7"/>
    <w:rsid w:val="008004AC"/>
    <w:rsid w:val="00800C7F"/>
    <w:rsid w:val="0080196A"/>
    <w:rsid w:val="008061FD"/>
    <w:rsid w:val="008077F1"/>
    <w:rsid w:val="00807D73"/>
    <w:rsid w:val="00811BD1"/>
    <w:rsid w:val="00811FD4"/>
    <w:rsid w:val="00812636"/>
    <w:rsid w:val="00814EF7"/>
    <w:rsid w:val="00815478"/>
    <w:rsid w:val="00816C7A"/>
    <w:rsid w:val="00816FA7"/>
    <w:rsid w:val="00817AA9"/>
    <w:rsid w:val="008212B8"/>
    <w:rsid w:val="00821ED7"/>
    <w:rsid w:val="00822666"/>
    <w:rsid w:val="008245B6"/>
    <w:rsid w:val="00824DE3"/>
    <w:rsid w:val="00824EBD"/>
    <w:rsid w:val="00825B5E"/>
    <w:rsid w:val="008269D2"/>
    <w:rsid w:val="008273AA"/>
    <w:rsid w:val="00827C5F"/>
    <w:rsid w:val="00827C7B"/>
    <w:rsid w:val="00827CCF"/>
    <w:rsid w:val="00830E27"/>
    <w:rsid w:val="00831BB9"/>
    <w:rsid w:val="00831E87"/>
    <w:rsid w:val="00832144"/>
    <w:rsid w:val="008329E5"/>
    <w:rsid w:val="00832A4A"/>
    <w:rsid w:val="008332EE"/>
    <w:rsid w:val="00833617"/>
    <w:rsid w:val="0084132B"/>
    <w:rsid w:val="00841567"/>
    <w:rsid w:val="00842229"/>
    <w:rsid w:val="00842A7D"/>
    <w:rsid w:val="00843560"/>
    <w:rsid w:val="00843688"/>
    <w:rsid w:val="0084479E"/>
    <w:rsid w:val="00846E95"/>
    <w:rsid w:val="00853321"/>
    <w:rsid w:val="00853890"/>
    <w:rsid w:val="00853B1E"/>
    <w:rsid w:val="0085440F"/>
    <w:rsid w:val="00854802"/>
    <w:rsid w:val="008564B1"/>
    <w:rsid w:val="0085717C"/>
    <w:rsid w:val="0085721A"/>
    <w:rsid w:val="00857A63"/>
    <w:rsid w:val="00857C13"/>
    <w:rsid w:val="0086150F"/>
    <w:rsid w:val="00862CD0"/>
    <w:rsid w:val="00862F56"/>
    <w:rsid w:val="00863667"/>
    <w:rsid w:val="00863DE0"/>
    <w:rsid w:val="0086496E"/>
    <w:rsid w:val="00864DD6"/>
    <w:rsid w:val="0086598B"/>
    <w:rsid w:val="008659A7"/>
    <w:rsid w:val="008663D8"/>
    <w:rsid w:val="00866F07"/>
    <w:rsid w:val="008670A9"/>
    <w:rsid w:val="008676E0"/>
    <w:rsid w:val="00870AAD"/>
    <w:rsid w:val="008722C5"/>
    <w:rsid w:val="0087362D"/>
    <w:rsid w:val="008747F4"/>
    <w:rsid w:val="00874E67"/>
    <w:rsid w:val="008751C9"/>
    <w:rsid w:val="008779A6"/>
    <w:rsid w:val="00877CD3"/>
    <w:rsid w:val="00881239"/>
    <w:rsid w:val="008833E0"/>
    <w:rsid w:val="00883F1A"/>
    <w:rsid w:val="00884F63"/>
    <w:rsid w:val="0088526C"/>
    <w:rsid w:val="00886EFC"/>
    <w:rsid w:val="0089127F"/>
    <w:rsid w:val="0089182D"/>
    <w:rsid w:val="00892BBA"/>
    <w:rsid w:val="00892E7C"/>
    <w:rsid w:val="0089405C"/>
    <w:rsid w:val="00894E90"/>
    <w:rsid w:val="00896450"/>
    <w:rsid w:val="00896671"/>
    <w:rsid w:val="00896C19"/>
    <w:rsid w:val="0089712D"/>
    <w:rsid w:val="008A0466"/>
    <w:rsid w:val="008A2661"/>
    <w:rsid w:val="008A3254"/>
    <w:rsid w:val="008A3606"/>
    <w:rsid w:val="008A3DF0"/>
    <w:rsid w:val="008A4656"/>
    <w:rsid w:val="008A4933"/>
    <w:rsid w:val="008A54AC"/>
    <w:rsid w:val="008A5727"/>
    <w:rsid w:val="008A58EF"/>
    <w:rsid w:val="008A59C7"/>
    <w:rsid w:val="008A7DC2"/>
    <w:rsid w:val="008B0192"/>
    <w:rsid w:val="008B0F4F"/>
    <w:rsid w:val="008B19E3"/>
    <w:rsid w:val="008B22F9"/>
    <w:rsid w:val="008B2F71"/>
    <w:rsid w:val="008B32DF"/>
    <w:rsid w:val="008B4B0F"/>
    <w:rsid w:val="008B4E00"/>
    <w:rsid w:val="008B757B"/>
    <w:rsid w:val="008B7E63"/>
    <w:rsid w:val="008C06E2"/>
    <w:rsid w:val="008C0E92"/>
    <w:rsid w:val="008C2115"/>
    <w:rsid w:val="008C39BB"/>
    <w:rsid w:val="008D21CE"/>
    <w:rsid w:val="008D36C3"/>
    <w:rsid w:val="008D4997"/>
    <w:rsid w:val="008D4DFB"/>
    <w:rsid w:val="008D6D74"/>
    <w:rsid w:val="008D7477"/>
    <w:rsid w:val="008E000E"/>
    <w:rsid w:val="008E27B0"/>
    <w:rsid w:val="008E2DB6"/>
    <w:rsid w:val="008E4728"/>
    <w:rsid w:val="008E5975"/>
    <w:rsid w:val="008E65CF"/>
    <w:rsid w:val="008E67DC"/>
    <w:rsid w:val="008E71D3"/>
    <w:rsid w:val="008F0991"/>
    <w:rsid w:val="008F1512"/>
    <w:rsid w:val="008F1FFD"/>
    <w:rsid w:val="008F2BC9"/>
    <w:rsid w:val="008F4366"/>
    <w:rsid w:val="008F4813"/>
    <w:rsid w:val="008F5A7C"/>
    <w:rsid w:val="009006CA"/>
    <w:rsid w:val="00905B76"/>
    <w:rsid w:val="0090684D"/>
    <w:rsid w:val="00910661"/>
    <w:rsid w:val="00913EAF"/>
    <w:rsid w:val="00916B82"/>
    <w:rsid w:val="00917A7B"/>
    <w:rsid w:val="00917C8C"/>
    <w:rsid w:val="00920AC7"/>
    <w:rsid w:val="0092138C"/>
    <w:rsid w:val="00921F37"/>
    <w:rsid w:val="0092574B"/>
    <w:rsid w:val="009302DC"/>
    <w:rsid w:val="00934B12"/>
    <w:rsid w:val="00934F19"/>
    <w:rsid w:val="009358F3"/>
    <w:rsid w:val="009411C2"/>
    <w:rsid w:val="00941FBF"/>
    <w:rsid w:val="00942CC4"/>
    <w:rsid w:val="009432C9"/>
    <w:rsid w:val="00943DB3"/>
    <w:rsid w:val="00945C84"/>
    <w:rsid w:val="009478D0"/>
    <w:rsid w:val="00950C5C"/>
    <w:rsid w:val="009531A9"/>
    <w:rsid w:val="00954CD4"/>
    <w:rsid w:val="0095537A"/>
    <w:rsid w:val="00955C95"/>
    <w:rsid w:val="0095637F"/>
    <w:rsid w:val="0095660A"/>
    <w:rsid w:val="00956632"/>
    <w:rsid w:val="00957828"/>
    <w:rsid w:val="009603F5"/>
    <w:rsid w:val="00961E6E"/>
    <w:rsid w:val="009639BD"/>
    <w:rsid w:val="00963BCA"/>
    <w:rsid w:val="00964228"/>
    <w:rsid w:val="009661F1"/>
    <w:rsid w:val="00966596"/>
    <w:rsid w:val="009678A3"/>
    <w:rsid w:val="00970204"/>
    <w:rsid w:val="00970975"/>
    <w:rsid w:val="00973244"/>
    <w:rsid w:val="00974C27"/>
    <w:rsid w:val="00975037"/>
    <w:rsid w:val="00975CA6"/>
    <w:rsid w:val="00975F17"/>
    <w:rsid w:val="00975F62"/>
    <w:rsid w:val="009760C1"/>
    <w:rsid w:val="00980FB4"/>
    <w:rsid w:val="00981437"/>
    <w:rsid w:val="00981B45"/>
    <w:rsid w:val="00981FAE"/>
    <w:rsid w:val="00982704"/>
    <w:rsid w:val="009836D9"/>
    <w:rsid w:val="00983C12"/>
    <w:rsid w:val="00984D74"/>
    <w:rsid w:val="009908DA"/>
    <w:rsid w:val="00991274"/>
    <w:rsid w:val="00993AB7"/>
    <w:rsid w:val="009940AA"/>
    <w:rsid w:val="009947FF"/>
    <w:rsid w:val="0099485D"/>
    <w:rsid w:val="00994F66"/>
    <w:rsid w:val="00995C21"/>
    <w:rsid w:val="00996D95"/>
    <w:rsid w:val="00997084"/>
    <w:rsid w:val="009974BF"/>
    <w:rsid w:val="00997D56"/>
    <w:rsid w:val="00997F2C"/>
    <w:rsid w:val="009A2385"/>
    <w:rsid w:val="009A342C"/>
    <w:rsid w:val="009A3C9A"/>
    <w:rsid w:val="009A5B97"/>
    <w:rsid w:val="009A5C05"/>
    <w:rsid w:val="009A6083"/>
    <w:rsid w:val="009A6450"/>
    <w:rsid w:val="009A7E09"/>
    <w:rsid w:val="009B1AB0"/>
    <w:rsid w:val="009B1D97"/>
    <w:rsid w:val="009B1D9E"/>
    <w:rsid w:val="009B2600"/>
    <w:rsid w:val="009B290A"/>
    <w:rsid w:val="009B2B4C"/>
    <w:rsid w:val="009B3218"/>
    <w:rsid w:val="009B3845"/>
    <w:rsid w:val="009B3B7D"/>
    <w:rsid w:val="009B772F"/>
    <w:rsid w:val="009B7AE5"/>
    <w:rsid w:val="009B7BD8"/>
    <w:rsid w:val="009B7C8B"/>
    <w:rsid w:val="009C14ED"/>
    <w:rsid w:val="009C2610"/>
    <w:rsid w:val="009C2DD0"/>
    <w:rsid w:val="009C4480"/>
    <w:rsid w:val="009C4A48"/>
    <w:rsid w:val="009C4AD0"/>
    <w:rsid w:val="009C575B"/>
    <w:rsid w:val="009C57DE"/>
    <w:rsid w:val="009C7B39"/>
    <w:rsid w:val="009D359E"/>
    <w:rsid w:val="009D46D0"/>
    <w:rsid w:val="009D7CFC"/>
    <w:rsid w:val="009E0240"/>
    <w:rsid w:val="009E2908"/>
    <w:rsid w:val="009E2AE7"/>
    <w:rsid w:val="009E4027"/>
    <w:rsid w:val="009E4F7A"/>
    <w:rsid w:val="009E5AD0"/>
    <w:rsid w:val="009F02C3"/>
    <w:rsid w:val="009F0945"/>
    <w:rsid w:val="009F1561"/>
    <w:rsid w:val="009F2136"/>
    <w:rsid w:val="009F2AD1"/>
    <w:rsid w:val="009F3ACF"/>
    <w:rsid w:val="009F3C7F"/>
    <w:rsid w:val="009F436E"/>
    <w:rsid w:val="009F491F"/>
    <w:rsid w:val="009F58B5"/>
    <w:rsid w:val="009F5E47"/>
    <w:rsid w:val="009F6590"/>
    <w:rsid w:val="009F734A"/>
    <w:rsid w:val="009F79B6"/>
    <w:rsid w:val="00A00CF8"/>
    <w:rsid w:val="00A0135E"/>
    <w:rsid w:val="00A02956"/>
    <w:rsid w:val="00A032F5"/>
    <w:rsid w:val="00A03A7C"/>
    <w:rsid w:val="00A03F11"/>
    <w:rsid w:val="00A04388"/>
    <w:rsid w:val="00A047EB"/>
    <w:rsid w:val="00A04B5E"/>
    <w:rsid w:val="00A0610F"/>
    <w:rsid w:val="00A06A41"/>
    <w:rsid w:val="00A100A4"/>
    <w:rsid w:val="00A10875"/>
    <w:rsid w:val="00A13022"/>
    <w:rsid w:val="00A13495"/>
    <w:rsid w:val="00A14481"/>
    <w:rsid w:val="00A14F08"/>
    <w:rsid w:val="00A15AA1"/>
    <w:rsid w:val="00A15AEF"/>
    <w:rsid w:val="00A1636E"/>
    <w:rsid w:val="00A16D4D"/>
    <w:rsid w:val="00A16DF3"/>
    <w:rsid w:val="00A2047A"/>
    <w:rsid w:val="00A2094F"/>
    <w:rsid w:val="00A21838"/>
    <w:rsid w:val="00A23902"/>
    <w:rsid w:val="00A26996"/>
    <w:rsid w:val="00A31047"/>
    <w:rsid w:val="00A31989"/>
    <w:rsid w:val="00A31B43"/>
    <w:rsid w:val="00A37E0B"/>
    <w:rsid w:val="00A40D8F"/>
    <w:rsid w:val="00A4138C"/>
    <w:rsid w:val="00A43E61"/>
    <w:rsid w:val="00A45331"/>
    <w:rsid w:val="00A45BA4"/>
    <w:rsid w:val="00A47518"/>
    <w:rsid w:val="00A4780B"/>
    <w:rsid w:val="00A47C7B"/>
    <w:rsid w:val="00A516A7"/>
    <w:rsid w:val="00A51706"/>
    <w:rsid w:val="00A53EC3"/>
    <w:rsid w:val="00A57870"/>
    <w:rsid w:val="00A60E7A"/>
    <w:rsid w:val="00A6240F"/>
    <w:rsid w:val="00A636C8"/>
    <w:rsid w:val="00A652B2"/>
    <w:rsid w:val="00A65ACA"/>
    <w:rsid w:val="00A65C80"/>
    <w:rsid w:val="00A6760B"/>
    <w:rsid w:val="00A67E05"/>
    <w:rsid w:val="00A7111F"/>
    <w:rsid w:val="00A71929"/>
    <w:rsid w:val="00A71ACA"/>
    <w:rsid w:val="00A73941"/>
    <w:rsid w:val="00A73DD8"/>
    <w:rsid w:val="00A74690"/>
    <w:rsid w:val="00A763A1"/>
    <w:rsid w:val="00A77312"/>
    <w:rsid w:val="00A80867"/>
    <w:rsid w:val="00A809D8"/>
    <w:rsid w:val="00A81499"/>
    <w:rsid w:val="00A81D7A"/>
    <w:rsid w:val="00A81F2C"/>
    <w:rsid w:val="00A83031"/>
    <w:rsid w:val="00A831A9"/>
    <w:rsid w:val="00A85BF6"/>
    <w:rsid w:val="00A86A02"/>
    <w:rsid w:val="00A87EC5"/>
    <w:rsid w:val="00A922E5"/>
    <w:rsid w:val="00A92C53"/>
    <w:rsid w:val="00A952B7"/>
    <w:rsid w:val="00A97062"/>
    <w:rsid w:val="00A973BB"/>
    <w:rsid w:val="00A97C93"/>
    <w:rsid w:val="00AA2042"/>
    <w:rsid w:val="00AA29C1"/>
    <w:rsid w:val="00AA410C"/>
    <w:rsid w:val="00AA4C39"/>
    <w:rsid w:val="00AA4FDB"/>
    <w:rsid w:val="00AA54E3"/>
    <w:rsid w:val="00AA762B"/>
    <w:rsid w:val="00AA770F"/>
    <w:rsid w:val="00AA7A32"/>
    <w:rsid w:val="00AB036D"/>
    <w:rsid w:val="00AB16BD"/>
    <w:rsid w:val="00AB1794"/>
    <w:rsid w:val="00AB25CB"/>
    <w:rsid w:val="00AB2CA9"/>
    <w:rsid w:val="00AB2DF5"/>
    <w:rsid w:val="00AB3D74"/>
    <w:rsid w:val="00AB55B2"/>
    <w:rsid w:val="00AB62F9"/>
    <w:rsid w:val="00AB68B5"/>
    <w:rsid w:val="00AB6943"/>
    <w:rsid w:val="00AC3B8C"/>
    <w:rsid w:val="00AC3DE2"/>
    <w:rsid w:val="00AC4E19"/>
    <w:rsid w:val="00AC5768"/>
    <w:rsid w:val="00AC64AC"/>
    <w:rsid w:val="00AD1C9C"/>
    <w:rsid w:val="00AD26F7"/>
    <w:rsid w:val="00AD28CE"/>
    <w:rsid w:val="00AD2AE0"/>
    <w:rsid w:val="00AD3DC8"/>
    <w:rsid w:val="00AD5582"/>
    <w:rsid w:val="00AD563F"/>
    <w:rsid w:val="00AD5D27"/>
    <w:rsid w:val="00AD7C05"/>
    <w:rsid w:val="00AE1DE8"/>
    <w:rsid w:val="00AE2890"/>
    <w:rsid w:val="00AE32F1"/>
    <w:rsid w:val="00AE59C4"/>
    <w:rsid w:val="00AE7798"/>
    <w:rsid w:val="00AF1443"/>
    <w:rsid w:val="00AF2D59"/>
    <w:rsid w:val="00AF3FFD"/>
    <w:rsid w:val="00AF4124"/>
    <w:rsid w:val="00AF5822"/>
    <w:rsid w:val="00AF63DB"/>
    <w:rsid w:val="00AF6EB8"/>
    <w:rsid w:val="00AF77FD"/>
    <w:rsid w:val="00B004AB"/>
    <w:rsid w:val="00B0279A"/>
    <w:rsid w:val="00B02AB2"/>
    <w:rsid w:val="00B02ADA"/>
    <w:rsid w:val="00B049DE"/>
    <w:rsid w:val="00B04D55"/>
    <w:rsid w:val="00B05C0B"/>
    <w:rsid w:val="00B078A9"/>
    <w:rsid w:val="00B10E6A"/>
    <w:rsid w:val="00B10ED9"/>
    <w:rsid w:val="00B12721"/>
    <w:rsid w:val="00B1309C"/>
    <w:rsid w:val="00B1403F"/>
    <w:rsid w:val="00B1547F"/>
    <w:rsid w:val="00B16371"/>
    <w:rsid w:val="00B164D8"/>
    <w:rsid w:val="00B16665"/>
    <w:rsid w:val="00B169F6"/>
    <w:rsid w:val="00B22D12"/>
    <w:rsid w:val="00B23129"/>
    <w:rsid w:val="00B23BA7"/>
    <w:rsid w:val="00B23D93"/>
    <w:rsid w:val="00B24353"/>
    <w:rsid w:val="00B24AB5"/>
    <w:rsid w:val="00B24D72"/>
    <w:rsid w:val="00B25D67"/>
    <w:rsid w:val="00B25ED6"/>
    <w:rsid w:val="00B30615"/>
    <w:rsid w:val="00B31783"/>
    <w:rsid w:val="00B32B11"/>
    <w:rsid w:val="00B3467E"/>
    <w:rsid w:val="00B34E4C"/>
    <w:rsid w:val="00B3504E"/>
    <w:rsid w:val="00B359BE"/>
    <w:rsid w:val="00B371A4"/>
    <w:rsid w:val="00B373C6"/>
    <w:rsid w:val="00B37C33"/>
    <w:rsid w:val="00B41903"/>
    <w:rsid w:val="00B4306E"/>
    <w:rsid w:val="00B43182"/>
    <w:rsid w:val="00B43A41"/>
    <w:rsid w:val="00B4486B"/>
    <w:rsid w:val="00B4596C"/>
    <w:rsid w:val="00B4609F"/>
    <w:rsid w:val="00B46521"/>
    <w:rsid w:val="00B4657A"/>
    <w:rsid w:val="00B507AA"/>
    <w:rsid w:val="00B51337"/>
    <w:rsid w:val="00B517A2"/>
    <w:rsid w:val="00B51D0F"/>
    <w:rsid w:val="00B52052"/>
    <w:rsid w:val="00B5229B"/>
    <w:rsid w:val="00B52885"/>
    <w:rsid w:val="00B52C17"/>
    <w:rsid w:val="00B534FF"/>
    <w:rsid w:val="00B62C8B"/>
    <w:rsid w:val="00B632A4"/>
    <w:rsid w:val="00B64CCA"/>
    <w:rsid w:val="00B65B3F"/>
    <w:rsid w:val="00B670C7"/>
    <w:rsid w:val="00B67961"/>
    <w:rsid w:val="00B71D31"/>
    <w:rsid w:val="00B726C6"/>
    <w:rsid w:val="00B72974"/>
    <w:rsid w:val="00B73666"/>
    <w:rsid w:val="00B73FEA"/>
    <w:rsid w:val="00B741E7"/>
    <w:rsid w:val="00B750C2"/>
    <w:rsid w:val="00B80B00"/>
    <w:rsid w:val="00B8125C"/>
    <w:rsid w:val="00B814C6"/>
    <w:rsid w:val="00B81CF3"/>
    <w:rsid w:val="00B82B0B"/>
    <w:rsid w:val="00B846D2"/>
    <w:rsid w:val="00B85123"/>
    <w:rsid w:val="00B85C0A"/>
    <w:rsid w:val="00B8671F"/>
    <w:rsid w:val="00B90661"/>
    <w:rsid w:val="00B913C9"/>
    <w:rsid w:val="00B92541"/>
    <w:rsid w:val="00B93DD9"/>
    <w:rsid w:val="00B95BF6"/>
    <w:rsid w:val="00B96F0C"/>
    <w:rsid w:val="00B97C20"/>
    <w:rsid w:val="00BA0082"/>
    <w:rsid w:val="00BA1000"/>
    <w:rsid w:val="00BA30E3"/>
    <w:rsid w:val="00BA33FB"/>
    <w:rsid w:val="00BA3FE0"/>
    <w:rsid w:val="00BA4BDA"/>
    <w:rsid w:val="00BA531D"/>
    <w:rsid w:val="00BA54AE"/>
    <w:rsid w:val="00BA711A"/>
    <w:rsid w:val="00BA7700"/>
    <w:rsid w:val="00BB01CC"/>
    <w:rsid w:val="00BB12A1"/>
    <w:rsid w:val="00BB1B5F"/>
    <w:rsid w:val="00BB1E02"/>
    <w:rsid w:val="00BB31B0"/>
    <w:rsid w:val="00BB3644"/>
    <w:rsid w:val="00BB3814"/>
    <w:rsid w:val="00BB3A02"/>
    <w:rsid w:val="00BB3CC5"/>
    <w:rsid w:val="00BB3D7D"/>
    <w:rsid w:val="00BB4310"/>
    <w:rsid w:val="00BB48CD"/>
    <w:rsid w:val="00BB4B4E"/>
    <w:rsid w:val="00BB58B8"/>
    <w:rsid w:val="00BB5C77"/>
    <w:rsid w:val="00BB5E38"/>
    <w:rsid w:val="00BB5FB5"/>
    <w:rsid w:val="00BB69C8"/>
    <w:rsid w:val="00BC0173"/>
    <w:rsid w:val="00BC0693"/>
    <w:rsid w:val="00BC2A16"/>
    <w:rsid w:val="00BC2C48"/>
    <w:rsid w:val="00BC42A0"/>
    <w:rsid w:val="00BC5E60"/>
    <w:rsid w:val="00BC6E7D"/>
    <w:rsid w:val="00BD0EC7"/>
    <w:rsid w:val="00BD12AF"/>
    <w:rsid w:val="00BD4B66"/>
    <w:rsid w:val="00BD52C6"/>
    <w:rsid w:val="00BD5726"/>
    <w:rsid w:val="00BD597E"/>
    <w:rsid w:val="00BD7D23"/>
    <w:rsid w:val="00BE20AB"/>
    <w:rsid w:val="00BE315A"/>
    <w:rsid w:val="00BE4660"/>
    <w:rsid w:val="00BE5575"/>
    <w:rsid w:val="00BE5A26"/>
    <w:rsid w:val="00BE781C"/>
    <w:rsid w:val="00BE7B28"/>
    <w:rsid w:val="00BF05DB"/>
    <w:rsid w:val="00BF0A6D"/>
    <w:rsid w:val="00BF0F13"/>
    <w:rsid w:val="00BF14C5"/>
    <w:rsid w:val="00BF212F"/>
    <w:rsid w:val="00BF2139"/>
    <w:rsid w:val="00BF3252"/>
    <w:rsid w:val="00BF36CF"/>
    <w:rsid w:val="00BF3AD2"/>
    <w:rsid w:val="00BF491B"/>
    <w:rsid w:val="00BF6536"/>
    <w:rsid w:val="00BF735E"/>
    <w:rsid w:val="00C00275"/>
    <w:rsid w:val="00C00418"/>
    <w:rsid w:val="00C02279"/>
    <w:rsid w:val="00C02431"/>
    <w:rsid w:val="00C02C1B"/>
    <w:rsid w:val="00C04D2B"/>
    <w:rsid w:val="00C05B5B"/>
    <w:rsid w:val="00C10481"/>
    <w:rsid w:val="00C10BC1"/>
    <w:rsid w:val="00C125CF"/>
    <w:rsid w:val="00C12D0C"/>
    <w:rsid w:val="00C13742"/>
    <w:rsid w:val="00C1454B"/>
    <w:rsid w:val="00C15E87"/>
    <w:rsid w:val="00C1631B"/>
    <w:rsid w:val="00C178DF"/>
    <w:rsid w:val="00C17E61"/>
    <w:rsid w:val="00C205A2"/>
    <w:rsid w:val="00C20728"/>
    <w:rsid w:val="00C20953"/>
    <w:rsid w:val="00C2168E"/>
    <w:rsid w:val="00C2209A"/>
    <w:rsid w:val="00C22BB7"/>
    <w:rsid w:val="00C23F8F"/>
    <w:rsid w:val="00C2670E"/>
    <w:rsid w:val="00C26BCD"/>
    <w:rsid w:val="00C2747E"/>
    <w:rsid w:val="00C30368"/>
    <w:rsid w:val="00C33070"/>
    <w:rsid w:val="00C3309E"/>
    <w:rsid w:val="00C3504E"/>
    <w:rsid w:val="00C35182"/>
    <w:rsid w:val="00C351D7"/>
    <w:rsid w:val="00C355A5"/>
    <w:rsid w:val="00C360EF"/>
    <w:rsid w:val="00C36A45"/>
    <w:rsid w:val="00C373B3"/>
    <w:rsid w:val="00C37621"/>
    <w:rsid w:val="00C400B3"/>
    <w:rsid w:val="00C403BF"/>
    <w:rsid w:val="00C40BAC"/>
    <w:rsid w:val="00C40D07"/>
    <w:rsid w:val="00C40E55"/>
    <w:rsid w:val="00C4111F"/>
    <w:rsid w:val="00C426CC"/>
    <w:rsid w:val="00C4274E"/>
    <w:rsid w:val="00C433FF"/>
    <w:rsid w:val="00C43A93"/>
    <w:rsid w:val="00C466DF"/>
    <w:rsid w:val="00C46779"/>
    <w:rsid w:val="00C47186"/>
    <w:rsid w:val="00C47DC3"/>
    <w:rsid w:val="00C501FD"/>
    <w:rsid w:val="00C50619"/>
    <w:rsid w:val="00C50F6D"/>
    <w:rsid w:val="00C51CDA"/>
    <w:rsid w:val="00C529B3"/>
    <w:rsid w:val="00C5405B"/>
    <w:rsid w:val="00C54066"/>
    <w:rsid w:val="00C550DF"/>
    <w:rsid w:val="00C55961"/>
    <w:rsid w:val="00C574B7"/>
    <w:rsid w:val="00C6047D"/>
    <w:rsid w:val="00C6188C"/>
    <w:rsid w:val="00C62214"/>
    <w:rsid w:val="00C643D5"/>
    <w:rsid w:val="00C65F92"/>
    <w:rsid w:val="00C660A3"/>
    <w:rsid w:val="00C66765"/>
    <w:rsid w:val="00C671BA"/>
    <w:rsid w:val="00C677DB"/>
    <w:rsid w:val="00C6788F"/>
    <w:rsid w:val="00C70339"/>
    <w:rsid w:val="00C70AC8"/>
    <w:rsid w:val="00C73E56"/>
    <w:rsid w:val="00C760E9"/>
    <w:rsid w:val="00C76E29"/>
    <w:rsid w:val="00C7708C"/>
    <w:rsid w:val="00C77225"/>
    <w:rsid w:val="00C81071"/>
    <w:rsid w:val="00C817EE"/>
    <w:rsid w:val="00C8313C"/>
    <w:rsid w:val="00C83DA9"/>
    <w:rsid w:val="00C84D7C"/>
    <w:rsid w:val="00C85CC5"/>
    <w:rsid w:val="00C8683C"/>
    <w:rsid w:val="00C87B5A"/>
    <w:rsid w:val="00C92EC3"/>
    <w:rsid w:val="00C9355A"/>
    <w:rsid w:val="00C93AF7"/>
    <w:rsid w:val="00C943BB"/>
    <w:rsid w:val="00C95EC5"/>
    <w:rsid w:val="00C96099"/>
    <w:rsid w:val="00C96EBF"/>
    <w:rsid w:val="00C9720F"/>
    <w:rsid w:val="00C972EC"/>
    <w:rsid w:val="00CA0254"/>
    <w:rsid w:val="00CA1F6C"/>
    <w:rsid w:val="00CA3BBB"/>
    <w:rsid w:val="00CA46E9"/>
    <w:rsid w:val="00CA5051"/>
    <w:rsid w:val="00CB065D"/>
    <w:rsid w:val="00CB10F2"/>
    <w:rsid w:val="00CB1571"/>
    <w:rsid w:val="00CB1831"/>
    <w:rsid w:val="00CB1B0A"/>
    <w:rsid w:val="00CB4A42"/>
    <w:rsid w:val="00CB573F"/>
    <w:rsid w:val="00CB605A"/>
    <w:rsid w:val="00CB6426"/>
    <w:rsid w:val="00CB6E4B"/>
    <w:rsid w:val="00CB7DA1"/>
    <w:rsid w:val="00CC2302"/>
    <w:rsid w:val="00CC284C"/>
    <w:rsid w:val="00CC478A"/>
    <w:rsid w:val="00CC6B06"/>
    <w:rsid w:val="00CC76D9"/>
    <w:rsid w:val="00CD0732"/>
    <w:rsid w:val="00CD0E0B"/>
    <w:rsid w:val="00CD18A0"/>
    <w:rsid w:val="00CD198D"/>
    <w:rsid w:val="00CD338C"/>
    <w:rsid w:val="00CD593F"/>
    <w:rsid w:val="00CD60B0"/>
    <w:rsid w:val="00CD6179"/>
    <w:rsid w:val="00CD66E5"/>
    <w:rsid w:val="00CD7786"/>
    <w:rsid w:val="00CE1758"/>
    <w:rsid w:val="00CE26C6"/>
    <w:rsid w:val="00CE2ED7"/>
    <w:rsid w:val="00CE3CA7"/>
    <w:rsid w:val="00CE6ACD"/>
    <w:rsid w:val="00CE7B61"/>
    <w:rsid w:val="00CF07EA"/>
    <w:rsid w:val="00CF5612"/>
    <w:rsid w:val="00CF6BDD"/>
    <w:rsid w:val="00CF71A7"/>
    <w:rsid w:val="00CF79FC"/>
    <w:rsid w:val="00D00D1E"/>
    <w:rsid w:val="00D01D3D"/>
    <w:rsid w:val="00D033D4"/>
    <w:rsid w:val="00D034F4"/>
    <w:rsid w:val="00D035A4"/>
    <w:rsid w:val="00D035D3"/>
    <w:rsid w:val="00D04AC2"/>
    <w:rsid w:val="00D07F95"/>
    <w:rsid w:val="00D10547"/>
    <w:rsid w:val="00D10ED8"/>
    <w:rsid w:val="00D117E0"/>
    <w:rsid w:val="00D11A8F"/>
    <w:rsid w:val="00D11ED9"/>
    <w:rsid w:val="00D12287"/>
    <w:rsid w:val="00D1397F"/>
    <w:rsid w:val="00D17283"/>
    <w:rsid w:val="00D1788E"/>
    <w:rsid w:val="00D20292"/>
    <w:rsid w:val="00D205C3"/>
    <w:rsid w:val="00D21444"/>
    <w:rsid w:val="00D230BF"/>
    <w:rsid w:val="00D259A2"/>
    <w:rsid w:val="00D26644"/>
    <w:rsid w:val="00D27317"/>
    <w:rsid w:val="00D27A0F"/>
    <w:rsid w:val="00D27C09"/>
    <w:rsid w:val="00D3007D"/>
    <w:rsid w:val="00D3138C"/>
    <w:rsid w:val="00D31417"/>
    <w:rsid w:val="00D32955"/>
    <w:rsid w:val="00D33986"/>
    <w:rsid w:val="00D348B1"/>
    <w:rsid w:val="00D35A94"/>
    <w:rsid w:val="00D36135"/>
    <w:rsid w:val="00D363FA"/>
    <w:rsid w:val="00D40802"/>
    <w:rsid w:val="00D423FD"/>
    <w:rsid w:val="00D42E9A"/>
    <w:rsid w:val="00D42F13"/>
    <w:rsid w:val="00D43B33"/>
    <w:rsid w:val="00D4468A"/>
    <w:rsid w:val="00D446E5"/>
    <w:rsid w:val="00D45A8B"/>
    <w:rsid w:val="00D46A42"/>
    <w:rsid w:val="00D509A9"/>
    <w:rsid w:val="00D50ECD"/>
    <w:rsid w:val="00D513BC"/>
    <w:rsid w:val="00D52AF1"/>
    <w:rsid w:val="00D53287"/>
    <w:rsid w:val="00D54197"/>
    <w:rsid w:val="00D548C5"/>
    <w:rsid w:val="00D548D3"/>
    <w:rsid w:val="00D55CA0"/>
    <w:rsid w:val="00D60B87"/>
    <w:rsid w:val="00D60E82"/>
    <w:rsid w:val="00D6123A"/>
    <w:rsid w:val="00D62302"/>
    <w:rsid w:val="00D62F2F"/>
    <w:rsid w:val="00D63126"/>
    <w:rsid w:val="00D6422E"/>
    <w:rsid w:val="00D643DA"/>
    <w:rsid w:val="00D64A77"/>
    <w:rsid w:val="00D6565B"/>
    <w:rsid w:val="00D6720F"/>
    <w:rsid w:val="00D67FEA"/>
    <w:rsid w:val="00D70717"/>
    <w:rsid w:val="00D7266E"/>
    <w:rsid w:val="00D72F66"/>
    <w:rsid w:val="00D72F80"/>
    <w:rsid w:val="00D73035"/>
    <w:rsid w:val="00D7328C"/>
    <w:rsid w:val="00D73D2C"/>
    <w:rsid w:val="00D74318"/>
    <w:rsid w:val="00D7562B"/>
    <w:rsid w:val="00D75D1C"/>
    <w:rsid w:val="00D768EB"/>
    <w:rsid w:val="00D76B00"/>
    <w:rsid w:val="00D76B6F"/>
    <w:rsid w:val="00D77FA4"/>
    <w:rsid w:val="00D821A1"/>
    <w:rsid w:val="00D82E9B"/>
    <w:rsid w:val="00D830F8"/>
    <w:rsid w:val="00D83DBC"/>
    <w:rsid w:val="00D84072"/>
    <w:rsid w:val="00D84508"/>
    <w:rsid w:val="00D846F9"/>
    <w:rsid w:val="00D85161"/>
    <w:rsid w:val="00D859A0"/>
    <w:rsid w:val="00D85E4D"/>
    <w:rsid w:val="00D861B1"/>
    <w:rsid w:val="00D867DE"/>
    <w:rsid w:val="00D86B9C"/>
    <w:rsid w:val="00D87E64"/>
    <w:rsid w:val="00D923E9"/>
    <w:rsid w:val="00D92522"/>
    <w:rsid w:val="00D93BF4"/>
    <w:rsid w:val="00D93CEB"/>
    <w:rsid w:val="00D94FC2"/>
    <w:rsid w:val="00D967B9"/>
    <w:rsid w:val="00D96B4D"/>
    <w:rsid w:val="00D96B8D"/>
    <w:rsid w:val="00D96CD3"/>
    <w:rsid w:val="00D97037"/>
    <w:rsid w:val="00D97BF8"/>
    <w:rsid w:val="00DA003C"/>
    <w:rsid w:val="00DA04BB"/>
    <w:rsid w:val="00DA0AD4"/>
    <w:rsid w:val="00DA1557"/>
    <w:rsid w:val="00DA201F"/>
    <w:rsid w:val="00DA3F67"/>
    <w:rsid w:val="00DA4AA2"/>
    <w:rsid w:val="00DA55CE"/>
    <w:rsid w:val="00DA5675"/>
    <w:rsid w:val="00DA65E7"/>
    <w:rsid w:val="00DA66DE"/>
    <w:rsid w:val="00DA76B5"/>
    <w:rsid w:val="00DA76DA"/>
    <w:rsid w:val="00DA78E2"/>
    <w:rsid w:val="00DA7E00"/>
    <w:rsid w:val="00DA7E47"/>
    <w:rsid w:val="00DB133C"/>
    <w:rsid w:val="00DB1813"/>
    <w:rsid w:val="00DB18F2"/>
    <w:rsid w:val="00DB257E"/>
    <w:rsid w:val="00DB26CD"/>
    <w:rsid w:val="00DB2F6D"/>
    <w:rsid w:val="00DB446E"/>
    <w:rsid w:val="00DB63EC"/>
    <w:rsid w:val="00DB7481"/>
    <w:rsid w:val="00DB77BB"/>
    <w:rsid w:val="00DC00B0"/>
    <w:rsid w:val="00DC00CE"/>
    <w:rsid w:val="00DC7BA7"/>
    <w:rsid w:val="00DD01DE"/>
    <w:rsid w:val="00DD0355"/>
    <w:rsid w:val="00DD1864"/>
    <w:rsid w:val="00DD3351"/>
    <w:rsid w:val="00DD391C"/>
    <w:rsid w:val="00DD3A3E"/>
    <w:rsid w:val="00DD3B1E"/>
    <w:rsid w:val="00DD5469"/>
    <w:rsid w:val="00DD55D9"/>
    <w:rsid w:val="00DD6D00"/>
    <w:rsid w:val="00DE0524"/>
    <w:rsid w:val="00DE16BD"/>
    <w:rsid w:val="00DE17E6"/>
    <w:rsid w:val="00DE26E4"/>
    <w:rsid w:val="00DE3427"/>
    <w:rsid w:val="00DE37B5"/>
    <w:rsid w:val="00DE4E8C"/>
    <w:rsid w:val="00DE4F8C"/>
    <w:rsid w:val="00DF095B"/>
    <w:rsid w:val="00DF1C04"/>
    <w:rsid w:val="00DF1DEE"/>
    <w:rsid w:val="00DF2A53"/>
    <w:rsid w:val="00DF2B5D"/>
    <w:rsid w:val="00DF2D73"/>
    <w:rsid w:val="00DF45F3"/>
    <w:rsid w:val="00DF4D14"/>
    <w:rsid w:val="00DF4F74"/>
    <w:rsid w:val="00DF6414"/>
    <w:rsid w:val="00DF729E"/>
    <w:rsid w:val="00DF757A"/>
    <w:rsid w:val="00E0116B"/>
    <w:rsid w:val="00E03558"/>
    <w:rsid w:val="00E03D32"/>
    <w:rsid w:val="00E04776"/>
    <w:rsid w:val="00E05122"/>
    <w:rsid w:val="00E06DD8"/>
    <w:rsid w:val="00E10AF5"/>
    <w:rsid w:val="00E10D3D"/>
    <w:rsid w:val="00E1102C"/>
    <w:rsid w:val="00E11EC3"/>
    <w:rsid w:val="00E129CE"/>
    <w:rsid w:val="00E135AE"/>
    <w:rsid w:val="00E1379C"/>
    <w:rsid w:val="00E16C6F"/>
    <w:rsid w:val="00E20762"/>
    <w:rsid w:val="00E20A29"/>
    <w:rsid w:val="00E2188A"/>
    <w:rsid w:val="00E2394C"/>
    <w:rsid w:val="00E23DC1"/>
    <w:rsid w:val="00E251BE"/>
    <w:rsid w:val="00E25307"/>
    <w:rsid w:val="00E25896"/>
    <w:rsid w:val="00E2597B"/>
    <w:rsid w:val="00E2786A"/>
    <w:rsid w:val="00E30111"/>
    <w:rsid w:val="00E305E7"/>
    <w:rsid w:val="00E30842"/>
    <w:rsid w:val="00E327CC"/>
    <w:rsid w:val="00E33340"/>
    <w:rsid w:val="00E33874"/>
    <w:rsid w:val="00E3476A"/>
    <w:rsid w:val="00E362F9"/>
    <w:rsid w:val="00E4064D"/>
    <w:rsid w:val="00E41688"/>
    <w:rsid w:val="00E418D3"/>
    <w:rsid w:val="00E42341"/>
    <w:rsid w:val="00E4337E"/>
    <w:rsid w:val="00E4372E"/>
    <w:rsid w:val="00E448F9"/>
    <w:rsid w:val="00E45559"/>
    <w:rsid w:val="00E459A6"/>
    <w:rsid w:val="00E4687F"/>
    <w:rsid w:val="00E47085"/>
    <w:rsid w:val="00E47105"/>
    <w:rsid w:val="00E51122"/>
    <w:rsid w:val="00E514C7"/>
    <w:rsid w:val="00E51C57"/>
    <w:rsid w:val="00E522D5"/>
    <w:rsid w:val="00E522EB"/>
    <w:rsid w:val="00E53499"/>
    <w:rsid w:val="00E534A9"/>
    <w:rsid w:val="00E5434A"/>
    <w:rsid w:val="00E545C2"/>
    <w:rsid w:val="00E5530D"/>
    <w:rsid w:val="00E55A8B"/>
    <w:rsid w:val="00E564BD"/>
    <w:rsid w:val="00E6255A"/>
    <w:rsid w:val="00E62D2B"/>
    <w:rsid w:val="00E63261"/>
    <w:rsid w:val="00E63C05"/>
    <w:rsid w:val="00E654BF"/>
    <w:rsid w:val="00E66A8E"/>
    <w:rsid w:val="00E71354"/>
    <w:rsid w:val="00E72C00"/>
    <w:rsid w:val="00E73CA5"/>
    <w:rsid w:val="00E74090"/>
    <w:rsid w:val="00E75320"/>
    <w:rsid w:val="00E76E10"/>
    <w:rsid w:val="00E8176C"/>
    <w:rsid w:val="00E831C8"/>
    <w:rsid w:val="00E83424"/>
    <w:rsid w:val="00E83FF6"/>
    <w:rsid w:val="00E84405"/>
    <w:rsid w:val="00E85B2B"/>
    <w:rsid w:val="00E86EF1"/>
    <w:rsid w:val="00E9018F"/>
    <w:rsid w:val="00E91981"/>
    <w:rsid w:val="00E92220"/>
    <w:rsid w:val="00E928BC"/>
    <w:rsid w:val="00E95878"/>
    <w:rsid w:val="00E963AA"/>
    <w:rsid w:val="00E97139"/>
    <w:rsid w:val="00E97654"/>
    <w:rsid w:val="00EA0D2C"/>
    <w:rsid w:val="00EA1043"/>
    <w:rsid w:val="00EA12F7"/>
    <w:rsid w:val="00EA164B"/>
    <w:rsid w:val="00EA2314"/>
    <w:rsid w:val="00EA2420"/>
    <w:rsid w:val="00EA2CED"/>
    <w:rsid w:val="00EA36CB"/>
    <w:rsid w:val="00EA3A46"/>
    <w:rsid w:val="00EA415A"/>
    <w:rsid w:val="00EA49B4"/>
    <w:rsid w:val="00EA4C77"/>
    <w:rsid w:val="00EA4E7A"/>
    <w:rsid w:val="00EA7120"/>
    <w:rsid w:val="00EB1075"/>
    <w:rsid w:val="00EB1A0D"/>
    <w:rsid w:val="00EB1C65"/>
    <w:rsid w:val="00EB293F"/>
    <w:rsid w:val="00EB4865"/>
    <w:rsid w:val="00EB5C62"/>
    <w:rsid w:val="00EB5E4D"/>
    <w:rsid w:val="00EB6CC2"/>
    <w:rsid w:val="00EC1332"/>
    <w:rsid w:val="00EC2161"/>
    <w:rsid w:val="00EC3495"/>
    <w:rsid w:val="00EC48AB"/>
    <w:rsid w:val="00EC5C3F"/>
    <w:rsid w:val="00EC6230"/>
    <w:rsid w:val="00ED00AA"/>
    <w:rsid w:val="00ED0702"/>
    <w:rsid w:val="00ED082E"/>
    <w:rsid w:val="00ED23D7"/>
    <w:rsid w:val="00ED2BA8"/>
    <w:rsid w:val="00ED546D"/>
    <w:rsid w:val="00ED5A86"/>
    <w:rsid w:val="00ED643C"/>
    <w:rsid w:val="00ED65EF"/>
    <w:rsid w:val="00ED680F"/>
    <w:rsid w:val="00ED7C85"/>
    <w:rsid w:val="00EE0C43"/>
    <w:rsid w:val="00EE2CA9"/>
    <w:rsid w:val="00EE367B"/>
    <w:rsid w:val="00EE4198"/>
    <w:rsid w:val="00EE53E7"/>
    <w:rsid w:val="00EE559E"/>
    <w:rsid w:val="00EE78A9"/>
    <w:rsid w:val="00EF054E"/>
    <w:rsid w:val="00EF122C"/>
    <w:rsid w:val="00EF34C6"/>
    <w:rsid w:val="00EF4C89"/>
    <w:rsid w:val="00EF4DC2"/>
    <w:rsid w:val="00EF4ECD"/>
    <w:rsid w:val="00EF585C"/>
    <w:rsid w:val="00EF5C04"/>
    <w:rsid w:val="00F00629"/>
    <w:rsid w:val="00F00A90"/>
    <w:rsid w:val="00F01E8A"/>
    <w:rsid w:val="00F02DBE"/>
    <w:rsid w:val="00F03446"/>
    <w:rsid w:val="00F0410B"/>
    <w:rsid w:val="00F043A1"/>
    <w:rsid w:val="00F0458D"/>
    <w:rsid w:val="00F04EBA"/>
    <w:rsid w:val="00F07D89"/>
    <w:rsid w:val="00F10227"/>
    <w:rsid w:val="00F1131C"/>
    <w:rsid w:val="00F11BB6"/>
    <w:rsid w:val="00F11F43"/>
    <w:rsid w:val="00F135E3"/>
    <w:rsid w:val="00F138D8"/>
    <w:rsid w:val="00F13C51"/>
    <w:rsid w:val="00F14949"/>
    <w:rsid w:val="00F15B2A"/>
    <w:rsid w:val="00F15B32"/>
    <w:rsid w:val="00F16052"/>
    <w:rsid w:val="00F20E7F"/>
    <w:rsid w:val="00F23393"/>
    <w:rsid w:val="00F23EA8"/>
    <w:rsid w:val="00F23F8D"/>
    <w:rsid w:val="00F24434"/>
    <w:rsid w:val="00F252FC"/>
    <w:rsid w:val="00F26984"/>
    <w:rsid w:val="00F269F5"/>
    <w:rsid w:val="00F26F59"/>
    <w:rsid w:val="00F27C42"/>
    <w:rsid w:val="00F32D91"/>
    <w:rsid w:val="00F32F14"/>
    <w:rsid w:val="00F3367D"/>
    <w:rsid w:val="00F367FF"/>
    <w:rsid w:val="00F36ADC"/>
    <w:rsid w:val="00F378A6"/>
    <w:rsid w:val="00F4144A"/>
    <w:rsid w:val="00F416D2"/>
    <w:rsid w:val="00F424CB"/>
    <w:rsid w:val="00F43DB9"/>
    <w:rsid w:val="00F44BA7"/>
    <w:rsid w:val="00F450C2"/>
    <w:rsid w:val="00F45382"/>
    <w:rsid w:val="00F45691"/>
    <w:rsid w:val="00F46F34"/>
    <w:rsid w:val="00F47986"/>
    <w:rsid w:val="00F510E8"/>
    <w:rsid w:val="00F51719"/>
    <w:rsid w:val="00F52638"/>
    <w:rsid w:val="00F52CA7"/>
    <w:rsid w:val="00F541D5"/>
    <w:rsid w:val="00F54653"/>
    <w:rsid w:val="00F5471A"/>
    <w:rsid w:val="00F57916"/>
    <w:rsid w:val="00F6016F"/>
    <w:rsid w:val="00F620E3"/>
    <w:rsid w:val="00F62DBA"/>
    <w:rsid w:val="00F62E44"/>
    <w:rsid w:val="00F63205"/>
    <w:rsid w:val="00F63EF4"/>
    <w:rsid w:val="00F6480A"/>
    <w:rsid w:val="00F65EE5"/>
    <w:rsid w:val="00F66264"/>
    <w:rsid w:val="00F6787A"/>
    <w:rsid w:val="00F718AB"/>
    <w:rsid w:val="00F720E6"/>
    <w:rsid w:val="00F721B9"/>
    <w:rsid w:val="00F726AB"/>
    <w:rsid w:val="00F736DB"/>
    <w:rsid w:val="00F739A1"/>
    <w:rsid w:val="00F75C1A"/>
    <w:rsid w:val="00F75DEF"/>
    <w:rsid w:val="00F7679B"/>
    <w:rsid w:val="00F76903"/>
    <w:rsid w:val="00F76AF3"/>
    <w:rsid w:val="00F77310"/>
    <w:rsid w:val="00F8082E"/>
    <w:rsid w:val="00F8155C"/>
    <w:rsid w:val="00F81E55"/>
    <w:rsid w:val="00F823A8"/>
    <w:rsid w:val="00F82AC5"/>
    <w:rsid w:val="00F82D9C"/>
    <w:rsid w:val="00F83B19"/>
    <w:rsid w:val="00F84446"/>
    <w:rsid w:val="00F86951"/>
    <w:rsid w:val="00F86DF4"/>
    <w:rsid w:val="00F870F3"/>
    <w:rsid w:val="00F87C1A"/>
    <w:rsid w:val="00F87DE7"/>
    <w:rsid w:val="00F9172C"/>
    <w:rsid w:val="00F935EC"/>
    <w:rsid w:val="00F94644"/>
    <w:rsid w:val="00F9539A"/>
    <w:rsid w:val="00F95520"/>
    <w:rsid w:val="00F95C59"/>
    <w:rsid w:val="00FA018D"/>
    <w:rsid w:val="00FA08F7"/>
    <w:rsid w:val="00FA138D"/>
    <w:rsid w:val="00FA1C19"/>
    <w:rsid w:val="00FA2EA9"/>
    <w:rsid w:val="00FA31C6"/>
    <w:rsid w:val="00FA481C"/>
    <w:rsid w:val="00FA5FC0"/>
    <w:rsid w:val="00FA6011"/>
    <w:rsid w:val="00FA70A4"/>
    <w:rsid w:val="00FB0202"/>
    <w:rsid w:val="00FB2DA5"/>
    <w:rsid w:val="00FB3950"/>
    <w:rsid w:val="00FC1068"/>
    <w:rsid w:val="00FC3296"/>
    <w:rsid w:val="00FC32EA"/>
    <w:rsid w:val="00FC3C02"/>
    <w:rsid w:val="00FC3F6A"/>
    <w:rsid w:val="00FC459F"/>
    <w:rsid w:val="00FC5336"/>
    <w:rsid w:val="00FC544B"/>
    <w:rsid w:val="00FC593C"/>
    <w:rsid w:val="00FC71D7"/>
    <w:rsid w:val="00FC741A"/>
    <w:rsid w:val="00FD08E7"/>
    <w:rsid w:val="00FD17D0"/>
    <w:rsid w:val="00FD2026"/>
    <w:rsid w:val="00FD36CA"/>
    <w:rsid w:val="00FD39C1"/>
    <w:rsid w:val="00FD4AEA"/>
    <w:rsid w:val="00FD5858"/>
    <w:rsid w:val="00FD5AFE"/>
    <w:rsid w:val="00FD68BD"/>
    <w:rsid w:val="00FE09C3"/>
    <w:rsid w:val="00FE3449"/>
    <w:rsid w:val="00FE4F37"/>
    <w:rsid w:val="00FF02F6"/>
    <w:rsid w:val="00FF15B5"/>
    <w:rsid w:val="00FF1CE7"/>
    <w:rsid w:val="00FF2CCD"/>
    <w:rsid w:val="00FF2FBB"/>
    <w:rsid w:val="00FF3175"/>
    <w:rsid w:val="00FF4326"/>
    <w:rsid w:val="00FF4E8C"/>
    <w:rsid w:val="00FF5880"/>
    <w:rsid w:val="00FF5E06"/>
    <w:rsid w:val="00FF6047"/>
    <w:rsid w:val="00FF79FA"/>
    <w:rsid w:val="01BE72E7"/>
    <w:rsid w:val="03AD35E8"/>
    <w:rsid w:val="065575B5"/>
    <w:rsid w:val="08646BA6"/>
    <w:rsid w:val="09814A74"/>
    <w:rsid w:val="0A2A1B52"/>
    <w:rsid w:val="0D4121B4"/>
    <w:rsid w:val="0E5067F6"/>
    <w:rsid w:val="114C18C5"/>
    <w:rsid w:val="11D974D1"/>
    <w:rsid w:val="132929F2"/>
    <w:rsid w:val="152F742E"/>
    <w:rsid w:val="15AA02B3"/>
    <w:rsid w:val="16F537E9"/>
    <w:rsid w:val="17DA2283"/>
    <w:rsid w:val="1AEB3340"/>
    <w:rsid w:val="1D7148E3"/>
    <w:rsid w:val="1D915990"/>
    <w:rsid w:val="24053277"/>
    <w:rsid w:val="24852437"/>
    <w:rsid w:val="24DB1851"/>
    <w:rsid w:val="273404C4"/>
    <w:rsid w:val="285C4723"/>
    <w:rsid w:val="287B0C27"/>
    <w:rsid w:val="288A3940"/>
    <w:rsid w:val="28D454D7"/>
    <w:rsid w:val="297805B9"/>
    <w:rsid w:val="2BF35061"/>
    <w:rsid w:val="2CF83002"/>
    <w:rsid w:val="2FB60F59"/>
    <w:rsid w:val="30006A78"/>
    <w:rsid w:val="30DC55E7"/>
    <w:rsid w:val="32814F2A"/>
    <w:rsid w:val="33860947"/>
    <w:rsid w:val="34BC26C7"/>
    <w:rsid w:val="362606A2"/>
    <w:rsid w:val="37454B0B"/>
    <w:rsid w:val="380066EF"/>
    <w:rsid w:val="386D7F86"/>
    <w:rsid w:val="38EE3862"/>
    <w:rsid w:val="392A6AA9"/>
    <w:rsid w:val="3A1E2D23"/>
    <w:rsid w:val="3D020571"/>
    <w:rsid w:val="3DD373F3"/>
    <w:rsid w:val="3F2174B2"/>
    <w:rsid w:val="41DD342C"/>
    <w:rsid w:val="436A017C"/>
    <w:rsid w:val="446217C8"/>
    <w:rsid w:val="46C77A21"/>
    <w:rsid w:val="490C0F07"/>
    <w:rsid w:val="4AC732D7"/>
    <w:rsid w:val="4BC97B7F"/>
    <w:rsid w:val="4C5A3816"/>
    <w:rsid w:val="4DB84A9A"/>
    <w:rsid w:val="50CC18F6"/>
    <w:rsid w:val="54BE06EF"/>
    <w:rsid w:val="55192A8C"/>
    <w:rsid w:val="57571C6E"/>
    <w:rsid w:val="57D83756"/>
    <w:rsid w:val="596929D3"/>
    <w:rsid w:val="5B3D1492"/>
    <w:rsid w:val="5BAE0E9E"/>
    <w:rsid w:val="5D2B7414"/>
    <w:rsid w:val="621A4355"/>
    <w:rsid w:val="62F54F5F"/>
    <w:rsid w:val="631E7315"/>
    <w:rsid w:val="63AE64AA"/>
    <w:rsid w:val="63FD1F30"/>
    <w:rsid w:val="63FE1488"/>
    <w:rsid w:val="66A00420"/>
    <w:rsid w:val="68757F85"/>
    <w:rsid w:val="6CBB7E1D"/>
    <w:rsid w:val="6CE55A60"/>
    <w:rsid w:val="7140163C"/>
    <w:rsid w:val="73DE02D6"/>
    <w:rsid w:val="7489385D"/>
    <w:rsid w:val="74A306E8"/>
    <w:rsid w:val="781558A5"/>
    <w:rsid w:val="79981C97"/>
    <w:rsid w:val="7A167598"/>
    <w:rsid w:val="7AFFC6BE"/>
    <w:rsid w:val="7E60329C"/>
    <w:rsid w:val="7E756595"/>
    <w:rsid w:val="7EB1222B"/>
    <w:rsid w:val="FD7EB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124"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ind w:firstLine="0" w:firstLineChars="0"/>
      <w:jc w:val="center"/>
      <w:outlineLvl w:val="2"/>
    </w:pPr>
    <w:rPr>
      <w:rFonts w:ascii="华文中宋" w:hAnsi="华文中宋"/>
      <w:b/>
      <w:bCs/>
      <w:sz w:val="36"/>
    </w:rPr>
  </w:style>
  <w:style w:type="paragraph" w:styleId="5">
    <w:name w:val="heading 4"/>
    <w:basedOn w:val="1"/>
    <w:next w:val="1"/>
    <w:link w:val="50"/>
    <w:qFormat/>
    <w:uiPriority w:val="0"/>
    <w:pPr>
      <w:keepNext/>
      <w:keepLines/>
      <w:spacing w:line="360" w:lineRule="auto"/>
      <w:ind w:firstLine="0" w:firstLineChars="0"/>
      <w:jc w:val="center"/>
      <w:outlineLvl w:val="3"/>
    </w:pPr>
    <w:rPr>
      <w:rFonts w:ascii="仿宋_GB2312" w:hAnsi="仿宋_GB2312"/>
      <w:b/>
      <w:bCs/>
      <w:szCs w:val="28"/>
    </w:rPr>
  </w:style>
  <w:style w:type="paragraph" w:styleId="6">
    <w:name w:val="heading 5"/>
    <w:basedOn w:val="1"/>
    <w:next w:val="1"/>
    <w:link w:val="54"/>
    <w:qFormat/>
    <w:uiPriority w:val="0"/>
    <w:pPr>
      <w:keepNext/>
      <w:keepLines/>
      <w:spacing w:line="360" w:lineRule="auto"/>
      <w:ind w:firstLine="0" w:firstLineChars="0"/>
      <w:jc w:val="left"/>
      <w:outlineLvl w:val="4"/>
    </w:pPr>
    <w:rPr>
      <w:rFonts w:ascii="华文细黑" w:hAnsi="华文细黑" w:eastAsia="华文细黑"/>
      <w:b/>
      <w:bCs/>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table of authorities"/>
    <w:basedOn w:val="1"/>
    <w:next w:val="1"/>
    <w:semiHidden/>
    <w:qFormat/>
    <w:uiPriority w:val="0"/>
    <w:pPr>
      <w:ind w:left="420" w:leftChars="200"/>
    </w:pPr>
  </w:style>
  <w:style w:type="paragraph" w:styleId="9">
    <w:name w:val="Normal Indent"/>
    <w:basedOn w:val="1"/>
    <w:qFormat/>
    <w:uiPriority w:val="0"/>
    <w:pPr>
      <w:ind w:firstLine="420"/>
      <w:jc w:val="left"/>
    </w:pPr>
    <w:rPr>
      <w:sz w:val="24"/>
      <w:szCs w:val="20"/>
    </w:rPr>
  </w:style>
  <w:style w:type="paragraph" w:styleId="10">
    <w:name w:val="Document Map"/>
    <w:basedOn w:val="1"/>
    <w:semiHidden/>
    <w:qFormat/>
    <w:uiPriority w:val="0"/>
    <w:pPr>
      <w:shd w:val="clear" w:color="auto" w:fill="000080"/>
    </w:pPr>
  </w:style>
  <w:style w:type="paragraph" w:styleId="11">
    <w:name w:val="annotation text"/>
    <w:basedOn w:val="1"/>
    <w:semiHidden/>
    <w:qFormat/>
    <w:uiPriority w:val="0"/>
    <w:pPr>
      <w:jc w:val="left"/>
    </w:pPr>
  </w:style>
  <w:style w:type="paragraph" w:styleId="12">
    <w:name w:val="Body Text 3"/>
    <w:basedOn w:val="1"/>
    <w:qFormat/>
    <w:uiPriority w:val="0"/>
    <w:pPr>
      <w:framePr w:hSpace="180" w:wrap="around" w:vAnchor="text" w:hAnchor="margin" w:x="288" w:y="646"/>
      <w:jc w:val="left"/>
    </w:pPr>
    <w:rPr>
      <w:rFonts w:ascii="宋体" w:hAnsi="宋体"/>
      <w:sz w:val="24"/>
    </w:rPr>
  </w:style>
  <w:style w:type="paragraph" w:styleId="13">
    <w:name w:val="Body Text"/>
    <w:basedOn w:val="1"/>
    <w:qFormat/>
    <w:uiPriority w:val="0"/>
    <w:pPr>
      <w:jc w:val="center"/>
    </w:pPr>
  </w:style>
  <w:style w:type="paragraph" w:styleId="14">
    <w:name w:val="Body Text Indent"/>
    <w:basedOn w:val="1"/>
    <w:qFormat/>
    <w:uiPriority w:val="0"/>
    <w:pPr>
      <w:spacing w:line="560" w:lineRule="exact"/>
      <w:ind w:firstLine="340"/>
    </w:pPr>
    <w:rPr>
      <w:rFonts w:ascii="仿宋_GB2312" w:eastAsia="仿宋_GB2312"/>
    </w:rPr>
  </w:style>
  <w:style w:type="paragraph" w:styleId="15">
    <w:name w:val="toc 5"/>
    <w:basedOn w:val="1"/>
    <w:next w:val="1"/>
    <w:qFormat/>
    <w:uiPriority w:val="39"/>
    <w:pPr>
      <w:tabs>
        <w:tab w:val="right" w:leader="dot" w:pos="9061"/>
      </w:tabs>
      <w:spacing w:line="480" w:lineRule="auto"/>
      <w:ind w:firstLine="540" w:firstLineChars="192"/>
      <w:jc w:val="left"/>
    </w:pPr>
    <w:rPr>
      <w:rFonts w:ascii="黑体" w:hAnsi="宋体" w:eastAsia="黑体"/>
      <w:b/>
      <w:bCs/>
    </w:rPr>
  </w:style>
  <w:style w:type="paragraph" w:styleId="16">
    <w:name w:val="toc 3"/>
    <w:basedOn w:val="1"/>
    <w:next w:val="1"/>
    <w:qFormat/>
    <w:uiPriority w:val="39"/>
    <w:pPr>
      <w:tabs>
        <w:tab w:val="right" w:leader="dot" w:pos="9072"/>
      </w:tabs>
      <w:spacing w:before="120" w:beforeLines="50"/>
      <w:jc w:val="center"/>
    </w:pPr>
    <w:rPr>
      <w:b/>
      <w:bCs/>
      <w:color w:val="000000"/>
      <w:sz w:val="32"/>
      <w:szCs w:val="32"/>
    </w:rPr>
  </w:style>
  <w:style w:type="paragraph" w:styleId="17">
    <w:name w:val="Plain Text"/>
    <w:basedOn w:val="1"/>
    <w:link w:val="44"/>
    <w:qFormat/>
    <w:uiPriority w:val="0"/>
    <w:pPr>
      <w:adjustRightInd w:val="0"/>
      <w:snapToGrid w:val="0"/>
      <w:spacing w:line="240" w:lineRule="auto"/>
      <w:ind w:firstLine="0" w:firstLineChars="0"/>
    </w:pPr>
    <w:rPr>
      <w:rFonts w:ascii="宋体" w:hAnsi="宋体" w:cs="Courier New"/>
      <w:sz w:val="24"/>
      <w:szCs w:val="21"/>
    </w:rPr>
  </w:style>
  <w:style w:type="paragraph" w:styleId="18">
    <w:name w:val="toc 8"/>
    <w:basedOn w:val="1"/>
    <w:next w:val="1"/>
    <w:semiHidden/>
    <w:qFormat/>
    <w:uiPriority w:val="0"/>
    <w:pPr>
      <w:ind w:left="2940" w:leftChars="1400"/>
    </w:pPr>
  </w:style>
  <w:style w:type="paragraph" w:styleId="19">
    <w:name w:val="Date"/>
    <w:basedOn w:val="1"/>
    <w:next w:val="1"/>
    <w:qFormat/>
    <w:uiPriority w:val="0"/>
    <w:pPr>
      <w:ind w:left="100" w:leftChars="2500"/>
    </w:pPr>
  </w:style>
  <w:style w:type="paragraph" w:styleId="20">
    <w:name w:val="Body Text Indent 2"/>
    <w:basedOn w:val="1"/>
    <w:qFormat/>
    <w:uiPriority w:val="0"/>
    <w:pPr>
      <w:ind w:firstLine="538" w:firstLineChars="192"/>
    </w:pPr>
    <w:rPr>
      <w:rFonts w:ascii="华文细黑" w:hAnsi="华文细黑" w:eastAsia="华文细黑"/>
    </w:rPr>
  </w:style>
  <w:style w:type="paragraph" w:styleId="21">
    <w:name w:val="Balloon Text"/>
    <w:basedOn w:val="1"/>
    <w:semiHidden/>
    <w:qFormat/>
    <w:uiPriority w:val="0"/>
    <w:rPr>
      <w:sz w:val="18"/>
      <w:szCs w:val="18"/>
    </w:rPr>
  </w:style>
  <w:style w:type="paragraph" w:styleId="22">
    <w:name w:val="footer"/>
    <w:basedOn w:val="1"/>
    <w:link w:val="52"/>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jc w:val="left"/>
    </w:pPr>
  </w:style>
  <w:style w:type="paragraph" w:styleId="25">
    <w:name w:val="toc 4"/>
    <w:basedOn w:val="1"/>
    <w:next w:val="1"/>
    <w:qFormat/>
    <w:uiPriority w:val="39"/>
    <w:pPr>
      <w:tabs>
        <w:tab w:val="right" w:leader="dot" w:pos="9061"/>
      </w:tabs>
      <w:ind w:firstLine="364" w:firstLineChars="130"/>
    </w:pPr>
    <w:rPr>
      <w:rFonts w:ascii="仿宋_GB2312" w:hAnsi="宋体" w:eastAsia="仿宋_GB2312"/>
      <w:szCs w:val="30"/>
    </w:rPr>
  </w:style>
  <w:style w:type="paragraph" w:styleId="26">
    <w:name w:val="Subtitle"/>
    <w:basedOn w:val="1"/>
    <w:next w:val="1"/>
    <w:link w:val="55"/>
    <w:qFormat/>
    <w:uiPriority w:val="0"/>
    <w:pPr>
      <w:spacing w:before="240" w:after="60" w:line="312" w:lineRule="auto"/>
      <w:jc w:val="center"/>
      <w:outlineLvl w:val="1"/>
    </w:pPr>
    <w:rPr>
      <w:rFonts w:ascii="Cambria" w:hAnsi="Cambria"/>
      <w:b/>
      <w:bCs/>
      <w:kern w:val="28"/>
      <w:sz w:val="32"/>
      <w:szCs w:val="32"/>
    </w:rPr>
  </w:style>
  <w:style w:type="paragraph" w:styleId="27">
    <w:name w:val="toc 6"/>
    <w:basedOn w:val="1"/>
    <w:next w:val="1"/>
    <w:semiHidden/>
    <w:qFormat/>
    <w:uiPriority w:val="0"/>
    <w:pPr>
      <w:ind w:left="2100" w:leftChars="1000"/>
    </w:pPr>
  </w:style>
  <w:style w:type="paragraph" w:styleId="28">
    <w:name w:val="Body Text Indent 3"/>
    <w:basedOn w:val="1"/>
    <w:qFormat/>
    <w:uiPriority w:val="0"/>
    <w:pPr>
      <w:ind w:firstLine="734" w:firstLineChars="262"/>
    </w:pPr>
  </w:style>
  <w:style w:type="paragraph" w:styleId="29">
    <w:name w:val="table of figures"/>
    <w:basedOn w:val="1"/>
    <w:next w:val="1"/>
    <w:semiHidden/>
    <w:qFormat/>
    <w:uiPriority w:val="0"/>
    <w:pPr>
      <w:ind w:left="200" w:leftChars="200" w:hanging="200" w:hangingChars="200"/>
    </w:pPr>
  </w:style>
  <w:style w:type="paragraph" w:styleId="30">
    <w:name w:val="toc 2"/>
    <w:basedOn w:val="1"/>
    <w:next w:val="1"/>
    <w:qFormat/>
    <w:uiPriority w:val="39"/>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jc w:val="left"/>
    </w:pPr>
    <w:rPr>
      <w:rFonts w:ascii="Arial" w:hAnsi="Arial" w:eastAsia="楷体_GB2312"/>
      <w:sz w:val="30"/>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4">
    <w:name w:val="index 1"/>
    <w:basedOn w:val="1"/>
    <w:next w:val="1"/>
    <w:semiHidden/>
    <w:qFormat/>
    <w:uiPriority w:val="0"/>
  </w:style>
  <w:style w:type="paragraph" w:styleId="35">
    <w:name w:val="annotation subject"/>
    <w:basedOn w:val="11"/>
    <w:next w:val="11"/>
    <w:semiHidden/>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character" w:customStyle="1" w:styleId="44">
    <w:name w:val="纯文本 Char"/>
    <w:link w:val="17"/>
    <w:qFormat/>
    <w:uiPriority w:val="0"/>
    <w:rPr>
      <w:rFonts w:ascii="宋体" w:hAnsi="宋体" w:eastAsia="宋体" w:cs="Courier New"/>
      <w:kern w:val="2"/>
      <w:sz w:val="24"/>
      <w:szCs w:val="21"/>
    </w:rPr>
  </w:style>
  <w:style w:type="character" w:customStyle="1" w:styleId="45">
    <w:name w:val="标题 3 Char"/>
    <w:link w:val="4"/>
    <w:qFormat/>
    <w:uiPriority w:val="0"/>
    <w:rPr>
      <w:rFonts w:ascii="华文中宋" w:hAnsi="华文中宋" w:eastAsia="宋体"/>
      <w:b/>
      <w:bCs/>
      <w:sz w:val="36"/>
    </w:rPr>
  </w:style>
  <w:style w:type="character" w:customStyle="1" w:styleId="46">
    <w:name w:val="font01"/>
    <w:qFormat/>
    <w:uiPriority w:val="0"/>
    <w:rPr>
      <w:rFonts w:hint="eastAsia" w:ascii="宋体" w:hAnsi="宋体" w:eastAsia="宋体" w:cs="宋体"/>
      <w:color w:val="000000"/>
      <w:sz w:val="20"/>
      <w:szCs w:val="20"/>
      <w:u w:val="none"/>
    </w:rPr>
  </w:style>
  <w:style w:type="character" w:customStyle="1" w:styleId="47">
    <w:name w:val="font11"/>
    <w:qFormat/>
    <w:uiPriority w:val="0"/>
    <w:rPr>
      <w:rFonts w:hint="eastAsia" w:ascii="宋体" w:hAnsi="宋体" w:eastAsia="宋体" w:cs="宋体"/>
      <w:b/>
      <w:color w:val="000000"/>
      <w:sz w:val="21"/>
      <w:szCs w:val="21"/>
      <w:u w:val="none"/>
      <w:vertAlign w:val="superscript"/>
    </w:rPr>
  </w:style>
  <w:style w:type="character" w:customStyle="1" w:styleId="48">
    <w:name w:val="font71"/>
    <w:qFormat/>
    <w:uiPriority w:val="0"/>
    <w:rPr>
      <w:rFonts w:hint="eastAsia" w:ascii="宋体" w:hAnsi="宋体" w:eastAsia="宋体" w:cs="宋体"/>
      <w:b/>
      <w:color w:val="000000"/>
      <w:sz w:val="22"/>
      <w:szCs w:val="22"/>
      <w:u w:val="none"/>
      <w:vertAlign w:val="superscript"/>
    </w:rPr>
  </w:style>
  <w:style w:type="character" w:customStyle="1" w:styleId="49">
    <w:name w:val="font31"/>
    <w:qFormat/>
    <w:uiPriority w:val="0"/>
    <w:rPr>
      <w:rFonts w:hint="eastAsia" w:ascii="宋体" w:hAnsi="宋体" w:eastAsia="宋体" w:cs="宋体"/>
      <w:b/>
      <w:color w:val="000000"/>
      <w:sz w:val="21"/>
      <w:szCs w:val="21"/>
      <w:u w:val="none"/>
    </w:rPr>
  </w:style>
  <w:style w:type="character" w:customStyle="1" w:styleId="50">
    <w:name w:val="标题 4 Char"/>
    <w:link w:val="5"/>
    <w:qFormat/>
    <w:uiPriority w:val="0"/>
    <w:rPr>
      <w:rFonts w:ascii="仿宋_GB2312" w:hAnsi="仿宋_GB2312" w:eastAsia="宋体"/>
      <w:b/>
      <w:bCs/>
      <w:sz w:val="28"/>
      <w:szCs w:val="28"/>
    </w:rPr>
  </w:style>
  <w:style w:type="character" w:customStyle="1" w:styleId="51">
    <w:name w:val="font51"/>
    <w:qFormat/>
    <w:uiPriority w:val="0"/>
    <w:rPr>
      <w:rFonts w:hint="eastAsia" w:ascii="宋体" w:hAnsi="宋体" w:eastAsia="宋体" w:cs="宋体"/>
      <w:color w:val="000000"/>
      <w:sz w:val="22"/>
      <w:szCs w:val="22"/>
      <w:u w:val="none"/>
    </w:rPr>
  </w:style>
  <w:style w:type="character" w:customStyle="1" w:styleId="52">
    <w:name w:val="页脚 Char"/>
    <w:link w:val="22"/>
    <w:qFormat/>
    <w:uiPriority w:val="99"/>
    <w:rPr>
      <w:kern w:val="2"/>
      <w:sz w:val="18"/>
      <w:szCs w:val="18"/>
    </w:rPr>
  </w:style>
  <w:style w:type="character" w:customStyle="1" w:styleId="53">
    <w:name w:val="font21"/>
    <w:qFormat/>
    <w:uiPriority w:val="0"/>
    <w:rPr>
      <w:rFonts w:hint="eastAsia" w:ascii="宋体" w:hAnsi="宋体" w:eastAsia="宋体" w:cs="宋体"/>
      <w:color w:val="000000"/>
      <w:sz w:val="20"/>
      <w:szCs w:val="20"/>
      <w:u w:val="none"/>
      <w:vertAlign w:val="superscript"/>
    </w:rPr>
  </w:style>
  <w:style w:type="character" w:customStyle="1" w:styleId="54">
    <w:name w:val="标题 5 Char"/>
    <w:link w:val="6"/>
    <w:qFormat/>
    <w:uiPriority w:val="0"/>
    <w:rPr>
      <w:rFonts w:ascii="华文细黑" w:hAnsi="华文细黑" w:eastAsia="华文细黑"/>
      <w:b/>
      <w:bCs/>
      <w:szCs w:val="28"/>
    </w:rPr>
  </w:style>
  <w:style w:type="character" w:customStyle="1" w:styleId="55">
    <w:name w:val="副标题 Char"/>
    <w:link w:val="26"/>
    <w:qFormat/>
    <w:uiPriority w:val="0"/>
    <w:rPr>
      <w:rFonts w:ascii="Cambria" w:hAnsi="Cambria" w:cs="Times New Roman"/>
      <w:b/>
      <w:bCs/>
      <w:kern w:val="28"/>
      <w:sz w:val="32"/>
      <w:szCs w:val="32"/>
    </w:rPr>
  </w:style>
  <w:style w:type="character" w:customStyle="1" w:styleId="56">
    <w:name w:val="font61"/>
    <w:qFormat/>
    <w:uiPriority w:val="0"/>
    <w:rPr>
      <w:rFonts w:hint="eastAsia" w:ascii="宋体" w:hAnsi="宋体" w:eastAsia="宋体" w:cs="宋体"/>
      <w:b/>
      <w:color w:val="000000"/>
      <w:sz w:val="22"/>
      <w:szCs w:val="22"/>
      <w:u w:val="none"/>
      <w:vertAlign w:val="superscript"/>
    </w:rPr>
  </w:style>
  <w:style w:type="character" w:customStyle="1" w:styleId="57">
    <w:name w:val="font41"/>
    <w:qFormat/>
    <w:uiPriority w:val="0"/>
    <w:rPr>
      <w:rFonts w:hint="eastAsia" w:ascii="宋体" w:hAnsi="宋体" w:eastAsia="宋体" w:cs="宋体"/>
      <w:b/>
      <w:color w:val="000000"/>
      <w:sz w:val="22"/>
      <w:szCs w:val="22"/>
      <w:u w:val="none"/>
    </w:rPr>
  </w:style>
  <w:style w:type="paragraph" w:customStyle="1" w:styleId="58">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9">
    <w:name w:val="Char"/>
    <w:basedOn w:val="1"/>
    <w:qFormat/>
    <w:uiPriority w:val="0"/>
    <w:rPr>
      <w:szCs w:val="21"/>
    </w:rPr>
  </w:style>
  <w:style w:type="paragraph" w:customStyle="1" w:styleId="60">
    <w:name w:val="Char Char1 Char Char Char Char"/>
    <w:basedOn w:val="1"/>
    <w:qFormat/>
    <w:uiPriority w:val="0"/>
    <w:rPr>
      <w:szCs w:val="21"/>
    </w:rPr>
  </w:style>
  <w:style w:type="paragraph" w:customStyle="1" w:styleId="61">
    <w:name w:val="样式3"/>
    <w:basedOn w:val="17"/>
    <w:qFormat/>
    <w:uiPriority w:val="0"/>
    <w:pPr>
      <w:ind w:firstLine="510"/>
    </w:pPr>
    <w:rPr>
      <w:color w:val="000000"/>
      <w:sz w:val="28"/>
      <w:szCs w:val="28"/>
    </w:rPr>
  </w:style>
  <w:style w:type="paragraph" w:customStyle="1" w:styleId="62">
    <w:name w:val="默认段落字体 Para Char Char Char Char Char Char Char Char Char Char Char Char Char"/>
    <w:basedOn w:val="1"/>
    <w:qFormat/>
    <w:uiPriority w:val="0"/>
  </w:style>
  <w:style w:type="paragraph" w:customStyle="1" w:styleId="63">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64">
    <w:name w:val="Char Char1 Char Char"/>
    <w:basedOn w:val="1"/>
    <w:qFormat/>
    <w:uiPriority w:val="0"/>
    <w:rPr>
      <w:szCs w:val="21"/>
    </w:rPr>
  </w:style>
  <w:style w:type="paragraph" w:customStyle="1" w:styleId="65">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sss</Company>
  <Pages>50</Pages>
  <Words>4829</Words>
  <Characters>27526</Characters>
  <Lines>229</Lines>
  <Paragraphs>64</Paragraphs>
  <TotalTime>0</TotalTime>
  <ScaleCrop>false</ScaleCrop>
  <LinksUpToDate>false</LinksUpToDate>
  <CharactersWithSpaces>32291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2021-04-30T02:07:00Z</dcterms:created>
  <dc:creator>wbh</dc:creator>
  <cp:lastModifiedBy>user</cp:lastModifiedBy>
  <cp:lastPrinted>2020-06-28T17:38:00Z</cp:lastPrinted>
  <dcterms:modified xsi:type="dcterms:W3CDTF">2024-12-05T09:51:23Z</dcterms:modified>
  <dc:title>重庆南川市地质灾害防治规划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vt:lpwstr>6</vt:lpwstr>
  </property>
</Properties>
</file>