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6" w:afterLines="115" w:line="560" w:lineRule="exact"/>
        <w:ind w:firstLine="216" w:firstLineChars="49"/>
        <w:jc w:val="left"/>
        <w:rPr>
          <w:rFonts w:hint="default" w:ascii="Times New Roman" w:hAnsi="Times New Roman" w:eastAsia="方正楷体_GBK" w:cs="Times New Roman"/>
          <w:bCs/>
          <w:color w:val="auto"/>
        </w:rPr>
      </w:pPr>
      <w:r>
        <w:rPr>
          <w:rFonts w:hint="default" w:ascii="Times New Roman" w:hAnsi="Times New Roman" w:eastAsia="方正小标宋_GBK" w:cs="Times New Roman"/>
          <w:b/>
          <w:bCs/>
          <w:color w:val="auto"/>
          <w:sz w:val="44"/>
          <w:szCs w:val="44"/>
        </w:rPr>
        <w:t>重庆市</w:t>
      </w:r>
      <w:r>
        <w:rPr>
          <w:rFonts w:hint="default" w:ascii="Times New Roman" w:hAnsi="Times New Roman" w:eastAsia="方正小标宋_GBK" w:cs="Times New Roman"/>
          <w:b/>
          <w:bCs/>
          <w:color w:val="auto"/>
          <w:sz w:val="44"/>
          <w:szCs w:val="44"/>
          <w:lang w:eastAsia="zh-CN"/>
        </w:rPr>
        <w:t>沙坪坝区</w:t>
      </w:r>
      <w:r>
        <w:rPr>
          <w:rFonts w:hint="default" w:ascii="Times New Roman" w:hAnsi="Times New Roman" w:eastAsia="方正小标宋_GBK" w:cs="Times New Roman"/>
          <w:b/>
          <w:bCs/>
          <w:color w:val="auto"/>
          <w:sz w:val="44"/>
          <w:szCs w:val="44"/>
        </w:rPr>
        <w:t>人民</w:t>
      </w:r>
      <w:r>
        <w:rPr>
          <w:rFonts w:hint="default" w:ascii="Times New Roman" w:hAnsi="Times New Roman" w:eastAsia="方正小标宋_GBK" w:cs="Times New Roman"/>
          <w:b/>
          <w:bCs/>
          <w:color w:val="auto"/>
          <w:sz w:val="44"/>
          <w:szCs w:val="44"/>
          <w:lang w:eastAsia="zh-CN"/>
        </w:rPr>
        <w:t>政府</w:t>
      </w:r>
      <w:r>
        <w:rPr>
          <w:rFonts w:hint="default" w:ascii="Times New Roman" w:hAnsi="Times New Roman" w:eastAsia="方正小标宋_GBK" w:cs="Times New Roman"/>
          <w:b/>
          <w:bCs/>
          <w:color w:val="auto"/>
          <w:sz w:val="44"/>
          <w:szCs w:val="44"/>
        </w:rPr>
        <w:t>公报</w:t>
      </w:r>
      <w:r>
        <w:rPr>
          <w:rFonts w:hint="default" w:ascii="Times New Roman" w:hAnsi="Times New Roman" w:eastAsia="方正小标宋_GBK" w:cs="Times New Roman"/>
          <w:bCs/>
          <w:color w:val="auto"/>
        </w:rPr>
        <w:t xml:space="preserve">   </w:t>
      </w:r>
      <w:r>
        <w:rPr>
          <w:rFonts w:hint="default" w:ascii="Times New Roman" w:hAnsi="Times New Roman" w:eastAsia="方正小标宋_GBK" w:cs="Times New Roman"/>
          <w:bCs/>
          <w:color w:val="auto"/>
          <w:lang w:val="en-US" w:eastAsia="zh-CN"/>
        </w:rPr>
        <w:t xml:space="preserve">     </w:t>
      </w:r>
      <w:r>
        <w:rPr>
          <w:rFonts w:hint="default" w:ascii="Times New Roman" w:hAnsi="Times New Roman" w:eastAsia="方正楷体_GBK" w:cs="Times New Roman"/>
          <w:bCs/>
          <w:color w:val="auto"/>
          <w:sz w:val="28"/>
          <w:szCs w:val="28"/>
        </w:rPr>
        <w:t>20</w:t>
      </w:r>
      <w:r>
        <w:rPr>
          <w:rFonts w:hint="default" w:ascii="Times New Roman" w:hAnsi="Times New Roman" w:eastAsia="方正楷体_GBK" w:cs="Times New Roman"/>
          <w:bCs/>
          <w:color w:val="auto"/>
          <w:sz w:val="28"/>
          <w:szCs w:val="28"/>
          <w:lang w:val="en-US" w:eastAsia="zh-CN"/>
        </w:rPr>
        <w:t>2</w:t>
      </w:r>
      <w:r>
        <w:rPr>
          <w:rFonts w:hint="eastAsia" w:ascii="Times New Roman" w:hAnsi="Times New Roman" w:eastAsia="方正楷体_GBK" w:cs="Times New Roman"/>
          <w:bCs/>
          <w:color w:val="auto"/>
          <w:sz w:val="28"/>
          <w:szCs w:val="28"/>
          <w:lang w:val="en-US" w:eastAsia="zh-CN"/>
        </w:rPr>
        <w:t>2</w:t>
      </w:r>
      <w:r>
        <w:rPr>
          <w:rFonts w:hint="default" w:ascii="Times New Roman" w:hAnsi="Times New Roman" w:eastAsia="方正楷体_GBK" w:cs="Times New Roman"/>
          <w:bCs/>
          <w:color w:val="auto"/>
          <w:sz w:val="28"/>
          <w:szCs w:val="28"/>
        </w:rPr>
        <w:t>年第</w:t>
      </w:r>
      <w:r>
        <w:rPr>
          <w:rFonts w:hint="eastAsia" w:ascii="Times New Roman" w:hAnsi="Times New Roman" w:eastAsia="方正楷体_GBK" w:cs="Times New Roman"/>
          <w:bCs/>
          <w:color w:val="auto"/>
          <w:sz w:val="28"/>
          <w:szCs w:val="28"/>
          <w:lang w:val="en-US" w:eastAsia="zh-CN"/>
        </w:rPr>
        <w:t>1</w:t>
      </w:r>
      <w:r>
        <w:rPr>
          <w:rFonts w:hint="default" w:ascii="Times New Roman" w:hAnsi="Times New Roman" w:eastAsia="方正楷体_GBK" w:cs="Times New Roman"/>
          <w:bCs/>
          <w:color w:val="auto"/>
          <w:sz w:val="28"/>
          <w:szCs w:val="28"/>
          <w:lang w:val="en-US" w:eastAsia="zh-CN"/>
        </w:rPr>
        <w:t>期</w:t>
      </w:r>
    </w:p>
    <w:p>
      <w:pPr>
        <w:spacing w:after="276" w:afterLines="115" w:line="560" w:lineRule="exact"/>
        <w:ind w:firstLine="7280" w:firstLineChars="2600"/>
        <w:jc w:val="left"/>
        <w:rPr>
          <w:rFonts w:hint="default" w:ascii="Times New Roman" w:hAnsi="Times New Roman" w:eastAsia="方正楷体_GBK" w:cs="Times New Roman"/>
          <w:bCs/>
          <w:color w:val="auto"/>
          <w:sz w:val="28"/>
          <w:szCs w:val="28"/>
        </w:rPr>
      </w:pPr>
      <w:r>
        <w:rPr>
          <w:rFonts w:hint="default" w:ascii="Times New Roman" w:hAnsi="Times New Roman" w:eastAsia="方正楷体_GBK" w:cs="Times New Roman"/>
          <w:bCs/>
          <w:color w:val="auto"/>
          <w:sz w:val="28"/>
          <w:szCs w:val="28"/>
        </w:rPr>
        <w:t>（总第</w:t>
      </w:r>
      <w:r>
        <w:rPr>
          <w:rFonts w:hint="eastAsia" w:ascii="Times New Roman" w:hAnsi="Times New Roman" w:eastAsia="方正楷体_GBK" w:cs="Times New Roman"/>
          <w:bCs/>
          <w:color w:val="auto"/>
          <w:sz w:val="28"/>
          <w:szCs w:val="28"/>
          <w:lang w:val="en-US" w:eastAsia="zh-CN"/>
        </w:rPr>
        <w:t>7</w:t>
      </w:r>
      <w:r>
        <w:rPr>
          <w:rFonts w:hint="default" w:ascii="Times New Roman" w:hAnsi="Times New Roman" w:eastAsia="方正楷体_GBK" w:cs="Times New Roman"/>
          <w:bCs/>
          <w:color w:val="auto"/>
          <w:sz w:val="28"/>
          <w:szCs w:val="28"/>
        </w:rPr>
        <w:t>期）</w:t>
      </w:r>
    </w:p>
    <w:p>
      <w:pPr>
        <w:spacing w:after="276" w:afterLines="115" w:line="560" w:lineRule="exact"/>
        <w:ind w:firstLine="560" w:firstLineChars="200"/>
        <w:jc w:val="left"/>
        <w:rPr>
          <w:rFonts w:hint="default" w:ascii="Times New Roman" w:hAnsi="Times New Roman" w:eastAsia="方正楷体_GBK" w:cs="Times New Roman"/>
          <w:b/>
          <w:bCs/>
          <w:color w:val="000000" w:themeColor="text1"/>
          <w:sz w:val="32"/>
          <w:szCs w:val="32"/>
          <w14:textFill>
            <w14:solidFill>
              <w14:schemeClr w14:val="tx1"/>
            </w14:solidFill>
          </w14:textFill>
        </w:rPr>
      </w:pPr>
      <w:r>
        <w:rPr>
          <w:rFonts w:hint="default" w:ascii="Times New Roman" w:hAnsi="Times New Roman" w:eastAsia="方正楷体_GBK" w:cs="Times New Roman"/>
          <w:bCs/>
          <w:color w:val="auto"/>
          <w:sz w:val="28"/>
          <w:szCs w:val="28"/>
        </w:rPr>
        <w:t>重庆市沙坪坝区人民政府办公室</w:t>
      </w:r>
      <w:r>
        <w:rPr>
          <w:rFonts w:hint="default" w:ascii="Times New Roman" w:hAnsi="Times New Roman" w:eastAsia="方正楷体_GBK" w:cs="Times New Roman"/>
          <w:bCs/>
          <w:color w:val="auto"/>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461010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top:36.3pt;height:0pt;width:447.85pt;mso-position-horizontal:center;z-index:251659264;mso-width-relative:page;mso-height-relative:page;" filled="f" stroked="t" coordsize="21600,21600" o:gfxdata="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7PsAs1gAAAAYBAAAPAAAAAAAAAAEAIAAAADgAAABkcnMvZG93bnJldi54bWxQSwECFAAU&#10;AAAACACHTuJAsT2CRd0BAACaAwAADgAAAAAAAAABACAAAAA7AQAAZHJzL2Uyb0RvYy54bWxQSwUG&#10;AAAAAAYABgBZAQAAigUAAAAA&#10;">
                <v:fill on="f" focussize="0,0"/>
                <v:stroke weight="1.25pt" color="#000000" joinstyle="round"/>
                <v:imagedata o:title=""/>
                <o:lock v:ext="edit" aspectratio="f"/>
              </v:line>
            </w:pict>
          </mc:Fallback>
        </mc:AlternateContent>
      </w:r>
      <w:r>
        <w:rPr>
          <w:rFonts w:hint="default" w:ascii="Times New Roman" w:hAnsi="Times New Roman" w:eastAsia="方正楷体_GBK" w:cs="Times New Roman"/>
          <w:bCs/>
          <w:color w:val="auto"/>
          <w:sz w:val="28"/>
          <w:szCs w:val="28"/>
          <w:lang w:val="en-US" w:eastAsia="zh-CN"/>
        </w:rPr>
        <w:t xml:space="preserve">       </w:t>
      </w:r>
      <w:r>
        <w:rPr>
          <w:rFonts w:hint="default" w:ascii="Times New Roman" w:hAnsi="Times New Roman" w:eastAsia="方正楷体_GBK" w:cs="Times New Roman"/>
          <w:bCs/>
          <w:color w:val="auto"/>
          <w:sz w:val="28"/>
          <w:szCs w:val="28"/>
        </w:rPr>
        <w:t xml:space="preserve">  </w:t>
      </w:r>
      <w:r>
        <w:rPr>
          <w:rFonts w:hint="default" w:ascii="Times New Roman" w:hAnsi="Times New Roman" w:eastAsia="方正楷体_GBK" w:cs="Times New Roman"/>
          <w:bCs/>
          <w:color w:val="auto"/>
          <w:sz w:val="28"/>
          <w:szCs w:val="28"/>
          <w:lang w:val="en-US" w:eastAsia="zh-CN"/>
        </w:rPr>
        <w:t xml:space="preserve"> </w:t>
      </w:r>
      <w:r>
        <w:rPr>
          <w:rFonts w:hint="default" w:ascii="Times New Roman" w:hAnsi="Times New Roman" w:eastAsia="方正楷体_GBK" w:cs="Times New Roman"/>
          <w:bCs/>
          <w:color w:val="0000FF"/>
          <w:sz w:val="28"/>
          <w:szCs w:val="28"/>
          <w:lang w:val="en-US" w:eastAsia="zh-CN"/>
        </w:rPr>
        <w:t xml:space="preserve"> </w:t>
      </w:r>
      <w:r>
        <w:rPr>
          <w:rFonts w:hint="default" w:ascii="Times New Roman" w:hAnsi="Times New Roman" w:eastAsia="方正楷体_GBK" w:cs="Times New Roman"/>
          <w:bCs/>
          <w:color w:val="000000" w:themeColor="text1"/>
          <w:sz w:val="28"/>
          <w:szCs w:val="28"/>
          <w14:textFill>
            <w14:solidFill>
              <w14:schemeClr w14:val="tx1"/>
            </w14:solidFill>
          </w14:textFill>
        </w:rPr>
        <w:t xml:space="preserve"> 20</w:t>
      </w:r>
      <w:r>
        <w:rPr>
          <w:rFonts w:hint="default" w:ascii="Times New Roman" w:hAnsi="Times New Roman" w:eastAsia="方正楷体_GBK" w:cs="Times New Roman"/>
          <w:bCs/>
          <w:color w:val="000000" w:themeColor="text1"/>
          <w:sz w:val="28"/>
          <w:szCs w:val="28"/>
          <w:lang w:val="en-US" w:eastAsia="zh-CN"/>
          <w14:textFill>
            <w14:solidFill>
              <w14:schemeClr w14:val="tx1"/>
            </w14:solidFill>
          </w14:textFill>
        </w:rPr>
        <w:t>2</w:t>
      </w:r>
      <w:r>
        <w:rPr>
          <w:rFonts w:hint="eastAsia" w:ascii="Times New Roman" w:hAnsi="Times New Roman" w:eastAsia="方正楷体_GBK" w:cs="Times New Roman"/>
          <w:bCs/>
          <w:color w:val="000000" w:themeColor="text1"/>
          <w:sz w:val="28"/>
          <w:szCs w:val="28"/>
          <w:lang w:val="en-US" w:eastAsia="zh-CN"/>
          <w14:textFill>
            <w14:solidFill>
              <w14:schemeClr w14:val="tx1"/>
            </w14:solidFill>
          </w14:textFill>
        </w:rPr>
        <w:t>2</w:t>
      </w:r>
      <w:r>
        <w:rPr>
          <w:rFonts w:hint="default" w:ascii="Times New Roman" w:hAnsi="Times New Roman" w:eastAsia="方正楷体_GBK" w:cs="Times New Roman"/>
          <w:bCs/>
          <w:color w:val="000000" w:themeColor="text1"/>
          <w:sz w:val="28"/>
          <w:szCs w:val="28"/>
          <w14:textFill>
            <w14:solidFill>
              <w14:schemeClr w14:val="tx1"/>
            </w14:solidFill>
          </w14:textFill>
        </w:rPr>
        <w:t>年</w:t>
      </w:r>
      <w:r>
        <w:rPr>
          <w:rFonts w:hint="eastAsia" w:ascii="Times New Roman" w:hAnsi="Times New Roman" w:eastAsia="方正楷体_GBK" w:cs="Times New Roman"/>
          <w:bCs/>
          <w:color w:val="000000" w:themeColor="text1"/>
          <w:sz w:val="28"/>
          <w:szCs w:val="28"/>
          <w:lang w:val="en-US" w:eastAsia="zh-CN"/>
          <w14:textFill>
            <w14:solidFill>
              <w14:schemeClr w14:val="tx1"/>
            </w14:solidFill>
          </w14:textFill>
        </w:rPr>
        <w:t>7</w:t>
      </w:r>
      <w:r>
        <w:rPr>
          <w:rFonts w:hint="default" w:ascii="Times New Roman" w:hAnsi="Times New Roman" w:eastAsia="方正楷体_GBK" w:cs="Times New Roman"/>
          <w:bCs/>
          <w:color w:val="000000" w:themeColor="text1"/>
          <w:sz w:val="28"/>
          <w:szCs w:val="28"/>
          <w14:textFill>
            <w14:solidFill>
              <w14:schemeClr w14:val="tx1"/>
            </w14:solidFill>
          </w14:textFill>
        </w:rPr>
        <w:t>月</w:t>
      </w:r>
      <w:r>
        <w:rPr>
          <w:rFonts w:hint="eastAsia" w:ascii="Times New Roman" w:hAnsi="Times New Roman" w:eastAsia="方正楷体_GBK" w:cs="Times New Roman"/>
          <w:bCs/>
          <w:color w:val="000000" w:themeColor="text1"/>
          <w:sz w:val="28"/>
          <w:szCs w:val="28"/>
          <w:lang w:val="en-US" w:eastAsia="zh-CN"/>
          <w14:textFill>
            <w14:solidFill>
              <w14:schemeClr w14:val="tx1"/>
            </w14:solidFill>
          </w14:textFill>
        </w:rPr>
        <w:t>1</w:t>
      </w:r>
      <w:r>
        <w:rPr>
          <w:rFonts w:hint="default" w:ascii="Times New Roman" w:hAnsi="Times New Roman" w:eastAsia="方正楷体_GBK" w:cs="Times New Roman"/>
          <w:bCs/>
          <w:color w:val="000000" w:themeColor="text1"/>
          <w:sz w:val="28"/>
          <w:szCs w:val="28"/>
          <w14:textFill>
            <w14:solidFill>
              <w14:schemeClr w14:val="tx1"/>
            </w14:solidFill>
          </w14:textFill>
        </w:rPr>
        <w:t>日出版</w:t>
      </w:r>
    </w:p>
    <w:p>
      <w:pPr>
        <w:spacing w:after="276" w:afterLines="115" w:line="560" w:lineRule="exact"/>
        <w:jc w:val="center"/>
        <w:rPr>
          <w:rFonts w:hint="default" w:ascii="Times New Roman" w:hAnsi="Times New Roman" w:eastAsia="方正仿宋_GBK" w:cs="Times New Roman"/>
          <w:b/>
          <w:sz w:val="28"/>
          <w:lang w:val="zh-CN"/>
        </w:rPr>
      </w:pPr>
      <w:r>
        <w:rPr>
          <w:rFonts w:hint="default" w:ascii="Times New Roman" w:hAnsi="Times New Roman" w:eastAsia="方正小标宋_GBK" w:cs="Times New Roman"/>
          <w:b/>
          <w:bCs/>
          <w:color w:val="auto"/>
          <w:sz w:val="32"/>
          <w:szCs w:val="32"/>
        </w:rPr>
        <w:t xml:space="preserve">目  </w:t>
      </w:r>
      <w:r>
        <w:rPr>
          <w:rFonts w:hint="eastAsia" w:ascii="Times New Roman" w:hAnsi="Times New Roman" w:eastAsia="方正小标宋_GBK" w:cs="Times New Roman"/>
          <w:b/>
          <w:bCs/>
          <w:color w:val="auto"/>
          <w:sz w:val="32"/>
          <w:szCs w:val="32"/>
          <w:lang w:val="en-US" w:eastAsia="zh-CN"/>
        </w:rPr>
        <w:t xml:space="preserve"> </w:t>
      </w:r>
      <w:r>
        <w:rPr>
          <w:rFonts w:hint="default" w:ascii="Times New Roman" w:hAnsi="Times New Roman" w:eastAsia="方正小标宋_GBK" w:cs="Times New Roman"/>
          <w:b/>
          <w:bCs/>
          <w:color w:val="auto"/>
          <w:sz w:val="32"/>
          <w:szCs w:val="32"/>
        </w:rPr>
        <w:t>录</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楷体_GBK" w:cs="Times New Roman"/>
          <w:b w:val="0"/>
          <w:bCs/>
          <w:caps/>
          <w:kern w:val="2"/>
          <w:sz w:val="28"/>
          <w:szCs w:val="28"/>
          <w:lang w:val="zh-CN" w:eastAsia="zh-CN" w:bidi="ar-SA"/>
        </w:rPr>
      </w:pPr>
      <w:r>
        <w:rPr>
          <w:rFonts w:hint="eastAsia" w:ascii="Times New Roman" w:hAnsi="Times New Roman" w:eastAsia="方正楷体_GBK" w:cs="Times New Roman"/>
          <w:b w:val="0"/>
          <w:bCs/>
          <w:caps/>
          <w:kern w:val="2"/>
          <w:sz w:val="28"/>
          <w:szCs w:val="28"/>
          <w:lang w:val="zh-CN" w:eastAsia="zh-CN" w:bidi="ar-SA"/>
        </w:rPr>
        <w:t>重庆市沙坪坝区人民政府工作报告</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楷体_GBK" w:cs="Times New Roman"/>
          <w:b w:val="0"/>
          <w:bCs/>
          <w:caps/>
          <w:kern w:val="2"/>
          <w:sz w:val="28"/>
          <w:szCs w:val="28"/>
          <w:lang w:val="zh-CN" w:eastAsia="zh-CN" w:bidi="ar-SA"/>
        </w:rPr>
      </w:pPr>
      <w:r>
        <w:rPr>
          <w:rFonts w:hint="eastAsia" w:ascii="Times New Roman" w:hAnsi="Times New Roman" w:eastAsia="方正楷体_GBK" w:cs="Times New Roman"/>
          <w:b w:val="0"/>
          <w:bCs/>
          <w:caps/>
          <w:kern w:val="2"/>
          <w:sz w:val="28"/>
          <w:szCs w:val="28"/>
          <w:lang w:val="zh-CN" w:eastAsia="zh-CN" w:bidi="ar-SA"/>
        </w:rPr>
        <w:t>——2022年1月7日在沙坪坝区第十九届人民代表大会第一次会议上</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楷体_GBK" w:cs="Times New Roman"/>
          <w:b w:val="0"/>
          <w:bCs/>
          <w:caps/>
          <w:sz w:val="28"/>
          <w:szCs w:val="28"/>
          <w:lang w:val="zh-CN"/>
        </w:rPr>
      </w:pPr>
      <w:r>
        <w:rPr>
          <w:rFonts w:hint="eastAsia" w:ascii="Times New Roman" w:hAnsi="Times New Roman" w:eastAsia="方正楷体_GBK" w:cs="Times New Roman"/>
          <w:b w:val="0"/>
          <w:bCs/>
          <w:caps/>
          <w:kern w:val="2"/>
          <w:sz w:val="28"/>
          <w:szCs w:val="28"/>
          <w:lang w:val="zh-CN" w:eastAsia="zh-CN" w:bidi="ar-SA"/>
        </w:rPr>
        <w:t>沙坪坝区人民政府区长  肖庆华</w:t>
      </w:r>
      <w:r>
        <w:rPr>
          <w:rFonts w:hint="eastAsia" w:ascii="Times New Roman" w:hAnsi="Times New Roman" w:eastAsia="方正楷体_GBK" w:cs="Times New Roman"/>
          <w:b w:val="0"/>
          <w:bCs/>
          <w:caps/>
          <w:sz w:val="28"/>
          <w:szCs w:val="28"/>
          <w:lang w:val="zh-CN"/>
        </w:rPr>
        <w:t>………………………………………</w:t>
      </w:r>
      <w:r>
        <w:rPr>
          <w:rFonts w:hint="eastAsia" w:ascii="Times New Roman" w:hAnsi="Times New Roman" w:eastAsia="方正楷体_GBK" w:cs="Times New Roman"/>
          <w:b w:val="0"/>
          <w:bCs/>
          <w:caps/>
          <w:kern w:val="2"/>
          <w:sz w:val="28"/>
          <w:szCs w:val="28"/>
          <w:lang w:val="zh-CN" w:eastAsia="zh-CN" w:bidi="ar-SA"/>
        </w:rPr>
        <w:t>…</w:t>
      </w:r>
      <w:r>
        <w:rPr>
          <w:rFonts w:hint="default" w:ascii="Times New Roman" w:hAnsi="Times New Roman" w:eastAsia="方正楷体_GBK" w:cs="Times New Roman"/>
          <w:b w:val="0"/>
          <w:bCs/>
          <w:caps/>
          <w:sz w:val="28"/>
          <w:szCs w:val="28"/>
          <w:lang w:val="zh-CN"/>
        </w:rPr>
        <w:t>（</w:t>
      </w:r>
      <w:r>
        <w:rPr>
          <w:rFonts w:hint="eastAsia" w:ascii="Times New Roman" w:hAnsi="Times New Roman" w:eastAsia="方正楷体_GBK" w:cs="Times New Roman"/>
          <w:b w:val="0"/>
          <w:bCs/>
          <w:caps/>
          <w:sz w:val="28"/>
          <w:szCs w:val="28"/>
          <w:lang w:val="en-US" w:eastAsia="zh-CN"/>
        </w:rPr>
        <w:t>1</w:t>
      </w:r>
      <w:r>
        <w:rPr>
          <w:rFonts w:hint="default" w:ascii="Times New Roman" w:hAnsi="Times New Roman" w:eastAsia="方正楷体_GBK" w:cs="Times New Roman"/>
          <w:b w:val="0"/>
          <w:bCs/>
          <w:caps/>
          <w:sz w:val="28"/>
          <w:szCs w:val="28"/>
          <w:lang w:val="zh-CN"/>
        </w:rPr>
        <w:t>）</w:t>
      </w:r>
    </w:p>
    <w:p>
      <w:pPr>
        <w:pStyle w:val="11"/>
        <w:keepNext w:val="0"/>
        <w:keepLines w:val="0"/>
        <w:pageBreakBefore w:val="0"/>
        <w:widowControl w:val="0"/>
        <w:tabs>
          <w:tab w:val="right" w:leader="dot" w:pos="8844"/>
        </w:tabs>
        <w:kinsoku/>
        <w:wordWrap/>
        <w:overflowPunct/>
        <w:topLinePunct w:val="0"/>
        <w:autoSpaceDE/>
        <w:autoSpaceDN/>
        <w:bidi w:val="0"/>
        <w:adjustRightInd/>
        <w:snapToGrid/>
        <w:spacing w:before="0" w:after="0" w:line="580" w:lineRule="exact"/>
        <w:textAlignment w:val="auto"/>
        <w:rPr>
          <w:rFonts w:hint="default" w:ascii="Times New Roman" w:hAnsi="Times New Roman" w:eastAsia="方正楷体_GBK" w:cs="Times New Roman"/>
          <w:b w:val="0"/>
          <w:bCs/>
          <w:caps/>
          <w:sz w:val="28"/>
          <w:szCs w:val="28"/>
          <w:lang w:val="zh-CN"/>
        </w:rPr>
      </w:pPr>
      <w:r>
        <w:rPr>
          <w:rFonts w:hint="default" w:ascii="Times New Roman" w:hAnsi="Times New Roman" w:eastAsia="方正楷体_GBK" w:cs="Times New Roman"/>
          <w:b w:val="0"/>
          <w:sz w:val="32"/>
          <w:szCs w:val="32"/>
          <w:lang w:val="zh-CN"/>
        </w:rPr>
        <w:t>【区政府文件】</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楷体_GBK" w:cs="Times New Roman"/>
          <w:b w:val="0"/>
          <w:bCs/>
          <w:caps/>
          <w:kern w:val="2"/>
          <w:sz w:val="28"/>
          <w:szCs w:val="28"/>
          <w:lang w:val="zh-CN" w:eastAsia="zh-CN" w:bidi="ar-SA"/>
        </w:rPr>
      </w:pPr>
      <w:r>
        <w:rPr>
          <w:rFonts w:hint="eastAsia" w:ascii="Times New Roman" w:hAnsi="Times New Roman" w:eastAsia="方正楷体_GBK" w:cs="Times New Roman"/>
          <w:b w:val="0"/>
          <w:bCs/>
          <w:caps/>
          <w:kern w:val="2"/>
          <w:sz w:val="28"/>
          <w:szCs w:val="28"/>
          <w:lang w:val="zh-CN" w:eastAsia="zh-CN" w:bidi="ar-SA"/>
        </w:rPr>
        <w:t>关于印发2022年沙坪坝区安全生产与自然灾害防治工作要点的通知</w:t>
      </w:r>
    </w:p>
    <w:p>
      <w:pPr>
        <w:keepNext w:val="0"/>
        <w:keepLines w:val="0"/>
        <w:pageBreakBefore w:val="0"/>
        <w:widowControl w:val="0"/>
        <w:kinsoku/>
        <w:wordWrap/>
        <w:overflowPunct/>
        <w:topLinePunct w:val="0"/>
        <w:autoSpaceDE/>
        <w:autoSpaceDN/>
        <w:bidi w:val="0"/>
        <w:adjustRightInd/>
        <w:snapToGrid/>
        <w:spacing w:line="580" w:lineRule="exact"/>
        <w:ind w:firstLine="280" w:firstLineChars="100"/>
        <w:jc w:val="left"/>
        <w:textAlignment w:val="auto"/>
        <w:rPr>
          <w:rFonts w:hint="default" w:ascii="Times New Roman" w:hAnsi="Times New Roman" w:eastAsia="方正楷体_GBK" w:cs="Times New Roman"/>
          <w:b w:val="0"/>
          <w:bCs/>
          <w:caps/>
          <w:kern w:val="2"/>
          <w:sz w:val="28"/>
          <w:szCs w:val="28"/>
          <w:lang w:val="zh-CN" w:eastAsia="zh-CN" w:bidi="ar-SA"/>
        </w:rPr>
      </w:pPr>
      <w:r>
        <w:rPr>
          <w:rFonts w:hint="eastAsia" w:ascii="Times New Roman" w:hAnsi="Times New Roman" w:eastAsia="方正楷体_GBK" w:cs="Times New Roman"/>
          <w:b w:val="0"/>
          <w:bCs/>
          <w:caps/>
          <w:kern w:val="2"/>
          <w:sz w:val="28"/>
          <w:szCs w:val="28"/>
          <w:lang w:val="zh-CN" w:eastAsia="zh-CN" w:bidi="ar-SA"/>
        </w:rPr>
        <w:t>……………</w:t>
      </w:r>
      <w:r>
        <w:rPr>
          <w:rFonts w:hint="eastAsia" w:ascii="Times New Roman" w:hAnsi="Times New Roman" w:eastAsia="方正楷体_GBK" w:cs="Times New Roman"/>
          <w:b w:val="0"/>
          <w:bCs/>
          <w:caps/>
          <w:sz w:val="28"/>
          <w:szCs w:val="28"/>
          <w:lang w:val="zh-CN"/>
        </w:rPr>
        <w:t>…</w:t>
      </w:r>
      <w:r>
        <w:rPr>
          <w:rFonts w:hint="eastAsia" w:ascii="Times New Roman" w:hAnsi="Times New Roman" w:eastAsia="方正楷体_GBK" w:cs="Times New Roman"/>
          <w:b w:val="0"/>
          <w:bCs/>
          <w:caps/>
          <w:kern w:val="2"/>
          <w:sz w:val="28"/>
          <w:szCs w:val="28"/>
          <w:lang w:val="zh-CN" w:eastAsia="zh-CN" w:bidi="ar-SA"/>
        </w:rPr>
        <w:t>……………………………………………………………</w:t>
      </w:r>
      <w:r>
        <w:rPr>
          <w:rFonts w:hint="default" w:ascii="Times New Roman" w:hAnsi="Times New Roman" w:eastAsia="方正楷体_GBK" w:cs="Times New Roman"/>
          <w:b w:val="0"/>
          <w:bCs/>
          <w:caps/>
          <w:kern w:val="2"/>
          <w:sz w:val="28"/>
          <w:szCs w:val="28"/>
          <w:lang w:val="zh-CN" w:eastAsia="zh-CN" w:bidi="ar-SA"/>
        </w:rPr>
        <w:t>（</w:t>
      </w:r>
      <w:r>
        <w:rPr>
          <w:rFonts w:hint="eastAsia" w:ascii="Times New Roman" w:hAnsi="Times New Roman" w:eastAsia="方正楷体_GBK" w:cs="Times New Roman"/>
          <w:b w:val="0"/>
          <w:bCs/>
          <w:caps/>
          <w:kern w:val="2"/>
          <w:sz w:val="28"/>
          <w:szCs w:val="28"/>
          <w:lang w:val="en-US" w:eastAsia="zh-CN" w:bidi="ar-SA"/>
        </w:rPr>
        <w:t>31</w:t>
      </w:r>
      <w:r>
        <w:rPr>
          <w:rFonts w:hint="default" w:ascii="Times New Roman" w:hAnsi="Times New Roman" w:eastAsia="方正楷体_GBK" w:cs="Times New Roman"/>
          <w:b w:val="0"/>
          <w:bCs/>
          <w:caps/>
          <w:kern w:val="2"/>
          <w:sz w:val="28"/>
          <w:szCs w:val="28"/>
          <w:lang w:val="zh-CN" w:eastAsia="zh-CN" w:bidi="ar-SA"/>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楷体_GBK" w:cs="Times New Roman"/>
          <w:b w:val="0"/>
          <w:bCs/>
          <w:caps/>
          <w:sz w:val="28"/>
          <w:szCs w:val="28"/>
          <w:lang w:val="zh-CN"/>
        </w:rPr>
      </w:pPr>
      <w:r>
        <w:rPr>
          <w:rFonts w:hint="eastAsia" w:ascii="Times New Roman" w:hAnsi="Times New Roman" w:eastAsia="方正楷体_GBK" w:cs="Times New Roman"/>
          <w:b w:val="0"/>
          <w:bCs/>
          <w:caps/>
          <w:kern w:val="2"/>
          <w:sz w:val="28"/>
          <w:szCs w:val="28"/>
          <w:lang w:val="zh-CN" w:eastAsia="zh-CN" w:bidi="ar-SA"/>
        </w:rPr>
        <w:t>关于印发重庆市沙坪坝区“十四五”残疾人保障和发展规划（2021—2025）的通知</w:t>
      </w:r>
      <w:r>
        <w:rPr>
          <w:rFonts w:hint="eastAsia" w:ascii="Times New Roman" w:hAnsi="Times New Roman" w:eastAsia="方正楷体_GBK" w:cs="Times New Roman"/>
          <w:b w:val="0"/>
          <w:bCs/>
          <w:caps/>
          <w:sz w:val="28"/>
          <w:szCs w:val="28"/>
          <w:lang w:val="zh-CN"/>
        </w:rPr>
        <w:t>…………………</w:t>
      </w:r>
      <w:r>
        <w:rPr>
          <w:rFonts w:hint="eastAsia" w:ascii="Times New Roman" w:hAnsi="Times New Roman" w:eastAsia="方正楷体_GBK" w:cs="Times New Roman"/>
          <w:b w:val="0"/>
          <w:bCs/>
          <w:caps/>
          <w:kern w:val="2"/>
          <w:sz w:val="28"/>
          <w:szCs w:val="28"/>
          <w:lang w:val="zh-CN" w:eastAsia="zh-CN" w:bidi="ar-SA"/>
        </w:rPr>
        <w:t>…………………………………</w:t>
      </w:r>
      <w:r>
        <w:rPr>
          <w:rFonts w:hint="eastAsia" w:ascii="Times New Roman" w:hAnsi="Times New Roman" w:eastAsia="方正楷体_GBK" w:cs="Times New Roman"/>
          <w:b w:val="0"/>
          <w:bCs/>
          <w:caps/>
          <w:sz w:val="28"/>
          <w:szCs w:val="28"/>
          <w:lang w:val="zh-CN"/>
        </w:rPr>
        <w:t>…………………</w:t>
      </w:r>
      <w:r>
        <w:rPr>
          <w:rFonts w:hint="default" w:ascii="Times New Roman" w:hAnsi="Times New Roman" w:eastAsia="方正楷体_GBK" w:cs="Times New Roman"/>
          <w:b w:val="0"/>
          <w:bCs/>
          <w:caps/>
          <w:sz w:val="28"/>
          <w:szCs w:val="28"/>
          <w:lang w:val="zh-CN"/>
        </w:rPr>
        <w:t>（</w:t>
      </w:r>
      <w:r>
        <w:rPr>
          <w:rFonts w:hint="eastAsia" w:ascii="Times New Roman" w:hAnsi="Times New Roman" w:eastAsia="方正楷体_GBK" w:cs="Times New Roman"/>
          <w:b w:val="0"/>
          <w:bCs/>
          <w:caps/>
          <w:sz w:val="28"/>
          <w:szCs w:val="28"/>
          <w:lang w:val="en-US" w:eastAsia="zh-CN"/>
        </w:rPr>
        <w:t>48</w:t>
      </w:r>
      <w:r>
        <w:rPr>
          <w:rFonts w:hint="default" w:ascii="Times New Roman" w:hAnsi="Times New Roman" w:eastAsia="方正楷体_GBK" w:cs="Times New Roman"/>
          <w:b w:val="0"/>
          <w:bCs/>
          <w:caps/>
          <w:sz w:val="28"/>
          <w:szCs w:val="28"/>
          <w:lang w:val="zh-CN"/>
        </w:rPr>
        <w:t>）</w:t>
      </w:r>
    </w:p>
    <w:p>
      <w:pPr>
        <w:pStyle w:val="11"/>
        <w:keepNext w:val="0"/>
        <w:keepLines w:val="0"/>
        <w:pageBreakBefore w:val="0"/>
        <w:widowControl w:val="0"/>
        <w:tabs>
          <w:tab w:val="right" w:leader="dot" w:pos="8844"/>
        </w:tabs>
        <w:kinsoku/>
        <w:wordWrap/>
        <w:overflowPunct/>
        <w:topLinePunct w:val="0"/>
        <w:autoSpaceDE/>
        <w:autoSpaceDN/>
        <w:bidi w:val="0"/>
        <w:adjustRightInd/>
        <w:snapToGrid/>
        <w:spacing w:before="0" w:after="0" w:line="580" w:lineRule="exact"/>
        <w:jc w:val="both"/>
        <w:textAlignment w:val="auto"/>
        <w:rPr>
          <w:rFonts w:hint="default" w:ascii="Times New Roman" w:hAnsi="Times New Roman" w:eastAsia="方正楷体_GBK" w:cs="Times New Roman"/>
          <w:b w:val="0"/>
          <w:bCs/>
          <w:caps/>
          <w:sz w:val="28"/>
          <w:szCs w:val="28"/>
          <w:lang w:val="zh-CN"/>
        </w:rPr>
      </w:pPr>
      <w:r>
        <w:rPr>
          <w:rFonts w:hint="default" w:ascii="Times New Roman" w:hAnsi="Times New Roman" w:eastAsia="方正楷体_GBK" w:cs="Times New Roman"/>
          <w:b w:val="0"/>
          <w:bCs/>
          <w:caps/>
          <w:sz w:val="32"/>
          <w:szCs w:val="32"/>
          <w:lang w:val="zh-CN"/>
        </w:rPr>
        <w:t>【区政府办公室文件】</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楷体_GBK" w:cs="Times New Roman"/>
          <w:b w:val="0"/>
          <w:bCs/>
          <w:caps/>
          <w:kern w:val="2"/>
          <w:sz w:val="28"/>
          <w:szCs w:val="28"/>
          <w:lang w:val="zh-CN" w:eastAsia="zh-CN" w:bidi="ar-SA"/>
        </w:rPr>
      </w:pPr>
      <w:r>
        <w:rPr>
          <w:rFonts w:hint="eastAsia" w:ascii="Times New Roman" w:hAnsi="Times New Roman" w:eastAsia="方正楷体_GBK" w:cs="Times New Roman"/>
          <w:b w:val="0"/>
          <w:bCs/>
          <w:caps/>
          <w:kern w:val="2"/>
          <w:sz w:val="28"/>
          <w:szCs w:val="28"/>
          <w:lang w:val="zh-CN" w:eastAsia="zh-CN" w:bidi="ar-SA"/>
        </w:rPr>
        <w:t>关于印发重庆市沙坪坝区全民健身实施计划（2021—2025年）的通知</w:t>
      </w:r>
    </w:p>
    <w:p>
      <w:pPr>
        <w:keepNext w:val="0"/>
        <w:keepLines w:val="0"/>
        <w:pageBreakBefore w:val="0"/>
        <w:widowControl w:val="0"/>
        <w:kinsoku/>
        <w:wordWrap/>
        <w:overflowPunct/>
        <w:topLinePunct w:val="0"/>
        <w:autoSpaceDE/>
        <w:autoSpaceDN/>
        <w:bidi w:val="0"/>
        <w:adjustRightInd/>
        <w:snapToGrid/>
        <w:spacing w:line="580" w:lineRule="exact"/>
        <w:ind w:firstLine="280" w:firstLineChars="100"/>
        <w:jc w:val="left"/>
        <w:textAlignment w:val="auto"/>
        <w:rPr>
          <w:rFonts w:hint="eastAsia" w:ascii="Times New Roman" w:hAnsi="Times New Roman" w:eastAsia="方正楷体_GBK" w:cs="Times New Roman"/>
          <w:b w:val="0"/>
          <w:bCs/>
          <w:caps/>
          <w:smallCaps w:val="0"/>
          <w:spacing w:val="0"/>
          <w:kern w:val="2"/>
          <w:sz w:val="28"/>
          <w:szCs w:val="28"/>
          <w:lang w:val="zh-CN" w:eastAsia="zh-CN" w:bidi="ar-SA"/>
        </w:rPr>
      </w:pPr>
      <w:r>
        <w:rPr>
          <w:rFonts w:hint="eastAsia" w:ascii="Times New Roman" w:hAnsi="Times New Roman" w:eastAsia="方正楷体_GBK" w:cs="Times New Roman"/>
          <w:b w:val="0"/>
          <w:bCs/>
          <w:caps/>
          <w:sz w:val="28"/>
          <w:szCs w:val="28"/>
          <w:lang w:val="zh-CN"/>
        </w:rPr>
        <w:t>…………………</w:t>
      </w:r>
      <w:r>
        <w:rPr>
          <w:rFonts w:hint="eastAsia" w:ascii="Times New Roman" w:hAnsi="Times New Roman" w:eastAsia="方正楷体_GBK" w:cs="Times New Roman"/>
          <w:b w:val="0"/>
          <w:bCs/>
          <w:caps/>
          <w:kern w:val="2"/>
          <w:sz w:val="28"/>
          <w:szCs w:val="28"/>
          <w:lang w:val="zh-CN" w:eastAsia="zh-CN" w:bidi="ar-SA"/>
        </w:rPr>
        <w:t>……………………………</w:t>
      </w:r>
      <w:r>
        <w:rPr>
          <w:rFonts w:hint="eastAsia" w:ascii="Times New Roman" w:hAnsi="Times New Roman" w:eastAsia="方正楷体_GBK" w:cs="Times New Roman"/>
          <w:b w:val="0"/>
          <w:bCs/>
          <w:caps/>
          <w:sz w:val="28"/>
          <w:szCs w:val="28"/>
          <w:lang w:val="zh-CN"/>
        </w:rPr>
        <w:t>……………………………</w:t>
      </w:r>
      <w:r>
        <w:rPr>
          <w:rFonts w:hint="default" w:ascii="Times New Roman" w:hAnsi="Times New Roman" w:eastAsia="方正楷体_GBK" w:cs="Times New Roman"/>
          <w:b w:val="0"/>
          <w:bCs/>
          <w:caps/>
          <w:sz w:val="28"/>
          <w:szCs w:val="28"/>
          <w:lang w:val="zh-CN"/>
        </w:rPr>
        <w:t>（</w:t>
      </w:r>
      <w:r>
        <w:rPr>
          <w:rFonts w:hint="eastAsia" w:ascii="Times New Roman" w:hAnsi="Times New Roman" w:eastAsia="方正楷体_GBK" w:cs="Times New Roman"/>
          <w:b w:val="0"/>
          <w:bCs/>
          <w:caps/>
          <w:sz w:val="28"/>
          <w:szCs w:val="28"/>
          <w:lang w:val="en-US" w:eastAsia="zh-CN"/>
        </w:rPr>
        <w:t>87</w:t>
      </w:r>
      <w:r>
        <w:rPr>
          <w:rFonts w:hint="default" w:ascii="Times New Roman" w:hAnsi="Times New Roman" w:eastAsia="方正楷体_GBK" w:cs="Times New Roman"/>
          <w:b w:val="0"/>
          <w:bCs/>
          <w:caps/>
          <w:sz w:val="28"/>
          <w:szCs w:val="28"/>
          <w:lang w:val="zh-CN"/>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楷体_GBK" w:cs="Times New Roman"/>
          <w:b w:val="0"/>
          <w:bCs/>
          <w:caps/>
          <w:smallCaps w:val="0"/>
          <w:spacing w:val="0"/>
          <w:sz w:val="28"/>
          <w:szCs w:val="28"/>
          <w:lang w:val="zh-CN"/>
        </w:rPr>
      </w:pPr>
      <w:r>
        <w:rPr>
          <w:rFonts w:hint="eastAsia" w:ascii="Times New Roman" w:hAnsi="Times New Roman" w:eastAsia="方正楷体_GBK" w:cs="Times New Roman"/>
          <w:b w:val="0"/>
          <w:bCs/>
          <w:caps/>
          <w:smallCaps w:val="0"/>
          <w:spacing w:val="0"/>
          <w:kern w:val="2"/>
          <w:sz w:val="28"/>
          <w:szCs w:val="28"/>
          <w:lang w:val="zh-CN" w:eastAsia="zh-CN" w:bidi="ar-SA"/>
        </w:rPr>
        <w:t>关于印发《重庆市沙坪坝区森林火灾应急预案》的通知</w:t>
      </w:r>
      <w:r>
        <w:rPr>
          <w:rFonts w:hint="eastAsia" w:ascii="Times New Roman" w:hAnsi="Times New Roman" w:eastAsia="方正楷体_GBK" w:cs="Times New Roman"/>
          <w:b w:val="0"/>
          <w:bCs/>
          <w:caps/>
          <w:smallCaps w:val="0"/>
          <w:spacing w:val="0"/>
          <w:sz w:val="28"/>
          <w:szCs w:val="28"/>
          <w:lang w:val="zh-CN"/>
        </w:rPr>
        <w:t>…</w:t>
      </w:r>
      <w:r>
        <w:rPr>
          <w:rFonts w:hint="eastAsia" w:ascii="Times New Roman" w:hAnsi="Times New Roman" w:eastAsia="方正楷体_GBK" w:cs="Times New Roman"/>
          <w:b w:val="0"/>
          <w:bCs/>
          <w:caps/>
          <w:smallCaps w:val="0"/>
          <w:spacing w:val="0"/>
          <w:kern w:val="2"/>
          <w:sz w:val="28"/>
          <w:szCs w:val="28"/>
          <w:lang w:val="zh-CN" w:eastAsia="zh-CN" w:bidi="ar-SA"/>
        </w:rPr>
        <w:t>…</w:t>
      </w:r>
      <w:r>
        <w:rPr>
          <w:rFonts w:hint="eastAsia" w:ascii="Times New Roman" w:hAnsi="Times New Roman" w:eastAsia="方正楷体_GBK" w:cs="Times New Roman"/>
          <w:b w:val="0"/>
          <w:bCs/>
          <w:caps/>
          <w:smallCaps w:val="0"/>
          <w:spacing w:val="0"/>
          <w:sz w:val="28"/>
          <w:szCs w:val="28"/>
          <w:lang w:val="zh-CN"/>
        </w:rPr>
        <w:t>……………（</w:t>
      </w:r>
      <w:r>
        <w:rPr>
          <w:rFonts w:hint="eastAsia" w:ascii="Times New Roman" w:hAnsi="Times New Roman" w:eastAsia="方正楷体_GBK" w:cs="Times New Roman"/>
          <w:b w:val="0"/>
          <w:bCs/>
          <w:caps/>
          <w:smallCaps w:val="0"/>
          <w:spacing w:val="0"/>
          <w:sz w:val="28"/>
          <w:szCs w:val="28"/>
          <w:lang w:val="en-US" w:eastAsia="zh-CN"/>
        </w:rPr>
        <w:t>94</w:t>
      </w:r>
      <w:r>
        <w:rPr>
          <w:rFonts w:hint="eastAsia" w:ascii="Times New Roman" w:hAnsi="Times New Roman" w:eastAsia="方正楷体_GBK" w:cs="Times New Roman"/>
          <w:b w:val="0"/>
          <w:bCs/>
          <w:caps/>
          <w:smallCaps w:val="0"/>
          <w:spacing w:val="0"/>
          <w:sz w:val="28"/>
          <w:szCs w:val="28"/>
          <w:lang w:val="zh-CN"/>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楷体_GBK" w:cs="Times New Roman"/>
          <w:b w:val="0"/>
          <w:bCs/>
          <w:caps/>
          <w:smallCaps w:val="0"/>
          <w:spacing w:val="0"/>
          <w:kern w:val="2"/>
          <w:sz w:val="28"/>
          <w:szCs w:val="28"/>
          <w:lang w:val="zh-CN" w:eastAsia="zh-CN" w:bidi="ar-SA"/>
        </w:rPr>
        <w:sectPr>
          <w:headerReference r:id="rId3" w:type="default"/>
          <w:footerReference r:id="rId4" w:type="default"/>
          <w:pgSz w:w="11906" w:h="16838"/>
          <w:pgMar w:top="1984" w:right="1446" w:bottom="1644" w:left="1446"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Times New Roman" w:hAnsi="Times New Roman" w:eastAsia="方正楷体_GBK" w:cs="Times New Roman"/>
          <w:b w:val="0"/>
          <w:bCs/>
          <w:caps/>
          <w:smallCaps w:val="0"/>
          <w:spacing w:val="0"/>
          <w:kern w:val="2"/>
          <w:sz w:val="28"/>
          <w:szCs w:val="28"/>
          <w:lang w:val="zh-CN" w:eastAsia="zh-CN" w:bidi="ar-SA"/>
        </w:rPr>
        <w:t>关于印发2022年沙坪坝区政务服务工作要点的通知…………………（</w:t>
      </w:r>
      <w:r>
        <w:rPr>
          <w:rFonts w:hint="eastAsia" w:ascii="Times New Roman" w:hAnsi="Times New Roman" w:eastAsia="方正楷体_GBK" w:cs="Times New Roman"/>
          <w:b w:val="0"/>
          <w:bCs/>
          <w:caps/>
          <w:smallCaps w:val="0"/>
          <w:spacing w:val="0"/>
          <w:kern w:val="2"/>
          <w:sz w:val="28"/>
          <w:szCs w:val="28"/>
          <w:lang w:val="en-US" w:eastAsia="zh-CN" w:bidi="ar-SA"/>
        </w:rPr>
        <w:t>122</w:t>
      </w:r>
      <w:r>
        <w:rPr>
          <w:rFonts w:hint="eastAsia" w:ascii="Times New Roman" w:hAnsi="Times New Roman" w:eastAsia="方正楷体_GBK" w:cs="Times New Roman"/>
          <w:b w:val="0"/>
          <w:bCs/>
          <w:caps/>
          <w:smallCaps w:val="0"/>
          <w:spacing w:val="0"/>
          <w:kern w:val="2"/>
          <w:sz w:val="28"/>
          <w:szCs w:val="28"/>
          <w:lang w:val="zh-CN" w:eastAsia="zh-CN" w:bidi="ar-SA"/>
        </w:rPr>
        <w:t>）</w:t>
      </w:r>
    </w:p>
    <w:p>
      <w:pPr>
        <w:pStyle w:val="11"/>
        <w:keepNext w:val="0"/>
        <w:keepLines w:val="0"/>
        <w:pageBreakBefore w:val="0"/>
        <w:widowControl w:val="0"/>
        <w:tabs>
          <w:tab w:val="right" w:leader="dot" w:pos="8844"/>
        </w:tabs>
        <w:kinsoku/>
        <w:wordWrap/>
        <w:overflowPunct/>
        <w:topLinePunct w:val="0"/>
        <w:autoSpaceDE/>
        <w:autoSpaceDN/>
        <w:bidi w:val="0"/>
        <w:adjustRightInd/>
        <w:snapToGrid/>
        <w:spacing w:before="170" w:after="170" w:line="500" w:lineRule="exact"/>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方正小标宋_GBK" w:cs="Times New Roman"/>
          <w:b w:val="0"/>
          <w:color w:val="000000"/>
          <w:sz w:val="32"/>
          <w:szCs w:val="32"/>
          <w:lang w:val="zh-CN"/>
        </w:rPr>
        <w:t>【</w:t>
      </w:r>
      <w:r>
        <w:rPr>
          <w:rFonts w:hint="eastAsia" w:ascii="Times New Roman" w:hAnsi="Times New Roman" w:eastAsia="方正小标宋_GBK" w:cs="Times New Roman"/>
          <w:b w:val="0"/>
          <w:color w:val="000000"/>
          <w:sz w:val="32"/>
          <w:szCs w:val="32"/>
          <w:lang w:val="zh-CN" w:eastAsia="zh-CN"/>
        </w:rPr>
        <w:t>政府工作报告</w:t>
      </w:r>
      <w:r>
        <w:rPr>
          <w:rFonts w:hint="default" w:ascii="Times New Roman" w:hAnsi="Times New Roman" w:eastAsia="方正小标宋_GBK" w:cs="Times New Roman"/>
          <w:b w:val="0"/>
          <w:color w:val="000000"/>
          <w:sz w:val="32"/>
          <w:szCs w:val="32"/>
          <w:lang w:val="zh-CN"/>
        </w:rPr>
        <w:t>】</w:t>
      </w:r>
    </w:p>
    <w:p>
      <w:pPr>
        <w:spacing w:line="594" w:lineRule="exact"/>
        <w:jc w:val="center"/>
        <w:rPr>
          <w:rFonts w:ascii="Times New Roman" w:hAnsi="Times New Roman" w:eastAsia="方正楷体_GBK" w:cs="Times New Roman"/>
          <w:bCs/>
          <w:sz w:val="44"/>
          <w:szCs w:val="44"/>
        </w:rPr>
      </w:pPr>
      <w:r>
        <w:rPr>
          <w:rFonts w:ascii="Times New Roman" w:hAnsi="Times New Roman" w:eastAsia="方正小标宋_GBK" w:cs="Times New Roman"/>
          <w:spacing w:val="6"/>
          <w:sz w:val="44"/>
          <w:szCs w:val="44"/>
        </w:rPr>
        <w:t>重庆市沙坪坝区人民政府工作报告</w:t>
      </w:r>
    </w:p>
    <w:p>
      <w:pPr>
        <w:spacing w:line="594" w:lineRule="exact"/>
        <w:jc w:val="center"/>
        <w:rPr>
          <w:rFonts w:ascii="Times New Roman" w:hAnsi="Times New Roman" w:eastAsia="方正楷体_GBK" w:cs="Times New Roman"/>
          <w:bCs/>
          <w:spacing w:val="6"/>
          <w:sz w:val="32"/>
          <w:szCs w:val="32"/>
        </w:rPr>
      </w:pPr>
      <w:r>
        <w:rPr>
          <w:rFonts w:ascii="Times New Roman" w:hAnsi="Times New Roman" w:eastAsia="方正楷体_GBK" w:cs="Times New Roman"/>
          <w:bCs/>
          <w:sz w:val="32"/>
          <w:szCs w:val="32"/>
        </w:rPr>
        <w:t>——</w:t>
      </w:r>
      <w:r>
        <w:rPr>
          <w:rFonts w:ascii="Times New Roman" w:hAnsi="Times New Roman" w:eastAsia="方正楷体_GBK" w:cs="Times New Roman"/>
          <w:bCs/>
          <w:spacing w:val="6"/>
          <w:sz w:val="32"/>
          <w:szCs w:val="32"/>
        </w:rPr>
        <w:t>2022年1月7日在沙坪坝区第十九届人民代表大会</w:t>
      </w:r>
    </w:p>
    <w:p>
      <w:pPr>
        <w:spacing w:line="594" w:lineRule="exact"/>
        <w:jc w:val="center"/>
        <w:rPr>
          <w:rFonts w:ascii="Times New Roman" w:hAnsi="Times New Roman" w:eastAsia="方正楷体_GBK" w:cs="Times New Roman"/>
          <w:bCs/>
          <w:spacing w:val="6"/>
          <w:sz w:val="32"/>
          <w:szCs w:val="32"/>
        </w:rPr>
      </w:pPr>
      <w:r>
        <w:rPr>
          <w:rFonts w:ascii="Times New Roman" w:hAnsi="Times New Roman" w:eastAsia="方正楷体_GBK" w:cs="Times New Roman"/>
          <w:bCs/>
          <w:spacing w:val="6"/>
          <w:sz w:val="32"/>
          <w:szCs w:val="32"/>
        </w:rPr>
        <w:t>第一次会议上</w:t>
      </w:r>
    </w:p>
    <w:p>
      <w:pPr>
        <w:pStyle w:val="2"/>
        <w:spacing w:line="594" w:lineRule="exact"/>
        <w:ind w:firstLine="0" w:firstLineChars="0"/>
        <w:jc w:val="center"/>
        <w:rPr>
          <w:rFonts w:ascii="Times New Roman" w:hAnsi="Times New Roman" w:eastAsia="方正楷体_GBK" w:cs="Times New Roman"/>
        </w:rPr>
      </w:pPr>
      <w:r>
        <w:rPr>
          <w:rFonts w:ascii="Times New Roman" w:hAnsi="Times New Roman" w:eastAsia="方正楷体_GBK" w:cs="Times New Roman"/>
          <w:bCs/>
          <w:spacing w:val="6"/>
          <w:sz w:val="32"/>
          <w:szCs w:val="32"/>
        </w:rPr>
        <w:t xml:space="preserve">沙坪坝区人民政府区长 </w:t>
      </w:r>
      <w:r>
        <w:rPr>
          <w:rFonts w:hint="eastAsia" w:ascii="Times New Roman" w:hAnsi="Times New Roman" w:eastAsia="方正楷体_GBK" w:cs="Times New Roman"/>
          <w:bCs/>
          <w:spacing w:val="6"/>
          <w:sz w:val="32"/>
          <w:szCs w:val="32"/>
        </w:rPr>
        <w:t xml:space="preserve"> </w:t>
      </w:r>
      <w:r>
        <w:rPr>
          <w:rFonts w:ascii="Times New Roman" w:hAnsi="Times New Roman" w:eastAsia="方正楷体_GBK" w:cs="Times New Roman"/>
          <w:bCs/>
          <w:spacing w:val="6"/>
          <w:sz w:val="32"/>
          <w:szCs w:val="32"/>
        </w:rPr>
        <w:t>肖庆华</w:t>
      </w:r>
    </w:p>
    <w:p>
      <w:pPr>
        <w:spacing w:line="594" w:lineRule="exact"/>
        <w:jc w:val="center"/>
        <w:rPr>
          <w:rFonts w:ascii="Times New Roman" w:hAnsi="Times New Roman" w:eastAsia="仿宋_GB2312" w:cs="Times New Roman"/>
          <w:sz w:val="32"/>
          <w:szCs w:val="32"/>
        </w:rPr>
      </w:pPr>
    </w:p>
    <w:p>
      <w:pPr>
        <w:keepNext w:val="0"/>
        <w:keepLines w:val="0"/>
        <w:pageBreakBefore w:val="0"/>
        <w:widowControl w:val="0"/>
        <w:kinsoku/>
        <w:wordWrap/>
        <w:overflowPunct/>
        <w:topLinePunct w:val="0"/>
        <w:bidi w:val="0"/>
        <w:spacing w:line="570" w:lineRule="exact"/>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spacing w:val="6"/>
          <w:sz w:val="32"/>
          <w:szCs w:val="32"/>
        </w:rPr>
        <w:t>各位代表：</w:t>
      </w:r>
    </w:p>
    <w:p>
      <w:pPr>
        <w:keepNext w:val="0"/>
        <w:keepLines w:val="0"/>
        <w:pageBreakBefore w:val="0"/>
        <w:widowControl w:val="0"/>
        <w:kinsoku/>
        <w:wordWrap/>
        <w:overflowPunct/>
        <w:topLinePunct w:val="0"/>
        <w:bidi w:val="0"/>
        <w:spacing w:line="570" w:lineRule="exact"/>
        <w:ind w:firstLine="705"/>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spacing w:val="6"/>
          <w:sz w:val="32"/>
          <w:szCs w:val="32"/>
        </w:rPr>
        <w:t>我代表沙坪坝区人民政府向大会报告工作，请予审议，并请各位政协委员提出意见。</w:t>
      </w:r>
    </w:p>
    <w:p>
      <w:pPr>
        <w:keepNext w:val="0"/>
        <w:keepLines w:val="0"/>
        <w:pageBreakBefore w:val="0"/>
        <w:widowControl w:val="0"/>
        <w:kinsoku/>
        <w:wordWrap/>
        <w:overflowPunct/>
        <w:topLinePunct w:val="0"/>
        <w:autoSpaceDE/>
        <w:autoSpaceDN/>
        <w:bidi w:val="0"/>
        <w:adjustRightInd/>
        <w:snapToGrid/>
        <w:spacing w:before="415" w:beforeLines="70" w:after="415" w:afterLines="70" w:line="570" w:lineRule="exact"/>
        <w:jc w:val="center"/>
        <w:textAlignment w:val="auto"/>
        <w:rPr>
          <w:rFonts w:ascii="Times New Roman" w:hAnsi="Times New Roman" w:eastAsia="方正黑体_GBK" w:cs="Times New Roman"/>
          <w:sz w:val="36"/>
          <w:szCs w:val="36"/>
        </w:rPr>
      </w:pPr>
      <w:r>
        <w:rPr>
          <w:rFonts w:ascii="Times New Roman" w:hAnsi="Times New Roman" w:eastAsia="方正黑体_GBK" w:cs="Times New Roman"/>
          <w:sz w:val="36"/>
          <w:szCs w:val="36"/>
        </w:rPr>
        <w:t>过去五年及2021年工作回顾</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spacing w:val="6"/>
          <w:sz w:val="32"/>
          <w:szCs w:val="32"/>
        </w:rPr>
        <w:t>过去五年，是沙坪坝区发展历程上极不平凡的五年。五年来，我们深入贯彻习近平新时代中国特色社会主义思想，在市委、市政府和区委坚强领导下，在区人大、区政协有力监督下，坚持稳中求进工作总基调，持续打好三大攻坚战，深入实施</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八项行动计划</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，较好地完成了本届政府各项目标任务，预计</w:t>
      </w:r>
      <w:r>
        <w:rPr>
          <w:rFonts w:ascii="Times New Roman" w:hAnsi="Times New Roman" w:eastAsia="方正仿宋_GBK" w:cs="Times New Roman"/>
          <w:sz w:val="32"/>
          <w:szCs w:val="32"/>
        </w:rPr>
        <w:t>地区生产总值年均增长5.4%，规模以上工业总产值年均增长11.3%，社会消费品零售总额年均增长6.5%，固定资产投资年均增长4.9%，全体居民人均可支配收入年均增长8%，经济发展始终保持量的合理增长和质的稳步提升，</w:t>
      </w:r>
      <w:r>
        <w:rPr>
          <w:rFonts w:ascii="Times New Roman" w:hAnsi="Times New Roman" w:eastAsia="方正仿宋_GBK" w:cs="Times New Roman"/>
          <w:spacing w:val="6"/>
          <w:sz w:val="32"/>
          <w:szCs w:val="32"/>
        </w:rPr>
        <w:t>如期实现全面建成小康社会宏伟目标。</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pacing w:val="6"/>
          <w:sz w:val="32"/>
          <w:szCs w:val="32"/>
        </w:rPr>
        <w:t>五年来</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我们深入推进产业转型</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发展质效持续提升</w:t>
      </w:r>
      <w:r>
        <w:rPr>
          <w:rFonts w:ascii="Times New Roman" w:hAnsi="Times New Roman" w:eastAsia="方正仿宋_GBK" w:cs="Times New Roman"/>
          <w:spacing w:val="6"/>
          <w:sz w:val="32"/>
          <w:szCs w:val="32"/>
        </w:rPr>
        <w:t>。</w:t>
      </w:r>
      <w:r>
        <w:rPr>
          <w:rFonts w:ascii="Times New Roman" w:hAnsi="Times New Roman" w:eastAsia="方正仿宋_GBK" w:cs="Times New Roman"/>
          <w:sz w:val="32"/>
          <w:szCs w:val="32"/>
        </w:rPr>
        <w:t>大力实施创新驱动发展战略，以大数据智能化赋能产业升级，三次产业结构为0.5：30.8：68.7。创新动能不断增强，加快构建环大学创新生态圈，黄金湾</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智谷、光谷</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智创园等18个创新平台投用，新增科创空间150万平方米。培育独立法人研发机构40家，柔性引进院士23名，获评重庆英才227名，获国家、重庆市科学技术奖245项、占全市四成以上，万人发明专利拥有量46.8件、居全市第一。先进制造业加快发展，引进</w:t>
      </w:r>
      <w:r>
        <w:rPr>
          <w:rFonts w:hint="eastAsia" w:ascii="Times New Roman" w:hAnsi="Times New Roman" w:eastAsia="方正仿宋_GBK" w:cs="Times New Roman"/>
          <w:sz w:val="32"/>
          <w:szCs w:val="32"/>
          <w:lang w:eastAsia="zh-Hans"/>
        </w:rPr>
        <w:t>科大国盾量子</w:t>
      </w:r>
      <w:r>
        <w:rPr>
          <w:rFonts w:ascii="Times New Roman" w:hAnsi="Times New Roman" w:eastAsia="方正仿宋_GBK" w:cs="Times New Roman"/>
          <w:sz w:val="32"/>
          <w:szCs w:val="32"/>
        </w:rPr>
        <w:t>、小康智能电动高端汽车等项目161个，中科纳通、万普隆能源科技等120个项目投产，培育高新技术企业166家、科技型企业1301家，建成全市首个工业设计产业集聚区，数字经济增加值年均增长10%，工业总产值突破2500亿元。现代服务业提质发展，龙湖金沙天街、万达广场、磁器口后街、佛罗伦萨小镇开业，新增商贸设施180万平方米，商品年均销售额达1400亿元，金融业、物流业增加值年均增长6.7%、7%。成功创建国家文化和旅游消费试点城市。</w:t>
      </w:r>
    </w:p>
    <w:p>
      <w:pPr>
        <w:keepNext w:val="0"/>
        <w:keepLines w:val="0"/>
        <w:pageBreakBefore w:val="0"/>
        <w:widowControl w:val="0"/>
        <w:kinsoku/>
        <w:wordWrap/>
        <w:overflowPunct/>
        <w:topLinePunct w:val="0"/>
        <w:autoSpaceDE w:val="0"/>
        <w:bidi w:val="0"/>
        <w:spacing w:line="570" w:lineRule="exact"/>
        <w:ind w:firstLine="656"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pacing w:val="6"/>
          <w:sz w:val="32"/>
          <w:szCs w:val="32"/>
        </w:rPr>
        <w:t>五年来</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我们深入推进改革开放</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发展活力持续迸发</w:t>
      </w:r>
      <w:r>
        <w:rPr>
          <w:rFonts w:ascii="Times New Roman" w:hAnsi="Times New Roman" w:eastAsia="方正仿宋_GBK" w:cs="Times New Roman"/>
          <w:spacing w:val="6"/>
          <w:sz w:val="32"/>
          <w:szCs w:val="32"/>
        </w:rPr>
        <w:t>。</w:t>
      </w:r>
      <w:r>
        <w:rPr>
          <w:rFonts w:ascii="Times New Roman" w:hAnsi="Times New Roman" w:eastAsia="方正仿宋_GBK" w:cs="Times New Roman"/>
          <w:sz w:val="32"/>
          <w:szCs w:val="32"/>
        </w:rPr>
        <w:t>全面融入共建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一带一路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，抢抓成渝地区双城经济圈建设机遇，以改革增效益、以开放增活力，发展内生动力明显增强。国有企业、投融资体制、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放管服</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关键领域改革取得实效，整合国有企业33家，市场主体总量突破12万户。对外开放迈上新台阶，获批陆港型国家物流枢纽，西部陆海新通道上升为国家战略，建成全市首个整车进口口岸、首次药品进口口岸和铁路邮件处理中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四向齐发、全域开放</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格局基本形成。招商引资成效明显，签约引进吉芯科技、全球贸易港等一批重大项目，实际利用外资58亿美元，进出口总额达1.3万亿元，开放型经济规模占全市四成以上。与韩国桂阳区建立国际友好城市关系。</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楷体_GBK" w:cs="Times New Roman"/>
          <w:spacing w:val="6"/>
          <w:sz w:val="32"/>
          <w:szCs w:val="32"/>
        </w:rPr>
        <w:t>五年来</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我们深入推进城乡融合</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功能品质明显提升</w:t>
      </w:r>
      <w:r>
        <w:rPr>
          <w:rFonts w:ascii="Times New Roman" w:hAnsi="Times New Roman" w:eastAsia="方正仿宋_GBK" w:cs="Times New Roman"/>
          <w:spacing w:val="6"/>
          <w:sz w:val="32"/>
          <w:szCs w:val="32"/>
        </w:rPr>
        <w:t>。统筹城市提升和乡村振兴两个基本面，城乡融合发展更加协调。重点项目加快推进，有序实施重点项目482个，累计投资2605亿元。城市面貌明显改善，</w:t>
      </w:r>
      <w:r>
        <w:rPr>
          <w:rFonts w:ascii="Times New Roman" w:hAnsi="Times New Roman" w:eastAsia="方正仿宋_GBK" w:cs="Times New Roman"/>
          <w:sz w:val="32"/>
          <w:szCs w:val="32"/>
        </w:rPr>
        <w:t>重庆西站、沙坪坝站、轨道环线陆续投用，</w:t>
      </w:r>
      <w:r>
        <w:rPr>
          <w:rFonts w:ascii="Times New Roman" w:hAnsi="Times New Roman" w:eastAsia="方正仿宋_GBK" w:cs="Times New Roman"/>
          <w:spacing w:val="6"/>
          <w:sz w:val="32"/>
          <w:szCs w:val="32"/>
        </w:rPr>
        <w:t>沙滨路等105条120公里道路建成通车，</w:t>
      </w:r>
      <w:r>
        <w:rPr>
          <w:rFonts w:ascii="Times New Roman" w:hAnsi="Times New Roman" w:eastAsia="方正仿宋_GBK" w:cs="Times New Roman"/>
          <w:sz w:val="32"/>
          <w:szCs w:val="32"/>
        </w:rPr>
        <w:t>建成区路网密度提升28%；新建公园60个、</w:t>
      </w:r>
      <w:r>
        <w:rPr>
          <w:rFonts w:ascii="Times New Roman" w:hAnsi="Times New Roman" w:eastAsia="方正仿宋_GBK" w:cs="Times New Roman"/>
          <w:spacing w:val="6"/>
          <w:sz w:val="32"/>
          <w:szCs w:val="32"/>
        </w:rPr>
        <w:t>山城步道110公里、人行过街设施24座、公厕72座、停车位3万个，绿化美化</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坡坎崖</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56处，</w:t>
      </w:r>
      <w:r>
        <w:rPr>
          <w:rFonts w:ascii="Times New Roman" w:hAnsi="Times New Roman" w:eastAsia="方正仿宋_GBK" w:cs="Times New Roman"/>
          <w:sz w:val="32"/>
          <w:szCs w:val="32"/>
        </w:rPr>
        <w:t>新增绿化面积700万平方米</w:t>
      </w:r>
      <w:r>
        <w:rPr>
          <w:rFonts w:ascii="Times New Roman" w:hAnsi="Times New Roman" w:eastAsia="方正仿宋_GBK" w:cs="Times New Roman"/>
          <w:spacing w:val="6"/>
          <w:sz w:val="32"/>
          <w:szCs w:val="32"/>
        </w:rPr>
        <w:t>；</w:t>
      </w:r>
      <w:r>
        <w:rPr>
          <w:rFonts w:ascii="Times New Roman" w:hAnsi="Times New Roman" w:eastAsia="方正仿宋_GBK" w:cs="Times New Roman"/>
          <w:sz w:val="32"/>
          <w:szCs w:val="32"/>
        </w:rPr>
        <w:t>改造老旧小区、棚户区235万平方米，违法建筑整治成效明显，红岩景区展露新颜，嘉陵湾区开发提速，重庆融创文旅城建成投用，城市展现更靓颜值。</w:t>
      </w:r>
      <w:r>
        <w:rPr>
          <w:rFonts w:ascii="Times New Roman" w:hAnsi="Times New Roman" w:eastAsia="方正仿宋_GBK" w:cs="Times New Roman"/>
          <w:spacing w:val="6"/>
          <w:sz w:val="32"/>
          <w:szCs w:val="32"/>
        </w:rPr>
        <w:t>乡村振兴战略稳步推进，集体经济</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空壳村</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全面清零，建成高标准农田2.4万亩，新改建</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四好农村路</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318公里，完成7000户农村饮水安全工程，提升农房风貌2696栋，都市农业快速发展。</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pacing w:val="6"/>
          <w:sz w:val="32"/>
          <w:szCs w:val="32"/>
        </w:rPr>
        <w:t>五年来</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我们深入推进生态治理</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环境质量大幅提升</w:t>
      </w:r>
      <w:r>
        <w:rPr>
          <w:rFonts w:ascii="Times New Roman" w:hAnsi="Times New Roman" w:eastAsia="方正仿宋_GBK" w:cs="Times New Roman"/>
          <w:spacing w:val="6"/>
          <w:sz w:val="32"/>
          <w:szCs w:val="32"/>
        </w:rPr>
        <w:t>。践行绿水青山就是金山银山的理念，坚决打好污染防治攻坚战，山清水秀美丽之地加快建设。生态环保督察问题整改有力有效，整治</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散乱污</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企业3887家，拆除</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大棚房</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、违建别墅27处，完成缙云山生态搬迁152户。普查全域管网6300公里，新改建管网670公里，</w:t>
      </w:r>
      <w:r>
        <w:rPr>
          <w:rFonts w:hint="eastAsia" w:ascii="Times New Roman" w:hAnsi="Times New Roman" w:eastAsia="方正仿宋_GBK" w:cs="Times New Roman"/>
          <w:spacing w:val="6"/>
          <w:sz w:val="32"/>
          <w:szCs w:val="32"/>
          <w:lang w:eastAsia="zh-Hans"/>
        </w:rPr>
        <w:t>建成智慧管网系统</w:t>
      </w:r>
      <w:r>
        <w:rPr>
          <w:rFonts w:ascii="Times New Roman" w:hAnsi="Times New Roman" w:eastAsia="方正仿宋_GBK" w:cs="Times New Roman"/>
          <w:spacing w:val="6"/>
          <w:sz w:val="32"/>
          <w:szCs w:val="32"/>
          <w:lang w:eastAsia="zh-Hans"/>
        </w:rPr>
        <w:t>，</w:t>
      </w:r>
      <w:r>
        <w:rPr>
          <w:rFonts w:ascii="Times New Roman" w:hAnsi="Times New Roman" w:eastAsia="方正仿宋_GBK" w:cs="Times New Roman"/>
          <w:spacing w:val="6"/>
          <w:sz w:val="32"/>
          <w:szCs w:val="32"/>
        </w:rPr>
        <w:t>污水日处理能力提升一倍。严格落实河长制，全面禁止肥水养殖，治理湖库6座，全面消除黑臭水体，梁滩河水质稳定达IV类。空气质量优良天数突破300天。统筹山水林田湖草系统治理，</w:t>
      </w:r>
      <w:r>
        <w:rPr>
          <w:rFonts w:hint="eastAsia" w:ascii="Times New Roman" w:hAnsi="Times New Roman" w:eastAsia="方正仿宋_GBK" w:cs="Times New Roman"/>
          <w:spacing w:val="6"/>
          <w:sz w:val="32"/>
          <w:szCs w:val="32"/>
          <w:lang w:eastAsia="zh-Hans"/>
        </w:rPr>
        <w:t>生态</w:t>
      </w:r>
      <w:r>
        <w:rPr>
          <w:rFonts w:ascii="Times New Roman" w:hAnsi="Times New Roman" w:eastAsia="方正仿宋_GBK" w:cs="Times New Roman"/>
          <w:spacing w:val="6"/>
          <w:sz w:val="32"/>
          <w:szCs w:val="32"/>
        </w:rPr>
        <w:t>修复废弃矿坑2600亩，国土绿化4.3万亩，成功创建</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中国天然氧吧</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楷体_GBK" w:cs="Times New Roman"/>
          <w:spacing w:val="6"/>
          <w:sz w:val="32"/>
          <w:szCs w:val="32"/>
        </w:rPr>
        <w:t>五年来</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我们深入推进共建共享</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民生福祉持续增进</w:t>
      </w:r>
      <w:r>
        <w:rPr>
          <w:rFonts w:ascii="Times New Roman" w:hAnsi="Times New Roman" w:eastAsia="方正仿宋_GBK" w:cs="Times New Roman"/>
          <w:spacing w:val="6"/>
          <w:sz w:val="32"/>
          <w:szCs w:val="32"/>
        </w:rPr>
        <w:t>。坚持人民至上、生命至上，全力抓好普惠性、基础性、兜底性民生建设，群众获得感幸福感安全感不断增强。</w:t>
      </w:r>
      <w:r>
        <w:rPr>
          <w:rFonts w:ascii="Times New Roman" w:hAnsi="Times New Roman" w:eastAsia="方正仿宋_GBK" w:cs="Times New Roman"/>
          <w:sz w:val="32"/>
          <w:szCs w:val="32"/>
        </w:rPr>
        <w:t>民生支出占财政支出比重保持在80%以上，94件民生实事全面完成</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Hans"/>
        </w:rPr>
        <w:t>投入</w:t>
      </w:r>
      <w:r>
        <w:rPr>
          <w:rFonts w:hint="eastAsia" w:ascii="Times New Roman" w:hAnsi="Times New Roman" w:eastAsia="方正仿宋_GBK" w:cs="Times New Roman"/>
          <w:sz w:val="32"/>
          <w:szCs w:val="32"/>
        </w:rPr>
        <w:t>资金</w:t>
      </w:r>
      <w:r>
        <w:rPr>
          <w:rFonts w:ascii="Times New Roman" w:hAnsi="Times New Roman" w:eastAsia="方正仿宋_GBK" w:cs="Times New Roman"/>
          <w:sz w:val="32"/>
          <w:szCs w:val="32"/>
          <w:lang w:eastAsia="zh-Hans"/>
        </w:rPr>
        <w:t>60</w:t>
      </w:r>
      <w:r>
        <w:rPr>
          <w:rFonts w:hint="eastAsia" w:ascii="Times New Roman" w:hAnsi="Times New Roman" w:eastAsia="方正仿宋_GBK" w:cs="Times New Roman"/>
          <w:sz w:val="32"/>
          <w:szCs w:val="32"/>
          <w:lang w:eastAsia="zh-Hans"/>
        </w:rPr>
        <w:t>多亿元</w:t>
      </w:r>
      <w:r>
        <w:rPr>
          <w:rFonts w:ascii="Times New Roman" w:hAnsi="Times New Roman" w:eastAsia="方正仿宋_GBK" w:cs="Times New Roman"/>
          <w:sz w:val="32"/>
          <w:szCs w:val="32"/>
        </w:rPr>
        <w:t>。1830户农村建卡贫困户、1543户城市困难职工稳定脱困，</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两不愁三保障</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突出问题动态清零。新增城镇就业28万人，城乡养老、医疗保险参保率稳定在95%以上，新建社区居家养老服务设施103个。社会事业加快发展，</w:t>
      </w:r>
      <w:r>
        <w:rPr>
          <w:rFonts w:ascii="Times New Roman" w:hAnsi="Times New Roman" w:eastAsia="方正仿宋_GBK" w:cs="Times New Roman"/>
          <w:sz w:val="32"/>
          <w:szCs w:val="32"/>
        </w:rPr>
        <w:t>新建、改建中小学30所，新增公办幼儿园38所，</w:t>
      </w:r>
      <w:r>
        <w:rPr>
          <w:rFonts w:ascii="Times New Roman" w:hAnsi="Times New Roman" w:eastAsia="方正仿宋_GBK" w:cs="Times New Roman"/>
          <w:spacing w:val="6"/>
          <w:sz w:val="32"/>
          <w:szCs w:val="32"/>
        </w:rPr>
        <w:t>学前教育公办率、普惠率提升至52%、80%，高考综合改革稳步推行。深入开展全民健身行动。</w:t>
      </w:r>
      <w:r>
        <w:rPr>
          <w:rFonts w:ascii="Times New Roman" w:hAnsi="Times New Roman" w:eastAsia="方正仿宋_GBK" w:cs="Times New Roman"/>
          <w:sz w:val="32"/>
          <w:szCs w:val="32"/>
        </w:rPr>
        <w:t>区人民医院新院区基本建成，陈家桥医院、中医院、社会福利护养中心投用。面对突如其来的新冠肺炎疫情，全区上下团结一心、众志成城，以最坚决的态度、最果断的措施、最务实的作风，打好疫情防控阻击战。债务管控有力有效，</w:t>
      </w:r>
      <w:r>
        <w:rPr>
          <w:rFonts w:ascii="Times New Roman" w:hAnsi="Times New Roman" w:eastAsia="方正仿宋_GBK" w:cs="Times New Roman"/>
          <w:spacing w:val="6"/>
          <w:sz w:val="32"/>
          <w:szCs w:val="32"/>
        </w:rPr>
        <w:t>安全生产事故起数、死亡人数</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双下降</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，防范化解重大风险攻坚战及扫黑除恶专项斗争成效显著，</w:t>
      </w:r>
      <w:r>
        <w:rPr>
          <w:rFonts w:ascii="Times New Roman" w:hAnsi="Times New Roman" w:eastAsia="方正仿宋_GBK" w:cs="Times New Roman"/>
          <w:sz w:val="32"/>
          <w:szCs w:val="32"/>
        </w:rPr>
        <w:t>社会治理体系更加完善。国家卫生区、全国文明城区首创首成，全国双拥模范城实现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六连冠</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楷体_GBK" w:cs="Times New Roman"/>
          <w:spacing w:val="6"/>
          <w:sz w:val="32"/>
          <w:szCs w:val="32"/>
        </w:rPr>
        <w:t>五年来</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我们深入推进自身建设</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服务能力明显增强</w:t>
      </w:r>
      <w:r>
        <w:rPr>
          <w:rFonts w:ascii="Times New Roman" w:hAnsi="Times New Roman" w:eastAsia="方正仿宋_GBK" w:cs="Times New Roman"/>
          <w:spacing w:val="6"/>
          <w:sz w:val="32"/>
          <w:szCs w:val="32"/>
        </w:rPr>
        <w:t>。深入开展</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不忘初心、牢记使命</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主题教育和党史学习教育，隆重举行庆祝新中国成立70周年、中国共产党成立100周年系列活动，切实增强</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四个意识</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、坚定</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四个自信</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、做到</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两个维护</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政治判断力、政治领悟力、政治执行力不断提高。认真落实意识形态工作责任制，全面完成中央、市委巡视反馈问题整改，全面彻底干净肃清孙政才恶劣影响和薄熙来、王立军流毒，深刻汲取邓恢林案件教训。深入实施综合行政执法体制改革，依法开展政务公开，成功创建全市首批法治政府建设示范区，自觉接受人大法律监督和政协民主监督，共办理人大代表建议1644件、政协提案1024件，满意率（基本满意率）达100%。认真履行党风廉政建设主体责任，重拳治理征地征收、投融资、国资国企领域突出问题，风清气正的政治生态持续巩固。</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pacing w:val="6"/>
          <w:sz w:val="32"/>
          <w:szCs w:val="32"/>
        </w:rPr>
        <w:t>各位代表！刚刚过去的2021年，是</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十四五</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开局之年，是我们各项工作取得重要进展的一年。我们认真贯彻落实打好</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四张牌</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、干好</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四件事</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工作要求，在区委的坚强领导下，全区上下勠力同心、奋力拼搏，统筹推进疫情防控和经济社会发展，经济稳定恢复，发展韧性持续显现。预计2021年地区生产总值达1040亿元、增长7.5%左右，规上工业增加值增长13.5%，固定资产投资增长10%，社会消费品零售总额增长18%，全体居民人均可支配收入增长7.5%，实现了</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十四五</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良好开局。</w:t>
      </w:r>
      <w:r>
        <w:rPr>
          <w:rFonts w:ascii="Times New Roman" w:hAnsi="Times New Roman" w:eastAsia="方正楷体_GBK" w:cs="Times New Roman"/>
          <w:spacing w:val="6"/>
          <w:sz w:val="32"/>
          <w:szCs w:val="32"/>
        </w:rPr>
        <w:t>一是产业提质步伐加快</w:t>
      </w:r>
      <w:r>
        <w:rPr>
          <w:rFonts w:ascii="Times New Roman" w:hAnsi="Times New Roman" w:eastAsia="方正仿宋_GBK" w:cs="Times New Roman"/>
          <w:spacing w:val="6"/>
          <w:sz w:val="32"/>
          <w:szCs w:val="32"/>
        </w:rPr>
        <w:t>。</w:t>
      </w:r>
      <w:r>
        <w:rPr>
          <w:rFonts w:ascii="Times New Roman" w:hAnsi="Times New Roman" w:eastAsia="方正仿宋_GBK" w:cs="Times New Roman"/>
          <w:sz w:val="32"/>
          <w:szCs w:val="32"/>
        </w:rPr>
        <w:t>引进小康新能源全球研发总部等研发机构31家和奥普提科技等高新技术项目36个，誉铭精密模具等18个产业项目投产，战略性新兴产业、高新技术产业增加值分别增长6.1%、6.8%</w:t>
      </w:r>
      <w:r>
        <w:rPr>
          <w:rFonts w:ascii="Times New Roman" w:hAnsi="Times New Roman" w:eastAsia="方正仿宋_GBK" w:cs="Times New Roman"/>
          <w:spacing w:val="6"/>
          <w:sz w:val="32"/>
          <w:szCs w:val="32"/>
        </w:rPr>
        <w:t>。</w:t>
      </w:r>
      <w:r>
        <w:rPr>
          <w:rFonts w:ascii="Times New Roman" w:hAnsi="Times New Roman" w:eastAsia="方正仿宋_GBK" w:cs="Times New Roman"/>
          <w:sz w:val="32"/>
          <w:szCs w:val="32"/>
        </w:rPr>
        <w:t>三羊马物流在深交所主板上市。</w:t>
      </w:r>
      <w:r>
        <w:rPr>
          <w:rFonts w:ascii="Times New Roman" w:hAnsi="Times New Roman" w:eastAsia="方正楷体_GBK" w:cs="Times New Roman"/>
          <w:spacing w:val="6"/>
          <w:sz w:val="32"/>
          <w:szCs w:val="32"/>
        </w:rPr>
        <w:t>二是对外开放成效明显</w:t>
      </w:r>
      <w:r>
        <w:rPr>
          <w:rFonts w:ascii="Times New Roman" w:hAnsi="Times New Roman" w:eastAsia="方正仿宋_GBK" w:cs="Times New Roman"/>
          <w:spacing w:val="6"/>
          <w:sz w:val="32"/>
          <w:szCs w:val="32"/>
        </w:rPr>
        <w:t>。</w:t>
      </w:r>
      <w:r>
        <w:rPr>
          <w:rFonts w:ascii="Times New Roman" w:hAnsi="Times New Roman" w:eastAsia="方正仿宋_GBK" w:cs="Times New Roman"/>
          <w:sz w:val="32"/>
          <w:szCs w:val="32"/>
        </w:rPr>
        <w:t>开行中欧班列成渝号，陆海新通道中老铁路（成渝—万象）国际货运班列通车，开行国际班列4200班、增长16%，货值1100亿元。进出口贸易额增长13%。整车进口6700辆，居全国内陆口岸第一。铁路货物</w:t>
      </w:r>
      <w:r>
        <w:rPr>
          <w:rFonts w:hint="eastAsia" w:ascii="Times New Roman" w:hAnsi="Times New Roman" w:eastAsia="方正仿宋_GBK" w:cs="Times New Roman"/>
          <w:sz w:val="32"/>
          <w:szCs w:val="32"/>
          <w:lang w:eastAsia="zh-Hans"/>
        </w:rPr>
        <w:t>提单</w:t>
      </w:r>
      <w:r>
        <w:rPr>
          <w:rFonts w:ascii="Times New Roman" w:hAnsi="Times New Roman" w:eastAsia="方正仿宋_GBK" w:cs="Times New Roman"/>
          <w:sz w:val="32"/>
          <w:szCs w:val="32"/>
        </w:rPr>
        <w:t>凭证改革经验全国推广。保障中国—东盟特别外长会议顺利在区召开。</w:t>
      </w:r>
      <w:r>
        <w:rPr>
          <w:rFonts w:ascii="Times New Roman" w:hAnsi="Times New Roman" w:eastAsia="方正楷体_GBK" w:cs="Times New Roman"/>
          <w:spacing w:val="6"/>
          <w:sz w:val="32"/>
          <w:szCs w:val="32"/>
        </w:rPr>
        <w:t>三是有效投资持续发力</w:t>
      </w:r>
      <w:r>
        <w:rPr>
          <w:rFonts w:ascii="Times New Roman" w:hAnsi="Times New Roman" w:eastAsia="方正仿宋_GBK" w:cs="Times New Roman"/>
          <w:spacing w:val="6"/>
          <w:sz w:val="32"/>
          <w:szCs w:val="32"/>
        </w:rPr>
        <w:t>。</w:t>
      </w:r>
      <w:r>
        <w:rPr>
          <w:rFonts w:ascii="Times New Roman" w:hAnsi="Times New Roman" w:eastAsia="方正仿宋_GBK" w:cs="Times New Roman"/>
          <w:sz w:val="32"/>
          <w:szCs w:val="32"/>
        </w:rPr>
        <w:t>坚持重点项目集中调度，105个重点项目完成投资406亿元，占年度固投的74%，中井路、二横线等21条33公里道路通车。签约招商项目157个，到位资金146亿元，开工率达83%。</w:t>
      </w:r>
      <w:r>
        <w:rPr>
          <w:rFonts w:ascii="Times New Roman" w:hAnsi="Times New Roman" w:eastAsia="方正楷体_GBK" w:cs="Times New Roman"/>
          <w:spacing w:val="6"/>
          <w:sz w:val="32"/>
          <w:szCs w:val="32"/>
        </w:rPr>
        <w:t>四是重点领域改革扎实推进</w:t>
      </w:r>
      <w:r>
        <w:rPr>
          <w:rFonts w:ascii="Times New Roman" w:hAnsi="Times New Roman" w:eastAsia="方正仿宋_GBK" w:cs="Times New Roman"/>
          <w:bCs/>
          <w:spacing w:val="6"/>
          <w:sz w:val="32"/>
          <w:szCs w:val="32"/>
        </w:rPr>
        <w:t>。</w:t>
      </w:r>
      <w:r>
        <w:rPr>
          <w:rFonts w:ascii="Times New Roman" w:hAnsi="Times New Roman" w:eastAsia="方正仿宋_GBK" w:cs="Times New Roman"/>
          <w:sz w:val="32"/>
          <w:szCs w:val="32"/>
        </w:rPr>
        <w:t>深化国企改革，完成2家企业产权结构改革，实现国有资本收益2.3亿元，党政机关和事业单位所属企业集中统一监管。行政审批时限压缩87.1%，营商环境更加优化。</w:t>
      </w:r>
      <w:r>
        <w:rPr>
          <w:rFonts w:ascii="Times New Roman" w:hAnsi="Times New Roman" w:eastAsia="方正楷体_GBK" w:cs="Times New Roman"/>
          <w:spacing w:val="6"/>
          <w:sz w:val="32"/>
          <w:szCs w:val="32"/>
        </w:rPr>
        <w:t>五是城市品质持续提升</w:t>
      </w:r>
      <w:r>
        <w:rPr>
          <w:rFonts w:ascii="Times New Roman" w:hAnsi="Times New Roman" w:eastAsia="方正仿宋_GBK" w:cs="Times New Roman"/>
          <w:bCs/>
          <w:spacing w:val="6"/>
          <w:sz w:val="32"/>
          <w:szCs w:val="32"/>
        </w:rPr>
        <w:t>。</w:t>
      </w:r>
      <w:r>
        <w:rPr>
          <w:rFonts w:ascii="Times New Roman" w:hAnsi="Times New Roman" w:eastAsia="方正仿宋_GBK" w:cs="Times New Roman"/>
          <w:sz w:val="32"/>
          <w:szCs w:val="32"/>
        </w:rPr>
        <w:t>加快城市有机更新，完成城市征收25万平方米，改造老旧小区130万平方米，拆除违法建筑200万平方米，新增绿化面积120万平方米。</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两江四岸</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清水绿岸</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加快治理，建成</w:t>
      </w:r>
      <w:r>
        <w:rPr>
          <w:rFonts w:ascii="Times New Roman" w:hAnsi="Times New Roman" w:eastAsia="方正仿宋_GBK" w:cs="Times New Roman"/>
          <w:sz w:val="32"/>
          <w:szCs w:val="32"/>
        </w:rPr>
        <w:t>磁器口游客服务中心、青瓷坊，磁器口古镇展现更高颜值。</w:t>
      </w:r>
      <w:r>
        <w:rPr>
          <w:rFonts w:ascii="Times New Roman" w:hAnsi="Times New Roman" w:eastAsia="方正楷体_GBK" w:cs="Times New Roman"/>
          <w:spacing w:val="6"/>
          <w:sz w:val="32"/>
          <w:szCs w:val="32"/>
        </w:rPr>
        <w:t>六是乡村振兴全面推进</w:t>
      </w:r>
      <w:r>
        <w:rPr>
          <w:rFonts w:ascii="Times New Roman" w:hAnsi="Times New Roman" w:eastAsia="方正仿宋_GBK" w:cs="Times New Roman"/>
          <w:spacing w:val="6"/>
          <w:sz w:val="32"/>
          <w:szCs w:val="32"/>
        </w:rPr>
        <w:t>。</w:t>
      </w:r>
      <w:r>
        <w:rPr>
          <w:rFonts w:ascii="Times New Roman" w:hAnsi="Times New Roman" w:eastAsia="方正仿宋_GBK" w:cs="Times New Roman"/>
          <w:sz w:val="32"/>
          <w:szCs w:val="32"/>
        </w:rPr>
        <w:t>大力实施农村人居环境整治，打造丰文三河村等乡村振兴示范片，开展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一化两改三不见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行动，改造农房1098栋，栽种花卉果木15.7万平方米，提档升级颐麓欢歌等产业项目20个。</w:t>
      </w:r>
      <w:r>
        <w:rPr>
          <w:rFonts w:ascii="Times New Roman" w:hAnsi="Times New Roman" w:eastAsia="方正楷体_GBK" w:cs="Times New Roman"/>
          <w:spacing w:val="6"/>
          <w:sz w:val="32"/>
          <w:szCs w:val="32"/>
        </w:rPr>
        <w:t>七是社会民生持续改善</w:t>
      </w:r>
      <w:r>
        <w:rPr>
          <w:rFonts w:ascii="Times New Roman" w:hAnsi="Times New Roman" w:eastAsia="方正仿宋_GBK" w:cs="Times New Roman"/>
          <w:spacing w:val="6"/>
          <w:sz w:val="32"/>
          <w:szCs w:val="32"/>
        </w:rPr>
        <w:t>。</w:t>
      </w:r>
      <w:r>
        <w:rPr>
          <w:rFonts w:ascii="Times New Roman" w:hAnsi="Times New Roman" w:eastAsia="方正仿宋_GBK" w:cs="Times New Roman"/>
          <w:sz w:val="32"/>
          <w:szCs w:val="32"/>
        </w:rPr>
        <w:t>推动居民就业增收，新增就业3.5万人。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公参民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学校治理、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双减</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政策平稳落地，建成投用中小学、幼儿园7所。区疾控中心、妇幼</w:t>
      </w:r>
      <w:r>
        <w:rPr>
          <w:rFonts w:ascii="Times New Roman" w:hAnsi="Times New Roman" w:eastAsia="方正仿宋_GBK" w:cs="Times New Roman"/>
          <w:spacing w:val="-2"/>
          <w:sz w:val="32"/>
          <w:szCs w:val="32"/>
        </w:rPr>
        <w:t>保健院和文化宣教中心开工建设。大型红色舞台剧《重庆</w:t>
      </w:r>
      <w:r>
        <w:rPr>
          <w:rFonts w:hint="eastAsia" w:ascii="方正仿宋_GBK" w:hAnsi="方正仿宋_GBK" w:eastAsia="方正仿宋_GBK" w:cs="方正仿宋_GBK"/>
          <w:kern w:val="32"/>
          <w:sz w:val="32"/>
          <w:szCs w:val="32"/>
        </w:rPr>
        <w:t>·</w:t>
      </w:r>
      <w:r>
        <w:rPr>
          <w:rFonts w:ascii="Times New Roman" w:hAnsi="Times New Roman" w:eastAsia="方正仿宋_GBK" w:cs="Times New Roman"/>
          <w:spacing w:val="-8"/>
          <w:sz w:val="32"/>
          <w:szCs w:val="32"/>
        </w:rPr>
        <w:t>1949》、</w:t>
      </w:r>
      <w:r>
        <w:rPr>
          <w:rFonts w:ascii="Times New Roman" w:hAnsi="Times New Roman" w:eastAsia="方正仿宋_GBK" w:cs="Times New Roman"/>
          <w:sz w:val="32"/>
          <w:szCs w:val="32"/>
        </w:rPr>
        <w:t>舞蹈诗《红岩红》开演。获市六运会奖牌、总分双第一。</w:t>
      </w:r>
      <w:r>
        <w:rPr>
          <w:rFonts w:ascii="Times New Roman" w:hAnsi="Times New Roman" w:eastAsia="方正楷体_GBK" w:cs="Times New Roman"/>
          <w:spacing w:val="6"/>
          <w:sz w:val="32"/>
          <w:szCs w:val="32"/>
        </w:rPr>
        <w:t>八是社会大局和谐稳定</w:t>
      </w:r>
      <w:r>
        <w:rPr>
          <w:rFonts w:ascii="Times New Roman" w:hAnsi="Times New Roman" w:eastAsia="方正仿宋_GBK" w:cs="Times New Roman"/>
          <w:spacing w:val="6"/>
          <w:sz w:val="32"/>
          <w:szCs w:val="32"/>
        </w:rPr>
        <w:t>。</w:t>
      </w:r>
      <w:r>
        <w:rPr>
          <w:rFonts w:ascii="Times New Roman" w:hAnsi="Times New Roman" w:eastAsia="方正仿宋_GBK" w:cs="Times New Roman"/>
          <w:sz w:val="32"/>
          <w:szCs w:val="32"/>
        </w:rPr>
        <w:t>扎实开展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十项全面清理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，化解存量债务140亿元，债务风险总体可控。实施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党建扎桩、治理结网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工程，深入开展安全稳定风险大排查大起底大整治大调处专项行动，未发生较大以上生产安全事故。荣获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平安中国建设示范区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spacing w:val="6"/>
          <w:sz w:val="32"/>
          <w:szCs w:val="32"/>
        </w:rPr>
        <w:t>此外，</w:t>
      </w:r>
      <w:r>
        <w:rPr>
          <w:rFonts w:hint="eastAsia" w:ascii="Times New Roman" w:hAnsi="Times New Roman" w:eastAsia="方正仿宋_GBK" w:cs="Times New Roman"/>
          <w:spacing w:val="6"/>
          <w:sz w:val="32"/>
          <w:szCs w:val="32"/>
          <w:lang w:eastAsia="zh-Hans"/>
        </w:rPr>
        <w:t>审计</w:t>
      </w:r>
      <w:r>
        <w:rPr>
          <w:rFonts w:ascii="Times New Roman" w:hAnsi="Times New Roman" w:eastAsia="方正仿宋_GBK" w:cs="Times New Roman"/>
          <w:spacing w:val="6"/>
          <w:sz w:val="32"/>
          <w:szCs w:val="32"/>
          <w:lang w:eastAsia="zh-Hans"/>
        </w:rPr>
        <w:t>、</w:t>
      </w:r>
      <w:r>
        <w:rPr>
          <w:rFonts w:ascii="Times New Roman" w:hAnsi="Times New Roman" w:eastAsia="方正仿宋_GBK" w:cs="Times New Roman"/>
          <w:spacing w:val="6"/>
          <w:sz w:val="32"/>
          <w:szCs w:val="32"/>
        </w:rPr>
        <w:t>工会、</w:t>
      </w:r>
      <w:r>
        <w:rPr>
          <w:rFonts w:hint="eastAsia" w:ascii="Times New Roman" w:hAnsi="Times New Roman" w:eastAsia="方正仿宋_GBK" w:cs="Times New Roman"/>
          <w:spacing w:val="6"/>
          <w:sz w:val="32"/>
          <w:szCs w:val="32"/>
        </w:rPr>
        <w:t>青年、</w:t>
      </w:r>
      <w:r>
        <w:rPr>
          <w:rFonts w:ascii="Times New Roman" w:hAnsi="Times New Roman" w:eastAsia="方正仿宋_GBK" w:cs="Times New Roman"/>
          <w:spacing w:val="6"/>
          <w:sz w:val="32"/>
          <w:szCs w:val="32"/>
        </w:rPr>
        <w:t>妇女儿童、老龄、民族、宗教、民防、保密、台侨、档案、地方志、供销、征兵、残疾人、红十字、</w:t>
      </w:r>
      <w:r>
        <w:rPr>
          <w:rFonts w:hint="eastAsia" w:ascii="Times New Roman" w:hAnsi="Times New Roman" w:eastAsia="方正仿宋_GBK" w:cs="Times New Roman"/>
          <w:spacing w:val="6"/>
          <w:sz w:val="32"/>
          <w:szCs w:val="32"/>
          <w:lang w:eastAsia="zh-Hans"/>
        </w:rPr>
        <w:t>工商联</w:t>
      </w:r>
      <w:r>
        <w:rPr>
          <w:rFonts w:ascii="Times New Roman" w:hAnsi="Times New Roman" w:eastAsia="方正仿宋_GBK" w:cs="Times New Roman"/>
          <w:spacing w:val="6"/>
          <w:sz w:val="32"/>
          <w:szCs w:val="32"/>
          <w:lang w:eastAsia="zh-Hans"/>
        </w:rPr>
        <w:t>、</w:t>
      </w:r>
      <w:r>
        <w:rPr>
          <w:rFonts w:ascii="Times New Roman" w:hAnsi="Times New Roman" w:eastAsia="方正仿宋_GBK" w:cs="Times New Roman"/>
          <w:spacing w:val="6"/>
          <w:sz w:val="32"/>
          <w:szCs w:val="32"/>
        </w:rPr>
        <w:t>对口支援等工作取得新成绩。</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spacing w:val="6"/>
          <w:sz w:val="32"/>
          <w:szCs w:val="32"/>
        </w:rPr>
        <w:t>各位代表！五年拼搏竞进，信心愈发坚定。特别是，我们克服了交织叠加的外部挑战，顶住了经济下行的压力，战胜了新冠</w:t>
      </w:r>
      <w:r>
        <w:rPr>
          <w:rFonts w:hint="eastAsia" w:ascii="Times New Roman" w:hAnsi="Times New Roman" w:eastAsia="方正仿宋_GBK" w:cs="Times New Roman"/>
          <w:spacing w:val="6"/>
          <w:sz w:val="32"/>
          <w:szCs w:val="32"/>
          <w:lang w:eastAsia="zh-CN"/>
        </w:rPr>
        <w:t>肺炎</w:t>
      </w:r>
      <w:r>
        <w:rPr>
          <w:rFonts w:ascii="Times New Roman" w:hAnsi="Times New Roman" w:eastAsia="方正仿宋_GBK" w:cs="Times New Roman"/>
          <w:spacing w:val="6"/>
          <w:sz w:val="32"/>
          <w:szCs w:val="32"/>
        </w:rPr>
        <w:t>疫情的冲击，成功应对了特大洪水的考验，守住了不发生重大风险的底线，解决了一批难事，办好了一批实事。这些成绩的取得，得益于习近平新时代中国特色社会主义思想的科学指引，得益于市委、市政府和区委的坚强领导，得益于区人大的有力监督和区政协的鼎力支持，得益于全区人民的团结奋进。在此，我代表区政府，向全区人民，向全体人大代表和政协委员，向各民主党派、工商联、人民团体和无党派人士，向驻区部队、武警官兵和公安干警，向所有关心支持沙坪坝发展建设的各界人士，表示衷心的感谢并致以崇高的敬意！</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黑体_GBK" w:cs="Times New Roman"/>
          <w:spacing w:val="6"/>
          <w:sz w:val="32"/>
          <w:szCs w:val="32"/>
        </w:rPr>
      </w:pPr>
      <w:r>
        <w:rPr>
          <w:rFonts w:ascii="Times New Roman" w:hAnsi="Times New Roman" w:eastAsia="方正仿宋_GBK" w:cs="Times New Roman"/>
          <w:spacing w:val="6"/>
          <w:sz w:val="32"/>
          <w:szCs w:val="32"/>
        </w:rPr>
        <w:t>五年砥砺前行，经验弥足珍贵。回顾走过的路，我们深深体会到，做好政府工作，</w:t>
      </w:r>
      <w:r>
        <w:rPr>
          <w:rFonts w:ascii="Times New Roman" w:hAnsi="Times New Roman" w:eastAsia="方正黑体_GBK" w:cs="Times New Roman"/>
          <w:spacing w:val="6"/>
          <w:sz w:val="32"/>
          <w:szCs w:val="32"/>
        </w:rPr>
        <w:t>必须始终坚持正确的政治方向</w:t>
      </w:r>
      <w:r>
        <w:rPr>
          <w:rFonts w:ascii="Times New Roman" w:hAnsi="Times New Roman" w:eastAsia="方正仿宋_GBK" w:cs="Times New Roman"/>
          <w:spacing w:val="6"/>
          <w:sz w:val="32"/>
          <w:szCs w:val="32"/>
        </w:rPr>
        <w:t>，坚持政治领航，一切工作都要从习近平新时代中国特色社会主义思想中找遵循、找依据、找方位、找方法，坚决做到</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两个维护</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，牢记</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国之大者</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，确保各项工作始终沿着习近平总书记指引的正确方向胜利前行。</w:t>
      </w:r>
      <w:r>
        <w:rPr>
          <w:rFonts w:ascii="Times New Roman" w:hAnsi="Times New Roman" w:eastAsia="方正黑体_GBK" w:cs="Times New Roman"/>
          <w:spacing w:val="6"/>
          <w:sz w:val="32"/>
          <w:szCs w:val="32"/>
        </w:rPr>
        <w:t>必须沉心静气务实推进高质量发展</w:t>
      </w:r>
      <w:r>
        <w:rPr>
          <w:rFonts w:ascii="Times New Roman" w:hAnsi="Times New Roman" w:eastAsia="方正仿宋_GBK" w:cs="Times New Roman"/>
          <w:spacing w:val="6"/>
          <w:sz w:val="32"/>
          <w:szCs w:val="32"/>
        </w:rPr>
        <w:t>，坚持把发展作为第一要务，全面贯彻新发展理念，保持战略定力，用创新增动力、用改革添活力、用开放挖潜力，心无旁骛加快高质量发展，以一地一域精彩为全局全域添彩。</w:t>
      </w:r>
      <w:r>
        <w:rPr>
          <w:rFonts w:ascii="Times New Roman" w:hAnsi="Times New Roman" w:eastAsia="方正黑体_GBK" w:cs="Times New Roman"/>
          <w:spacing w:val="6"/>
          <w:sz w:val="32"/>
          <w:szCs w:val="32"/>
        </w:rPr>
        <w:t>必须坚守勤政为民初心使命不动摇</w:t>
      </w:r>
      <w:r>
        <w:rPr>
          <w:rFonts w:ascii="Times New Roman" w:hAnsi="Times New Roman" w:eastAsia="方正仿宋_GBK" w:cs="Times New Roman"/>
          <w:spacing w:val="6"/>
          <w:sz w:val="32"/>
          <w:szCs w:val="32"/>
        </w:rPr>
        <w:t>，坚持为民情怀，把</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一切依靠人民、一切为了人民</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贯穿工作全过程，夙夜在公、殚精竭虑，倾力办好群众</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急难愁盼</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事项，凝心聚力创造高品质生活，汇聚起共谋发展的强大合力。</w:t>
      </w:r>
      <w:r>
        <w:rPr>
          <w:rFonts w:ascii="Times New Roman" w:hAnsi="Times New Roman" w:eastAsia="方正黑体_GBK" w:cs="Times New Roman"/>
          <w:spacing w:val="6"/>
          <w:sz w:val="32"/>
          <w:szCs w:val="32"/>
        </w:rPr>
        <w:t>必须大力弘扬求真务实工作作风</w:t>
      </w:r>
      <w:r>
        <w:rPr>
          <w:rFonts w:ascii="Times New Roman" w:hAnsi="Times New Roman" w:eastAsia="方正仿宋_GBK" w:cs="Times New Roman"/>
          <w:spacing w:val="6"/>
          <w:sz w:val="32"/>
          <w:szCs w:val="32"/>
        </w:rPr>
        <w:t>，坚持</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说了就算、定下就干、干就干好</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，一以贯之抓落实、一张蓝图干到底，力戒形式主义、官僚主义，让实干实效成为干事创业的鲜明标识。</w:t>
      </w:r>
    </w:p>
    <w:p>
      <w:pPr>
        <w:keepNext w:val="0"/>
        <w:keepLines w:val="0"/>
        <w:pageBreakBefore w:val="0"/>
        <w:widowControl w:val="0"/>
        <w:kinsoku/>
        <w:wordWrap/>
        <w:overflowPunct/>
        <w:topLinePunct w:val="0"/>
        <w:bidi w:val="0"/>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我们也清醒地认识到，我区经济社会发展仍面临一些突出问题：创新开放资源优势变现不足，</w:t>
      </w:r>
      <w:r>
        <w:rPr>
          <w:rFonts w:hint="eastAsia" w:ascii="Times New Roman" w:hAnsi="Times New Roman" w:eastAsia="方正仿宋_GBK" w:cs="Times New Roman"/>
          <w:sz w:val="32"/>
          <w:szCs w:val="32"/>
          <w:lang w:eastAsia="zh-Hans"/>
        </w:rPr>
        <w:t>借力高校科技研发优势助推经济发展还有差距</w:t>
      </w:r>
      <w:r>
        <w:rPr>
          <w:rFonts w:ascii="Times New Roman" w:hAnsi="Times New Roman" w:eastAsia="方正仿宋_GBK" w:cs="Times New Roman"/>
          <w:sz w:val="32"/>
          <w:szCs w:val="32"/>
          <w:lang w:eastAsia="zh-Hans"/>
        </w:rPr>
        <w:t>，</w:t>
      </w:r>
      <w:r>
        <w:rPr>
          <w:rFonts w:ascii="Times New Roman" w:hAnsi="Times New Roman" w:eastAsia="方正仿宋_GBK" w:cs="Times New Roman"/>
          <w:sz w:val="32"/>
          <w:szCs w:val="32"/>
        </w:rPr>
        <w:t>实体经济较为薄弱，产业能级不高，基础设施和公共服务供给仍有不少短板，</w:t>
      </w:r>
      <w:r>
        <w:rPr>
          <w:rFonts w:hint="eastAsia" w:ascii="Times New Roman" w:hAnsi="Times New Roman" w:eastAsia="方正仿宋_GBK" w:cs="Times New Roman"/>
          <w:sz w:val="32"/>
          <w:szCs w:val="32"/>
          <w:lang w:eastAsia="zh-Hans"/>
        </w:rPr>
        <w:t>税收</w:t>
      </w:r>
      <w:r>
        <w:rPr>
          <w:rFonts w:ascii="Times New Roman" w:hAnsi="Times New Roman" w:eastAsia="方正仿宋_GBK" w:cs="Times New Roman"/>
          <w:sz w:val="32"/>
          <w:szCs w:val="32"/>
        </w:rPr>
        <w:t>收入结构不优，债务风险依然较高，少数干部能力素质还不能完全适应新时代发展要求，等等。对此，我们一定高度重视，直面问题，认真加以解决。</w:t>
      </w:r>
    </w:p>
    <w:p>
      <w:pPr>
        <w:keepNext w:val="0"/>
        <w:keepLines w:val="0"/>
        <w:pageBreakBefore w:val="0"/>
        <w:widowControl w:val="0"/>
        <w:kinsoku/>
        <w:wordWrap/>
        <w:overflowPunct/>
        <w:topLinePunct w:val="0"/>
        <w:autoSpaceDE/>
        <w:autoSpaceDN/>
        <w:bidi w:val="0"/>
        <w:adjustRightInd/>
        <w:snapToGrid/>
        <w:spacing w:before="415" w:beforeLines="70" w:after="415" w:afterLines="70" w:line="570" w:lineRule="exact"/>
        <w:jc w:val="center"/>
        <w:textAlignment w:val="auto"/>
        <w:rPr>
          <w:rFonts w:ascii="Times New Roman" w:hAnsi="Times New Roman" w:eastAsia="方正黑体_GBK" w:cs="Times New Roman"/>
          <w:sz w:val="36"/>
          <w:szCs w:val="36"/>
        </w:rPr>
      </w:pPr>
      <w:r>
        <w:rPr>
          <w:rFonts w:ascii="Times New Roman" w:hAnsi="Times New Roman" w:eastAsia="方正黑体_GBK" w:cs="Times New Roman"/>
          <w:sz w:val="36"/>
          <w:szCs w:val="36"/>
        </w:rPr>
        <w:t>今后五年工作的指导思想和奋斗目标</w:t>
      </w:r>
    </w:p>
    <w:p>
      <w:pPr>
        <w:keepNext w:val="0"/>
        <w:keepLines w:val="0"/>
        <w:pageBreakBefore w:val="0"/>
        <w:widowControl w:val="0"/>
        <w:kinsoku/>
        <w:wordWrap/>
        <w:overflowPunct/>
        <w:topLinePunct w:val="0"/>
        <w:bidi w:val="0"/>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今后五年，是沙坪坝全面开启建设社会主义现代化新征程的首个五年，是站在新起点、推动高质量发展的关键五年。中国共产党重庆市沙坪坝区第十三次代表大会为今后五年发展描绘了美好蓝图，我们要满怀信心、铆足干劲，以坐不住、等不起、慢不得的责任感和紧迫感，加速推进质量变革、效率变革、动力变革，全力推动创新资源、口岸优势加速变现，形成</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潮涌嘉陵、风动歌乐</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发展新态势，努力在社会主义现代化建设新征程中跑出高质量发展加速度。</w:t>
      </w:r>
    </w:p>
    <w:p>
      <w:pPr>
        <w:keepNext w:val="0"/>
        <w:keepLines w:val="0"/>
        <w:pageBreakBefore w:val="0"/>
        <w:widowControl w:val="0"/>
        <w:kinsoku/>
        <w:wordWrap/>
        <w:overflowPunct/>
        <w:topLinePunct w:val="0"/>
        <w:bidi w:val="0"/>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今后五年工作的指导思想是</w:t>
      </w:r>
      <w:r>
        <w:rPr>
          <w:rFonts w:ascii="Times New Roman" w:hAnsi="Times New Roman" w:eastAsia="方正仿宋_GBK" w:cs="Times New Roman"/>
          <w:sz w:val="32"/>
          <w:szCs w:val="32"/>
        </w:rPr>
        <w:t>：高举中国特色社会主义伟大旗帜，坚持以马克思列宁主义、毛泽东思想、邓小平理论、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三个代表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重要思想、科学发展观、习近平新时代中国特色社会主义思想为指导，坚持党的基本理论、基本路线、基本方略，全面贯彻党的十九大和十九届二中、三中、四中、五中、六中全会精神，全面落实习近平总书记对重庆提出的系列重要指示要求，在党中央和市委、区委坚强领导下，弘扬伟大红岩精神，统筹推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五位一体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总体布局，协调推进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四个全面</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战略布局，把握新发展阶段、贯彻新发展理念、融入新发展格局、推动高质量发展，坚持以人民为中心，统筹全局与一域，统筹当下与长远，统筹发展与安全，稳中求进、危中突围，知重负重、落地落实，团结一心、意气风发推动沙坪坝图新图变图强，全力打造创新驱动示范区、开放引领示范区、文化传承示范区、人民城市示范区，奋力谱写社会主义现代化建设沙坪坝崭新篇章。</w:t>
      </w:r>
    </w:p>
    <w:p>
      <w:pPr>
        <w:keepNext w:val="0"/>
        <w:keepLines w:val="0"/>
        <w:pageBreakBefore w:val="0"/>
        <w:widowControl w:val="0"/>
        <w:shd w:val="clear" w:color="auto" w:fill="FFFFFF"/>
        <w:kinsoku/>
        <w:wordWrap/>
        <w:overflowPunct/>
        <w:topLinePunct w:val="0"/>
        <w:autoSpaceDE w:val="0"/>
        <w:bidi w:val="0"/>
        <w:adjustRightInd w:val="0"/>
        <w:snapToGrid w:val="0"/>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今后五年工作的奋斗目标是</w:t>
      </w:r>
      <w:r>
        <w:rPr>
          <w:rFonts w:ascii="Times New Roman" w:hAnsi="Times New Roman" w:eastAsia="方正仿宋_GBK" w:cs="Times New Roman"/>
          <w:sz w:val="32"/>
          <w:szCs w:val="32"/>
        </w:rPr>
        <w:t>：全面融入共建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一带一路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，抢抓成渝地区双城经济圈、</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一区两群</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协同发展等重大战略机遇，攻坚克难、锐意进取，合力奏响沙坪坝图新图变图强的豪迈乐章。以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四区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建设为载体，全面完成</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发展规划目标，现代产业体系加快构建，区域影响力、辐射力和带动力显著增强。</w:t>
      </w:r>
    </w:p>
    <w:p>
      <w:pPr>
        <w:keepNext w:val="0"/>
        <w:keepLines w:val="0"/>
        <w:pageBreakBefore w:val="0"/>
        <w:widowControl w:val="0"/>
        <w:kinsoku/>
        <w:wordWrap/>
        <w:overflowPunct/>
        <w:topLinePunct w:val="0"/>
        <w:bidi w:val="0"/>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——高质量发展实现重大突破</w:t>
      </w:r>
      <w:r>
        <w:rPr>
          <w:rFonts w:ascii="Times New Roman" w:hAnsi="Times New Roman" w:eastAsia="方正仿宋_GBK" w:cs="Times New Roman"/>
          <w:sz w:val="32"/>
          <w:szCs w:val="32"/>
        </w:rPr>
        <w:t>。在质量效益明显提升的基础上实现经济持续健康发展，全区GDP突破1400亿元，先进制造业核心支撑作用显著增强，数字经济增加值占工业增加值比重提高至90%以上，现代服务业水平大幅提升。西部（重庆）科学城建设成效显著，环大学创新生态圈产值超60亿元，全社会研发投入强度突破4%，创新链、产业链、价值链深度融合，成为中国西部创新之城。</w:t>
      </w:r>
    </w:p>
    <w:p>
      <w:pPr>
        <w:keepNext w:val="0"/>
        <w:keepLines w:val="0"/>
        <w:pageBreakBefore w:val="0"/>
        <w:widowControl w:val="0"/>
        <w:kinsoku/>
        <w:wordWrap/>
        <w:overflowPunct/>
        <w:topLinePunct w:val="0"/>
        <w:bidi w:val="0"/>
        <w:spacing w:line="570" w:lineRule="exact"/>
        <w:ind w:firstLine="632" w:firstLineChars="200"/>
        <w:textAlignment w:val="auto"/>
        <w:rPr>
          <w:rFonts w:ascii="Times New Roman" w:hAnsi="Times New Roman" w:eastAsia="方正仿宋_GBK" w:cs="Times New Roman"/>
          <w:strike/>
          <w:sz w:val="32"/>
          <w:szCs w:val="32"/>
        </w:rPr>
      </w:pPr>
      <w:r>
        <w:rPr>
          <w:rFonts w:ascii="Times New Roman" w:hAnsi="Times New Roman" w:eastAsia="方正楷体_GBK" w:cs="Times New Roman"/>
          <w:sz w:val="32"/>
          <w:szCs w:val="32"/>
        </w:rPr>
        <w:t>——改革开放活力充分释放</w:t>
      </w:r>
      <w:r>
        <w:rPr>
          <w:rFonts w:ascii="Times New Roman" w:hAnsi="Times New Roman" w:eastAsia="方正仿宋_GBK" w:cs="Times New Roman"/>
          <w:sz w:val="32"/>
          <w:szCs w:val="32"/>
        </w:rPr>
        <w:t>。陆港型国家物流枢纽基本建成，大通道、大口岸、大平台、大物流格局基本形成，国际物流城</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升级版</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得重大进展，进出口总额突破4000亿元，现代物流产业成为主导产业。营商环境不断改善，市场主体更加充满活力，开放体制机制更加优化，对外合作交流更加紧密，招商引资引智成效显著，开放型经济地位更加凸显，成为国际消费中心、国际交往中心重要支撑。</w:t>
      </w:r>
    </w:p>
    <w:p>
      <w:pPr>
        <w:keepNext w:val="0"/>
        <w:keepLines w:val="0"/>
        <w:pageBreakBefore w:val="0"/>
        <w:widowControl w:val="0"/>
        <w:kinsoku/>
        <w:wordWrap/>
        <w:overflowPunct/>
        <w:topLinePunct w:val="0"/>
        <w:bidi w:val="0"/>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——社会文明程度明显提高</w:t>
      </w:r>
      <w:r>
        <w:rPr>
          <w:rFonts w:ascii="Times New Roman" w:hAnsi="Times New Roman" w:eastAsia="方正仿宋_GBK" w:cs="Times New Roman"/>
          <w:sz w:val="32"/>
          <w:szCs w:val="32"/>
        </w:rPr>
        <w:t>。社会主义核心价值观深入人心，红岩品牌持续擦亮，人民群众思想道德素质、科学文化素质和身心健康素质明显提高，公共文化服务体系和文化产业体系更加健全，精品力作推陈出新，人民群众精神文化生活日益丰富。深入推进文旅融合发展，历史文化保护传承利用进一步加强，成功创建歌乐山</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磁器口国家5A级景区，年旅游综合收入达200亿元以上，城市文化影响力不断增强。</w:t>
      </w:r>
    </w:p>
    <w:p>
      <w:pPr>
        <w:keepNext w:val="0"/>
        <w:keepLines w:val="0"/>
        <w:pageBreakBefore w:val="0"/>
        <w:widowControl w:val="0"/>
        <w:kinsoku/>
        <w:wordWrap/>
        <w:overflowPunct/>
        <w:topLinePunct w:val="0"/>
        <w:bidi w:val="0"/>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——城乡融合发展全面推进</w:t>
      </w:r>
      <w:r>
        <w:rPr>
          <w:rFonts w:ascii="Times New Roman" w:hAnsi="Times New Roman" w:eastAsia="方正仿宋_GBK" w:cs="Times New Roman"/>
          <w:sz w:val="32"/>
          <w:szCs w:val="32"/>
        </w:rPr>
        <w:t>。城市品质大幅提升，乡村振兴战略深入实施。东部城区综合服务功能更加完善，西部新城要素集聚能力全面提升，中部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诗意田园</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全面建成。生态环境质量明显改善，生产生活方式加快绿色转型，碳达峰碳中和各项工作扎实推进，主要污染物排放总量持续减少，水环境质量稳定达标，人均公园绿地面积达10平方米，空气质量优良天数达321天，努力实现城市让生活更美好、乡村让人们更向往。</w:t>
      </w:r>
    </w:p>
    <w:p>
      <w:pPr>
        <w:keepNext w:val="0"/>
        <w:keepLines w:val="0"/>
        <w:pageBreakBefore w:val="0"/>
        <w:widowControl w:val="0"/>
        <w:kinsoku/>
        <w:wordWrap/>
        <w:overflowPunct/>
        <w:topLinePunct w:val="0"/>
        <w:bidi w:val="0"/>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——高品质生活实现长足进步</w:t>
      </w:r>
      <w:r>
        <w:rPr>
          <w:rFonts w:ascii="Times New Roman" w:hAnsi="Times New Roman" w:eastAsia="方正仿宋_GBK" w:cs="Times New Roman"/>
          <w:sz w:val="32"/>
          <w:szCs w:val="32"/>
        </w:rPr>
        <w:t>。实现更加充分更高质量就业，居民收入增长与经济增长基本同步，共同富裕迈出坚实步伐。基本公共服务均等化水平稳步提高，全民教育体系、公共卫生体系、多层次社会保障体系更加健全。突发公共事件应急能力显著增强，发展安全保障更加有力，智慧生活更加普及，社会治理体系和治理能力现代化水平不断提升，共建共治共享</w:t>
      </w:r>
      <w:r>
        <w:rPr>
          <w:rFonts w:hint="eastAsia" w:ascii="Times New Roman" w:hAnsi="Times New Roman" w:eastAsia="方正仿宋_GBK" w:cs="Times New Roman"/>
          <w:sz w:val="32"/>
          <w:szCs w:val="32"/>
          <w:lang w:eastAsia="zh-Hans"/>
        </w:rPr>
        <w:t>新</w:t>
      </w:r>
      <w:r>
        <w:rPr>
          <w:rFonts w:ascii="Times New Roman" w:hAnsi="Times New Roman" w:eastAsia="方正仿宋_GBK" w:cs="Times New Roman"/>
          <w:sz w:val="32"/>
          <w:szCs w:val="32"/>
        </w:rPr>
        <w:t>格局基本形成，人民群众对美好生活新期待得到更好满足。</w:t>
      </w:r>
    </w:p>
    <w:p>
      <w:pPr>
        <w:keepNext w:val="0"/>
        <w:keepLines w:val="0"/>
        <w:pageBreakBefore w:val="0"/>
        <w:widowControl w:val="0"/>
        <w:kinsoku/>
        <w:wordWrap/>
        <w:overflowPunct/>
        <w:topLinePunct w:val="0"/>
        <w:autoSpaceDE/>
        <w:autoSpaceDN/>
        <w:bidi w:val="0"/>
        <w:adjustRightInd/>
        <w:snapToGrid/>
        <w:spacing w:before="415" w:beforeLines="70" w:after="415" w:afterLines="70" w:line="570" w:lineRule="exact"/>
        <w:jc w:val="center"/>
        <w:textAlignment w:val="auto"/>
        <w:rPr>
          <w:rFonts w:ascii="Times New Roman" w:hAnsi="Times New Roman" w:eastAsia="方正仿宋_GBK" w:cs="Times New Roman"/>
          <w:sz w:val="36"/>
          <w:szCs w:val="36"/>
        </w:rPr>
      </w:pPr>
      <w:r>
        <w:rPr>
          <w:rFonts w:ascii="Times New Roman" w:hAnsi="Times New Roman" w:eastAsia="方正黑体_GBK" w:cs="Times New Roman"/>
          <w:spacing w:val="6"/>
          <w:sz w:val="36"/>
          <w:szCs w:val="36"/>
        </w:rPr>
        <w:t>2022年工作安排</w:t>
      </w:r>
    </w:p>
    <w:p>
      <w:pPr>
        <w:keepNext w:val="0"/>
        <w:keepLines w:val="0"/>
        <w:pageBreakBefore w:val="0"/>
        <w:widowControl w:val="0"/>
        <w:kinsoku/>
        <w:wordWrap/>
        <w:overflowPunct/>
        <w:topLinePunct w:val="0"/>
        <w:bidi w:val="0"/>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2022年是新一届区政府的开局之年，也是实施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规划的关键之年，做好今年工作意义重大。我们要以习近平新时代中国特色社会主义思想为指导，全面贯彻党的十九大和十九届历次全会精神，扎实落实沙坪坝区第十三次党代会精神，坚持稳字当头、稳中求进，统筹疫情防控和经济社会发展，继续做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六稳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六保</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工作，</w:t>
      </w:r>
      <w:r>
        <w:rPr>
          <w:rFonts w:ascii="Times New Roman" w:hAnsi="Times New Roman" w:eastAsia="方正黑体_GBK" w:cs="Times New Roman"/>
          <w:spacing w:val="6"/>
          <w:sz w:val="32"/>
          <w:szCs w:val="32"/>
        </w:rPr>
        <w:t>全区经济社会发展主要预期目标是</w:t>
      </w:r>
      <w:r>
        <w:rPr>
          <w:rFonts w:ascii="Times New Roman" w:hAnsi="Times New Roman" w:eastAsia="方正仿宋_GBK" w:cs="Times New Roman"/>
          <w:sz w:val="32"/>
          <w:szCs w:val="32"/>
        </w:rPr>
        <w:t>：地区生产总值增长5.5%左右，固定资产投资增长6%左右，工业增加值增长7%左右，社会消费品零售总额增长8%左右，一般公共预算收入增长5%左右，区级税收增长6%左右，全体居民人均可支配收入增长6%左右，空气质量、节能减排降碳完成年度目标任务。</w:t>
      </w:r>
    </w:p>
    <w:p>
      <w:pPr>
        <w:keepNext w:val="0"/>
        <w:keepLines w:val="0"/>
        <w:pageBreakBefore w:val="0"/>
        <w:widowControl w:val="0"/>
        <w:kinsoku/>
        <w:wordWrap/>
        <w:overflowPunct/>
        <w:topLinePunct w:val="0"/>
        <w:bidi w:val="0"/>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今年将重点抓好八个方面工作：</w:t>
      </w:r>
    </w:p>
    <w:p>
      <w:pPr>
        <w:keepNext w:val="0"/>
        <w:keepLines w:val="0"/>
        <w:pageBreakBefore w:val="0"/>
        <w:widowControl w:val="0"/>
        <w:kinsoku/>
        <w:wordWrap/>
        <w:overflowPunct/>
        <w:topLinePunct w:val="0"/>
        <w:autoSpaceDE w:val="0"/>
        <w:autoSpaceDN w:val="0"/>
        <w:bidi w:val="0"/>
        <w:adjustRightInd w:val="0"/>
        <w:spacing w:line="570" w:lineRule="exact"/>
        <w:ind w:firstLine="733"/>
        <w:textAlignment w:val="auto"/>
        <w:rPr>
          <w:rFonts w:ascii="Times New Roman" w:hAnsi="Times New Roman" w:eastAsia="方正楷体_GBK" w:cs="Times New Roman"/>
          <w:spacing w:val="6"/>
          <w:kern w:val="0"/>
          <w:sz w:val="32"/>
          <w:szCs w:val="32"/>
          <w:lang w:val="zh-CN"/>
        </w:rPr>
      </w:pPr>
      <w:r>
        <w:rPr>
          <w:rFonts w:ascii="Times New Roman" w:hAnsi="Times New Roman" w:eastAsia="方正楷体_GBK" w:cs="Times New Roman"/>
          <w:spacing w:val="6"/>
          <w:kern w:val="0"/>
          <w:sz w:val="32"/>
          <w:szCs w:val="32"/>
          <w:lang w:val="zh-CN"/>
        </w:rPr>
        <w:t>（一）以创新驱动为引领</w:t>
      </w:r>
      <w:r>
        <w:rPr>
          <w:rFonts w:ascii="Times New Roman" w:hAnsi="Times New Roman" w:eastAsia="方正仿宋_GBK" w:cs="Times New Roman"/>
          <w:spacing w:val="6"/>
          <w:kern w:val="0"/>
          <w:sz w:val="32"/>
          <w:szCs w:val="32"/>
          <w:lang w:val="zh-CN"/>
        </w:rPr>
        <w:t>，</w:t>
      </w:r>
      <w:r>
        <w:rPr>
          <w:rFonts w:ascii="Times New Roman" w:hAnsi="Times New Roman" w:eastAsia="方正楷体_GBK" w:cs="Times New Roman"/>
          <w:spacing w:val="6"/>
          <w:kern w:val="0"/>
          <w:sz w:val="32"/>
          <w:szCs w:val="32"/>
          <w:lang w:val="zh-CN"/>
        </w:rPr>
        <w:t>不断增强高质量发展动力</w:t>
      </w:r>
    </w:p>
    <w:p>
      <w:pPr>
        <w:keepNext w:val="0"/>
        <w:keepLines w:val="0"/>
        <w:pageBreakBefore w:val="0"/>
        <w:widowControl w:val="0"/>
        <w:kinsoku/>
        <w:wordWrap/>
        <w:overflowPunct/>
        <w:topLinePunct w:val="0"/>
        <w:autoSpaceDE w:val="0"/>
        <w:autoSpaceDN w:val="0"/>
        <w:bidi w:val="0"/>
        <w:adjustRightInd w:val="0"/>
        <w:spacing w:line="570" w:lineRule="exact"/>
        <w:ind w:firstLine="720"/>
        <w:textAlignment w:val="auto"/>
        <w:rPr>
          <w:rFonts w:ascii="Times New Roman" w:hAnsi="Times New Roman" w:eastAsia="方正仿宋_GBK" w:cs="Times New Roman"/>
          <w:kern w:val="0"/>
          <w:sz w:val="32"/>
          <w:szCs w:val="32"/>
          <w:lang w:val="zh-CN"/>
        </w:rPr>
      </w:pPr>
      <w:r>
        <w:rPr>
          <w:rFonts w:ascii="Times New Roman" w:hAnsi="Times New Roman" w:eastAsia="方正仿宋_GBK" w:cs="Times New Roman"/>
          <w:kern w:val="0"/>
          <w:sz w:val="32"/>
          <w:szCs w:val="32"/>
          <w:lang w:val="zh-CN"/>
        </w:rPr>
        <w:t>发展是第一要务，人才是第一资源，创新是第一动力。抢抓西部（重庆）科学城建设重大战略机遇，加速创新资源转化变现，使创新成为高质量发展的强大动能。</w:t>
      </w:r>
    </w:p>
    <w:p>
      <w:pPr>
        <w:keepNext w:val="0"/>
        <w:keepLines w:val="0"/>
        <w:pageBreakBefore w:val="0"/>
        <w:widowControl w:val="0"/>
        <w:kinsoku/>
        <w:wordWrap/>
        <w:overflowPunct/>
        <w:topLinePunct w:val="0"/>
        <w:autoSpaceDE w:val="0"/>
        <w:autoSpaceDN w:val="0"/>
        <w:bidi w:val="0"/>
        <w:adjustRightInd w:val="0"/>
        <w:spacing w:line="570" w:lineRule="exact"/>
        <w:ind w:firstLine="723"/>
        <w:textAlignment w:val="auto"/>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lang w:val="zh-CN"/>
        </w:rPr>
        <w:t>联动共建科学城</w:t>
      </w:r>
      <w:r>
        <w:rPr>
          <w:rFonts w:ascii="Times New Roman" w:hAnsi="Times New Roman" w:eastAsia="方正仿宋_GBK" w:cs="Times New Roman"/>
          <w:bCs/>
          <w:kern w:val="0"/>
          <w:sz w:val="32"/>
          <w:szCs w:val="32"/>
          <w:lang w:val="zh-CN"/>
        </w:rPr>
        <w:t>。</w:t>
      </w:r>
      <w:r>
        <w:rPr>
          <w:rFonts w:ascii="Times New Roman" w:hAnsi="Times New Roman" w:eastAsia="方正黑体_GBK" w:cs="Times New Roman"/>
          <w:spacing w:val="6"/>
          <w:sz w:val="32"/>
          <w:szCs w:val="32"/>
        </w:rPr>
        <w:t>聚焦科学主题</w:t>
      </w:r>
      <w:r>
        <w:rPr>
          <w:rFonts w:hint="eastAsia" w:ascii="Times New Roman" w:hAnsi="Times New Roman" w:eastAsia="方正仿宋_GBK" w:cs="Times New Roman"/>
          <w:spacing w:val="6"/>
          <w:sz w:val="32"/>
          <w:szCs w:val="32"/>
        </w:rPr>
        <w:t>“</w:t>
      </w:r>
      <w:r>
        <w:rPr>
          <w:rFonts w:ascii="Times New Roman" w:hAnsi="Times New Roman" w:eastAsia="方正黑体_GBK" w:cs="Times New Roman"/>
          <w:spacing w:val="6"/>
          <w:sz w:val="32"/>
          <w:szCs w:val="32"/>
        </w:rPr>
        <w:t>铸魂</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kern w:val="0"/>
          <w:sz w:val="32"/>
          <w:szCs w:val="32"/>
          <w:lang w:val="zh-CN"/>
        </w:rPr>
        <w:t>，紧扣</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五个科学</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五个科技</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，推动量子通信器件国家重点实验室落地，引进机数科技等</w:t>
      </w:r>
      <w:r>
        <w:rPr>
          <w:rFonts w:ascii="Times New Roman" w:hAnsi="Times New Roman" w:eastAsia="方正仿宋_GBK" w:cs="Times New Roman"/>
          <w:sz w:val="32"/>
          <w:szCs w:val="32"/>
        </w:rPr>
        <w:t>8</w:t>
      </w:r>
      <w:r>
        <w:rPr>
          <w:rFonts w:ascii="Times New Roman" w:hAnsi="Times New Roman" w:eastAsia="方正仿宋_GBK" w:cs="Times New Roman"/>
          <w:kern w:val="0"/>
          <w:sz w:val="32"/>
          <w:szCs w:val="32"/>
          <w:lang w:val="zh-CN"/>
        </w:rPr>
        <w:t>家独立法人研发机构、中科川信等</w:t>
      </w:r>
      <w:r>
        <w:rPr>
          <w:rFonts w:ascii="Times New Roman" w:hAnsi="Times New Roman" w:eastAsia="方正仿宋_GBK" w:cs="Times New Roman"/>
          <w:sz w:val="32"/>
          <w:szCs w:val="32"/>
        </w:rPr>
        <w:t>20</w:t>
      </w:r>
      <w:r>
        <w:rPr>
          <w:rFonts w:ascii="Times New Roman" w:hAnsi="Times New Roman" w:eastAsia="方正仿宋_GBK" w:cs="Times New Roman"/>
          <w:kern w:val="0"/>
          <w:sz w:val="32"/>
          <w:szCs w:val="32"/>
          <w:lang w:val="zh-CN"/>
        </w:rPr>
        <w:t>家高新技术企业，孵化科技型企业</w:t>
      </w:r>
      <w:r>
        <w:rPr>
          <w:rFonts w:ascii="Times New Roman" w:hAnsi="Times New Roman" w:eastAsia="方正仿宋_GBK" w:cs="Times New Roman"/>
          <w:sz w:val="32"/>
          <w:szCs w:val="32"/>
        </w:rPr>
        <w:t>200</w:t>
      </w:r>
      <w:r>
        <w:rPr>
          <w:rFonts w:ascii="Times New Roman" w:hAnsi="Times New Roman" w:eastAsia="方正仿宋_GBK" w:cs="Times New Roman"/>
          <w:kern w:val="0"/>
          <w:sz w:val="32"/>
          <w:szCs w:val="32"/>
          <w:lang w:val="zh-CN"/>
        </w:rPr>
        <w:t>家，让</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金篮子里装金弹子</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w:t>
      </w:r>
      <w:r>
        <w:rPr>
          <w:rFonts w:ascii="Times New Roman" w:hAnsi="Times New Roman" w:eastAsia="方正黑体_GBK" w:cs="Times New Roman"/>
          <w:spacing w:val="6"/>
          <w:sz w:val="32"/>
          <w:szCs w:val="32"/>
        </w:rPr>
        <w:t>面向未来发展</w:t>
      </w:r>
      <w:r>
        <w:rPr>
          <w:rFonts w:hint="eastAsia" w:ascii="Times New Roman" w:hAnsi="Times New Roman" w:eastAsia="方正仿宋_GBK" w:cs="Times New Roman"/>
          <w:spacing w:val="6"/>
          <w:sz w:val="32"/>
          <w:szCs w:val="32"/>
        </w:rPr>
        <w:t>“</w:t>
      </w:r>
      <w:r>
        <w:rPr>
          <w:rFonts w:ascii="Times New Roman" w:hAnsi="Times New Roman" w:eastAsia="方正黑体_GBK" w:cs="Times New Roman"/>
          <w:spacing w:val="6"/>
          <w:sz w:val="32"/>
          <w:szCs w:val="32"/>
        </w:rPr>
        <w:t>筑城</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lang w:val="zh-CN"/>
        </w:rPr>
        <w:t>，</w:t>
      </w:r>
      <w:r>
        <w:rPr>
          <w:rFonts w:ascii="Times New Roman" w:hAnsi="Times New Roman" w:eastAsia="方正仿宋_GBK" w:cs="Times New Roman"/>
          <w:kern w:val="0"/>
          <w:sz w:val="32"/>
          <w:szCs w:val="32"/>
          <w:lang w:val="zh-CN"/>
        </w:rPr>
        <w:t>高起点规划空间形态，高标准建设配套功能，推动科学大道等标志性工程建设，打造菁云湖、五云湖科创社区，建好</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科学家的家、创业者的城</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w:t>
      </w:r>
      <w:r>
        <w:rPr>
          <w:rFonts w:ascii="Times New Roman" w:hAnsi="Times New Roman" w:eastAsia="方正黑体_GBK" w:cs="Times New Roman"/>
          <w:spacing w:val="6"/>
          <w:sz w:val="32"/>
          <w:szCs w:val="32"/>
        </w:rPr>
        <w:t>联动全域创新</w:t>
      </w:r>
      <w:r>
        <w:rPr>
          <w:rFonts w:hint="eastAsia" w:ascii="Times New Roman" w:hAnsi="Times New Roman" w:eastAsia="方正仿宋_GBK" w:cs="Times New Roman"/>
          <w:spacing w:val="6"/>
          <w:sz w:val="32"/>
          <w:szCs w:val="32"/>
        </w:rPr>
        <w:t>“</w:t>
      </w:r>
      <w:r>
        <w:rPr>
          <w:rFonts w:ascii="Times New Roman" w:hAnsi="Times New Roman" w:eastAsia="方正黑体_GBK" w:cs="Times New Roman"/>
          <w:spacing w:val="6"/>
          <w:sz w:val="32"/>
          <w:szCs w:val="32"/>
        </w:rPr>
        <w:t>赋能</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lang w:val="zh-CN"/>
        </w:rPr>
        <w:t>，</w:t>
      </w:r>
      <w:r>
        <w:rPr>
          <w:rFonts w:ascii="Times New Roman" w:hAnsi="Times New Roman" w:eastAsia="方正仿宋_GBK" w:cs="Times New Roman"/>
          <w:kern w:val="0"/>
          <w:sz w:val="32"/>
          <w:szCs w:val="32"/>
          <w:lang w:val="zh-CN"/>
        </w:rPr>
        <w:t>加强与高新区协调联动，强化产业协同，用好产业政策，共同打造重庆科技重要发源地和新兴产业策源地。</w:t>
      </w:r>
    </w:p>
    <w:p>
      <w:pPr>
        <w:keepNext w:val="0"/>
        <w:keepLines w:val="0"/>
        <w:pageBreakBefore w:val="0"/>
        <w:widowControl w:val="0"/>
        <w:kinsoku/>
        <w:wordWrap/>
        <w:overflowPunct/>
        <w:topLinePunct w:val="0"/>
        <w:autoSpaceDE w:val="0"/>
        <w:autoSpaceDN w:val="0"/>
        <w:bidi w:val="0"/>
        <w:adjustRightInd w:val="0"/>
        <w:spacing w:line="570" w:lineRule="exact"/>
        <w:ind w:firstLine="723"/>
        <w:textAlignment w:val="auto"/>
        <w:rPr>
          <w:rFonts w:ascii="Times New Roman" w:hAnsi="Times New Roman" w:eastAsia="方正仿宋_GBK" w:cs="Times New Roman"/>
          <w:b/>
          <w:bCs/>
          <w:kern w:val="0"/>
          <w:sz w:val="32"/>
          <w:szCs w:val="32"/>
          <w:lang w:val="zh-CN"/>
        </w:rPr>
      </w:pPr>
      <w:r>
        <w:rPr>
          <w:rFonts w:ascii="Times New Roman" w:hAnsi="Times New Roman" w:eastAsia="方正仿宋_GBK" w:cs="Times New Roman"/>
          <w:b/>
          <w:bCs/>
          <w:kern w:val="0"/>
          <w:sz w:val="32"/>
          <w:szCs w:val="32"/>
          <w:lang w:val="zh-CN"/>
        </w:rPr>
        <w:t>建好环大学创新生态圈</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kern w:val="0"/>
          <w:sz w:val="32"/>
          <w:szCs w:val="32"/>
          <w:lang w:val="zh-CN"/>
        </w:rPr>
        <w:t>坚持</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一校一专班</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一周一调度</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，提质升级环重庆大学创新生态圈，支持学校</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双一流</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建设，做实国家大学科技园，建成智慧创</w:t>
      </w:r>
      <w:r>
        <w:rPr>
          <w:rFonts w:hint="eastAsia" w:ascii="Times New Roman" w:hAnsi="Times New Roman" w:eastAsia="方正仿宋_GBK" w:cs="Times New Roman"/>
          <w:kern w:val="0"/>
          <w:sz w:val="32"/>
          <w:szCs w:val="32"/>
          <w:lang w:eastAsia="zh-Hans"/>
        </w:rPr>
        <w:t>新</w:t>
      </w:r>
      <w:r>
        <w:rPr>
          <w:rFonts w:ascii="Times New Roman" w:hAnsi="Times New Roman" w:eastAsia="方正仿宋_GBK" w:cs="Times New Roman"/>
          <w:kern w:val="0"/>
          <w:sz w:val="32"/>
          <w:szCs w:val="32"/>
          <w:lang w:val="zh-CN"/>
        </w:rPr>
        <w:t>产业园，大力发展绿色智能建筑产业。启动建设环陆军军医大学创新生态圈，建设器官智能生物制造国家工程中心。推动四川外国语大学新校区建设。投用重师数字创新港，拓展区域科技创新圈层。强化校地企合作，聚焦大数据、人工智能、智慧建造等优势学科，落实</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五个一</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转化机制，启动建设技术交易中心，技术交易合同登记额增长15%。优化创新生态，健全</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政产学研用金</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六位一体创新政策，引进</w:t>
      </w: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lang w:val="zh-CN"/>
        </w:rPr>
        <w:t>支创投基金，引育</w:t>
      </w:r>
      <w:r>
        <w:rPr>
          <w:rFonts w:ascii="Times New Roman" w:hAnsi="Times New Roman" w:eastAsia="方正仿宋_GBK" w:cs="Times New Roman"/>
          <w:sz w:val="32"/>
          <w:szCs w:val="32"/>
        </w:rPr>
        <w:t>10</w:t>
      </w:r>
      <w:r>
        <w:rPr>
          <w:rFonts w:ascii="Times New Roman" w:hAnsi="Times New Roman" w:eastAsia="方正仿宋_GBK" w:cs="Times New Roman"/>
          <w:kern w:val="0"/>
          <w:sz w:val="32"/>
          <w:szCs w:val="32"/>
          <w:lang w:val="zh-CN"/>
        </w:rPr>
        <w:t>名领军人才、</w:t>
      </w:r>
      <w:r>
        <w:rPr>
          <w:rFonts w:ascii="Times New Roman" w:hAnsi="Times New Roman" w:eastAsia="方正仿宋_GBK" w:cs="Times New Roman"/>
          <w:sz w:val="32"/>
          <w:szCs w:val="32"/>
        </w:rPr>
        <w:t>200</w:t>
      </w:r>
      <w:r>
        <w:rPr>
          <w:rFonts w:ascii="Times New Roman" w:hAnsi="Times New Roman" w:eastAsia="方正仿宋_GBK" w:cs="Times New Roman"/>
          <w:kern w:val="0"/>
          <w:sz w:val="32"/>
          <w:szCs w:val="32"/>
          <w:lang w:val="zh-CN"/>
        </w:rPr>
        <w:t>名高层次人才，办好</w:t>
      </w:r>
      <w:r>
        <w:rPr>
          <w:rFonts w:ascii="Times New Roman" w:hAnsi="Times New Roman" w:eastAsia="方正仿宋_GBK" w:cs="Times New Roman"/>
          <w:sz w:val="32"/>
          <w:szCs w:val="32"/>
        </w:rPr>
        <w:t>中国高校（成渝）校友经济高峰论坛</w:t>
      </w:r>
      <w:r>
        <w:rPr>
          <w:rFonts w:ascii="Times New Roman" w:hAnsi="Times New Roman" w:eastAsia="方正仿宋_GBK" w:cs="Times New Roman"/>
          <w:kern w:val="0"/>
          <w:sz w:val="32"/>
          <w:szCs w:val="32"/>
          <w:lang w:val="zh-CN"/>
        </w:rPr>
        <w:t>等品牌活动，创建全国科普示范区。</w:t>
      </w:r>
    </w:p>
    <w:p>
      <w:pPr>
        <w:keepNext w:val="0"/>
        <w:keepLines w:val="0"/>
        <w:pageBreakBefore w:val="0"/>
        <w:widowControl w:val="0"/>
        <w:kinsoku/>
        <w:wordWrap/>
        <w:overflowPunct/>
        <w:topLinePunct w:val="0"/>
        <w:autoSpaceDE w:val="0"/>
        <w:autoSpaceDN w:val="0"/>
        <w:bidi w:val="0"/>
        <w:adjustRightInd w:val="0"/>
        <w:spacing w:line="570" w:lineRule="exact"/>
        <w:ind w:firstLine="723"/>
        <w:textAlignment w:val="auto"/>
        <w:rPr>
          <w:rFonts w:ascii="Times New Roman" w:hAnsi="Times New Roman" w:eastAsia="方正仿宋_GBK" w:cs="Times New Roman"/>
          <w:kern w:val="0"/>
          <w:sz w:val="32"/>
          <w:szCs w:val="32"/>
          <w:lang w:val="zh-CN"/>
        </w:rPr>
      </w:pPr>
      <w:r>
        <w:rPr>
          <w:rFonts w:ascii="Times New Roman" w:hAnsi="Times New Roman" w:eastAsia="方正仿宋_GBK" w:cs="Times New Roman"/>
          <w:b/>
          <w:bCs/>
          <w:kern w:val="0"/>
          <w:sz w:val="32"/>
          <w:szCs w:val="32"/>
          <w:lang w:val="zh-CN"/>
        </w:rPr>
        <w:t>重构创新版图</w:t>
      </w:r>
      <w:r>
        <w:rPr>
          <w:rFonts w:ascii="Times New Roman" w:hAnsi="Times New Roman" w:eastAsia="方正仿宋_GBK" w:cs="Times New Roman"/>
          <w:bCs/>
          <w:kern w:val="0"/>
          <w:sz w:val="32"/>
          <w:szCs w:val="32"/>
          <w:lang w:val="zh-CN"/>
        </w:rPr>
        <w:t>。</w:t>
      </w:r>
      <w:r>
        <w:rPr>
          <w:rFonts w:ascii="Times New Roman" w:hAnsi="Times New Roman" w:eastAsia="方正黑体_GBK" w:cs="Times New Roman"/>
          <w:spacing w:val="6"/>
          <w:sz w:val="32"/>
          <w:szCs w:val="32"/>
        </w:rPr>
        <w:t>打造中国西部1491国际创意谷</w:t>
      </w:r>
      <w:r>
        <w:rPr>
          <w:rFonts w:ascii="Times New Roman" w:hAnsi="Times New Roman" w:eastAsia="方正仿宋_GBK" w:cs="Times New Roman"/>
          <w:kern w:val="0"/>
          <w:sz w:val="32"/>
          <w:szCs w:val="32"/>
          <w:lang w:val="zh-CN"/>
        </w:rPr>
        <w:t>，依托嘉陵江智慧湾区，聚焦工业设计、城市设计、乡村设计、创意设计等产业，启动建设特钢、凤凰山创意产业园，优化重庆工业设计城、金沙星座</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lang w:val="zh-CN"/>
        </w:rPr>
        <w:t>科创园、重大设计创意产业园空间业态，落户全市工业设计新品发布中心，创意设计产业增加值增长</w:t>
      </w:r>
      <w:r>
        <w:rPr>
          <w:rFonts w:ascii="Times New Roman" w:hAnsi="Times New Roman" w:eastAsia="方正仿宋_GBK" w:cs="Times New Roman"/>
          <w:sz w:val="32"/>
          <w:szCs w:val="32"/>
        </w:rPr>
        <w:t>15%</w:t>
      </w:r>
      <w:r>
        <w:rPr>
          <w:rFonts w:ascii="Times New Roman" w:hAnsi="Times New Roman" w:eastAsia="方正仿宋_GBK" w:cs="Times New Roman"/>
          <w:kern w:val="0"/>
          <w:sz w:val="32"/>
          <w:szCs w:val="32"/>
          <w:lang w:val="zh-CN"/>
        </w:rPr>
        <w:t>。</w:t>
      </w:r>
      <w:r>
        <w:rPr>
          <w:rFonts w:ascii="Times New Roman" w:hAnsi="Times New Roman" w:eastAsia="方正黑体_GBK" w:cs="Times New Roman"/>
          <w:spacing w:val="6"/>
          <w:sz w:val="32"/>
          <w:szCs w:val="32"/>
        </w:rPr>
        <w:t>打造梁滩河科技创新带</w:t>
      </w:r>
      <w:r>
        <w:rPr>
          <w:rFonts w:ascii="Times New Roman" w:hAnsi="Times New Roman" w:eastAsia="方正仿宋_GBK" w:cs="Times New Roman"/>
          <w:kern w:val="0"/>
          <w:sz w:val="32"/>
          <w:szCs w:val="32"/>
          <w:lang w:val="zh-CN"/>
        </w:rPr>
        <w:t>，依托青凤高科园、国际物流园，建成青凤高科孵化中心二期、中电光谷</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lang w:val="zh-CN"/>
        </w:rPr>
        <w:t>西部科技城，加快建设首创高科产业园、联东国际企业港，黄金湾</w:t>
      </w:r>
      <w:r>
        <w:rPr>
          <w:rFonts w:hint="eastAsia" w:ascii="方正仿宋_GBK" w:hAnsi="方正仿宋_GBK" w:eastAsia="方正仿宋_GBK" w:cs="方正仿宋_GBK"/>
          <w:kern w:val="0"/>
          <w:sz w:val="32"/>
          <w:szCs w:val="32"/>
          <w:lang w:val="zh-CN"/>
        </w:rPr>
        <w:t>·</w:t>
      </w:r>
      <w:r>
        <w:rPr>
          <w:rFonts w:ascii="Times New Roman" w:hAnsi="Times New Roman" w:eastAsia="方正仿宋_GBK" w:cs="Times New Roman"/>
          <w:kern w:val="0"/>
          <w:sz w:val="32"/>
          <w:szCs w:val="32"/>
          <w:lang w:val="zh-CN"/>
        </w:rPr>
        <w:t>智谷企业入驻率达50%。</w:t>
      </w:r>
      <w:r>
        <w:rPr>
          <w:rFonts w:ascii="Times New Roman" w:hAnsi="Times New Roman" w:eastAsia="方正黑体_GBK" w:cs="Times New Roman"/>
          <w:spacing w:val="6"/>
          <w:sz w:val="32"/>
          <w:szCs w:val="32"/>
        </w:rPr>
        <w:t>打造多点式创新平台</w:t>
      </w:r>
      <w:r>
        <w:rPr>
          <w:rFonts w:ascii="Times New Roman" w:hAnsi="Times New Roman" w:eastAsia="方正仿宋_GBK" w:cs="Times New Roman"/>
          <w:kern w:val="0"/>
          <w:sz w:val="32"/>
          <w:szCs w:val="32"/>
          <w:lang w:val="zh-CN"/>
        </w:rPr>
        <w:t>，系统梳理创新资源，活化老厂房、老空间、老街巷，集约科创空间</w:t>
      </w:r>
      <w:r>
        <w:rPr>
          <w:rFonts w:ascii="Times New Roman" w:hAnsi="Times New Roman" w:eastAsia="方正仿宋_GBK" w:cs="Times New Roman"/>
          <w:sz w:val="32"/>
          <w:szCs w:val="32"/>
        </w:rPr>
        <w:t>10万</w:t>
      </w:r>
      <w:r>
        <w:rPr>
          <w:rFonts w:ascii="Times New Roman" w:hAnsi="Times New Roman" w:eastAsia="方正仿宋_GBK" w:cs="Times New Roman"/>
          <w:kern w:val="0"/>
          <w:sz w:val="32"/>
          <w:szCs w:val="32"/>
          <w:lang w:val="zh-CN"/>
        </w:rPr>
        <w:t>平方米，构建全域创新格局。</w:t>
      </w:r>
    </w:p>
    <w:p>
      <w:pPr>
        <w:keepNext w:val="0"/>
        <w:keepLines w:val="0"/>
        <w:pageBreakBefore w:val="0"/>
        <w:widowControl w:val="0"/>
        <w:kinsoku/>
        <w:wordWrap/>
        <w:overflowPunct/>
        <w:topLinePunct w:val="0"/>
        <w:autoSpaceDE w:val="0"/>
        <w:autoSpaceDN w:val="0"/>
        <w:bidi w:val="0"/>
        <w:adjustRightInd w:val="0"/>
        <w:spacing w:line="570" w:lineRule="exact"/>
        <w:ind w:firstLine="744"/>
        <w:textAlignment w:val="auto"/>
        <w:rPr>
          <w:rFonts w:ascii="Times New Roman" w:hAnsi="Times New Roman" w:eastAsia="方正楷体_GBK" w:cs="Times New Roman"/>
          <w:spacing w:val="6"/>
          <w:w w:val="98"/>
          <w:kern w:val="0"/>
          <w:sz w:val="32"/>
          <w:szCs w:val="32"/>
          <w:lang w:val="zh-CN"/>
        </w:rPr>
      </w:pPr>
      <w:r>
        <w:rPr>
          <w:rFonts w:ascii="Times New Roman" w:hAnsi="Times New Roman" w:eastAsia="方正楷体_GBK" w:cs="Times New Roman"/>
          <w:spacing w:val="6"/>
          <w:w w:val="98"/>
          <w:kern w:val="0"/>
          <w:sz w:val="32"/>
          <w:szCs w:val="32"/>
          <w:lang w:val="zh-CN"/>
        </w:rPr>
        <w:t>（二）以发展实体经济为着力点</w:t>
      </w:r>
      <w:r>
        <w:rPr>
          <w:rFonts w:ascii="Times New Roman" w:hAnsi="Times New Roman" w:eastAsia="方正仿宋_GBK" w:cs="Times New Roman"/>
          <w:spacing w:val="6"/>
          <w:w w:val="98"/>
          <w:kern w:val="0"/>
          <w:sz w:val="32"/>
          <w:szCs w:val="32"/>
          <w:lang w:val="zh-CN"/>
        </w:rPr>
        <w:t>，</w:t>
      </w:r>
      <w:r>
        <w:rPr>
          <w:rFonts w:ascii="Times New Roman" w:hAnsi="Times New Roman" w:eastAsia="方正楷体_GBK" w:cs="Times New Roman"/>
          <w:spacing w:val="6"/>
          <w:w w:val="98"/>
          <w:kern w:val="0"/>
          <w:sz w:val="32"/>
          <w:szCs w:val="32"/>
          <w:lang w:val="zh-CN"/>
        </w:rPr>
        <w:t>加快构建现代产业体系</w:t>
      </w:r>
    </w:p>
    <w:p>
      <w:pPr>
        <w:keepNext w:val="0"/>
        <w:keepLines w:val="0"/>
        <w:pageBreakBefore w:val="0"/>
        <w:widowControl w:val="0"/>
        <w:kinsoku/>
        <w:wordWrap/>
        <w:overflowPunct/>
        <w:topLinePunct w:val="0"/>
        <w:autoSpaceDE w:val="0"/>
        <w:autoSpaceDN w:val="0"/>
        <w:bidi w:val="0"/>
        <w:adjustRightInd w:val="0"/>
        <w:spacing w:line="570" w:lineRule="exact"/>
        <w:ind w:firstLine="744"/>
        <w:textAlignment w:val="auto"/>
        <w:rPr>
          <w:rFonts w:ascii="Times New Roman" w:hAnsi="Times New Roman" w:eastAsia="方正仿宋_GBK" w:cs="Times New Roman"/>
          <w:kern w:val="0"/>
          <w:sz w:val="32"/>
          <w:szCs w:val="32"/>
          <w:lang w:val="zh-CN"/>
        </w:rPr>
      </w:pPr>
      <w:r>
        <w:rPr>
          <w:rFonts w:ascii="Times New Roman" w:hAnsi="Times New Roman" w:eastAsia="方正仿宋_GBK" w:cs="Times New Roman"/>
          <w:spacing w:val="6"/>
          <w:kern w:val="0"/>
          <w:sz w:val="32"/>
          <w:szCs w:val="32"/>
          <w:lang w:val="zh-CN"/>
        </w:rPr>
        <w:t>产业是发展的重要支撑，是推动经济发展的根本。要促进制造业与数字经济、现代服务业深度融合，加快</w:t>
      </w:r>
      <w:r>
        <w:rPr>
          <w:rFonts w:ascii="Times New Roman" w:hAnsi="Times New Roman" w:eastAsia="方正仿宋_GBK" w:cs="Times New Roman"/>
          <w:kern w:val="0"/>
          <w:sz w:val="32"/>
          <w:szCs w:val="32"/>
          <w:lang w:val="zh-CN"/>
        </w:rPr>
        <w:t>形成高质量发展新的增长点。</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b/>
          <w:spacing w:val="6"/>
          <w:sz w:val="32"/>
          <w:szCs w:val="32"/>
        </w:rPr>
        <w:t>大力开展招商引资</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pacing w:val="6"/>
          <w:sz w:val="32"/>
          <w:szCs w:val="32"/>
        </w:rPr>
        <w:t>实现高质量发展，基础在产业、关键靠项目、突破在招商。</w:t>
      </w:r>
      <w:r>
        <w:rPr>
          <w:rFonts w:ascii="Times New Roman" w:hAnsi="Times New Roman" w:eastAsia="方正黑体_GBK" w:cs="Times New Roman"/>
          <w:spacing w:val="6"/>
          <w:sz w:val="32"/>
          <w:szCs w:val="32"/>
        </w:rPr>
        <w:t>坚持</w:t>
      </w:r>
      <w:r>
        <w:rPr>
          <w:rFonts w:ascii="Times New Roman" w:hAnsi="Times New Roman" w:eastAsia="方正仿宋_GBK" w:cs="Times New Roman"/>
          <w:spacing w:val="6"/>
          <w:sz w:val="32"/>
          <w:szCs w:val="32"/>
        </w:rPr>
        <w:t>把招商引资作为实现跨越发展的关键一招，善用市场机制，注重长短平衡。</w:t>
      </w:r>
      <w:r>
        <w:rPr>
          <w:rFonts w:ascii="Times New Roman" w:hAnsi="Times New Roman" w:eastAsia="方正黑体_GBK" w:cs="Times New Roman"/>
          <w:spacing w:val="6"/>
          <w:sz w:val="32"/>
          <w:szCs w:val="32"/>
        </w:rPr>
        <w:t>坚持</w:t>
      </w:r>
      <w:r>
        <w:rPr>
          <w:rFonts w:ascii="Times New Roman" w:hAnsi="Times New Roman" w:eastAsia="方正仿宋_GBK" w:cs="Times New Roman"/>
          <w:spacing w:val="6"/>
          <w:sz w:val="32"/>
          <w:szCs w:val="32"/>
        </w:rPr>
        <w:t>以项目为王、</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亩产论英雄</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，重点围绕先进制造业和现代服务业两大方向，形成大招商、招大商、招好商的良好氛围。</w:t>
      </w:r>
      <w:r>
        <w:rPr>
          <w:rFonts w:ascii="Times New Roman" w:hAnsi="Times New Roman" w:eastAsia="方正黑体_GBK" w:cs="Times New Roman"/>
          <w:spacing w:val="6"/>
          <w:sz w:val="32"/>
          <w:szCs w:val="32"/>
        </w:rPr>
        <w:t>坚持</w:t>
      </w:r>
      <w:r>
        <w:rPr>
          <w:rFonts w:ascii="Times New Roman" w:hAnsi="Times New Roman" w:eastAsia="方正仿宋_GBK" w:cs="Times New Roman"/>
          <w:spacing w:val="6"/>
          <w:sz w:val="32"/>
          <w:szCs w:val="32"/>
        </w:rPr>
        <w:t>举旗招商、精准招商、专业招商、以商招商，完善招商引资体制机制，提升招商实效，确保全年正式签约1000亿元以上，开工率达70%以上。</w:t>
      </w:r>
    </w:p>
    <w:p>
      <w:pPr>
        <w:keepNext w:val="0"/>
        <w:keepLines w:val="0"/>
        <w:pageBreakBefore w:val="0"/>
        <w:widowControl w:val="0"/>
        <w:kinsoku/>
        <w:wordWrap/>
        <w:overflowPunct/>
        <w:topLinePunct w:val="0"/>
        <w:autoSpaceDE w:val="0"/>
        <w:autoSpaceDN w:val="0"/>
        <w:bidi w:val="0"/>
        <w:adjustRightInd w:val="0"/>
        <w:spacing w:line="570" w:lineRule="exact"/>
        <w:ind w:firstLine="736"/>
        <w:textAlignment w:val="auto"/>
        <w:rPr>
          <w:rFonts w:ascii="Times New Roman" w:hAnsi="Times New Roman" w:eastAsia="方正仿宋_GBK" w:cs="Times New Roman"/>
          <w:spacing w:val="6"/>
          <w:kern w:val="0"/>
          <w:sz w:val="32"/>
          <w:szCs w:val="32"/>
        </w:rPr>
      </w:pPr>
      <w:r>
        <w:rPr>
          <w:rFonts w:ascii="Times New Roman" w:hAnsi="Times New Roman" w:eastAsia="方正仿宋_GBK" w:cs="Times New Roman"/>
          <w:b/>
          <w:bCs/>
          <w:kern w:val="0"/>
          <w:sz w:val="32"/>
          <w:szCs w:val="32"/>
          <w:lang w:val="zh-CN"/>
        </w:rPr>
        <w:t>大力振兴先进制造业</w:t>
      </w:r>
      <w:r>
        <w:rPr>
          <w:rFonts w:ascii="Times New Roman" w:hAnsi="Times New Roman" w:eastAsia="方正仿宋_GBK" w:cs="Times New Roman"/>
          <w:bCs/>
          <w:kern w:val="0"/>
          <w:sz w:val="32"/>
          <w:szCs w:val="32"/>
          <w:lang w:val="zh-CN"/>
        </w:rPr>
        <w:t>。</w:t>
      </w:r>
      <w:r>
        <w:rPr>
          <w:rFonts w:ascii="Times New Roman" w:hAnsi="Times New Roman" w:eastAsia="方正黑体_GBK" w:cs="Times New Roman"/>
          <w:spacing w:val="6"/>
          <w:sz w:val="32"/>
          <w:szCs w:val="32"/>
        </w:rPr>
        <w:t>聚力发展优势产业</w:t>
      </w:r>
      <w:r>
        <w:rPr>
          <w:rFonts w:ascii="Times New Roman" w:hAnsi="Times New Roman" w:eastAsia="方正仿宋_GBK" w:cs="Times New Roman"/>
          <w:kern w:val="0"/>
          <w:sz w:val="32"/>
          <w:szCs w:val="32"/>
          <w:lang w:val="zh-CN"/>
        </w:rPr>
        <w:t>，推动小康汽车转型升级，建成小康新能源全球研发总部，加快小康智能电动高端汽车、金康新能源动力投达产，引进拓普高端汽车配套基地，形成汽车产能规模</w:t>
      </w:r>
      <w:r>
        <w:rPr>
          <w:rFonts w:ascii="Times New Roman" w:hAnsi="Times New Roman" w:eastAsia="方正仿宋_GBK" w:cs="Times New Roman"/>
          <w:kern w:val="0"/>
          <w:sz w:val="32"/>
          <w:szCs w:val="32"/>
        </w:rPr>
        <w:t>500</w:t>
      </w:r>
      <w:r>
        <w:rPr>
          <w:rFonts w:ascii="Times New Roman" w:hAnsi="Times New Roman" w:eastAsia="方正仿宋_GBK" w:cs="Times New Roman"/>
          <w:kern w:val="0"/>
          <w:sz w:val="32"/>
          <w:szCs w:val="32"/>
          <w:lang w:val="zh-CN"/>
        </w:rPr>
        <w:t>亿元，打造新能源智能网联汽车产业集群。</w:t>
      </w:r>
      <w:r>
        <w:rPr>
          <w:rFonts w:ascii="Times New Roman" w:hAnsi="Times New Roman" w:eastAsia="方正黑体_GBK" w:cs="Times New Roman"/>
          <w:spacing w:val="6"/>
          <w:sz w:val="32"/>
          <w:szCs w:val="32"/>
        </w:rPr>
        <w:t>聚力发展战略性新兴产业</w:t>
      </w:r>
      <w:r>
        <w:rPr>
          <w:rFonts w:ascii="Times New Roman" w:hAnsi="Times New Roman" w:eastAsia="方正仿宋_GBK" w:cs="Times New Roman"/>
          <w:kern w:val="0"/>
          <w:sz w:val="32"/>
          <w:szCs w:val="32"/>
          <w:lang w:val="zh-CN"/>
        </w:rPr>
        <w:t>，聚焦集成电路、高端装备、生物医药等先导领域，积极引进三利普光电等项目，推动万普隆能源科技上市。</w:t>
      </w:r>
      <w:r>
        <w:rPr>
          <w:rFonts w:ascii="Times New Roman" w:hAnsi="Times New Roman" w:eastAsia="方正黑体_GBK" w:cs="Times New Roman"/>
          <w:spacing w:val="6"/>
          <w:sz w:val="32"/>
          <w:szCs w:val="32"/>
        </w:rPr>
        <w:t>聚力推动军民融合发展</w:t>
      </w:r>
      <w:r>
        <w:rPr>
          <w:rFonts w:ascii="Times New Roman" w:hAnsi="Times New Roman" w:eastAsia="方正仿宋_GBK" w:cs="Times New Roman"/>
          <w:kern w:val="0"/>
          <w:sz w:val="32"/>
          <w:szCs w:val="32"/>
          <w:lang w:val="zh-CN"/>
        </w:rPr>
        <w:t>，深化与航天科工、中国电科、中国电子等军工集团合作，协同承接产业项目，推动军民优势资源转化互促。</w:t>
      </w:r>
      <w:r>
        <w:rPr>
          <w:rFonts w:ascii="Times New Roman" w:hAnsi="Times New Roman" w:eastAsia="方正黑体_GBK" w:cs="Times New Roman"/>
          <w:spacing w:val="6"/>
          <w:sz w:val="32"/>
          <w:szCs w:val="32"/>
        </w:rPr>
        <w:t>聚力推动传统产业转型升级</w:t>
      </w:r>
      <w:r>
        <w:rPr>
          <w:rFonts w:ascii="Times New Roman" w:hAnsi="Times New Roman" w:eastAsia="方正仿宋_GBK" w:cs="Times New Roman"/>
          <w:kern w:val="0"/>
          <w:sz w:val="32"/>
          <w:szCs w:val="32"/>
          <w:lang w:val="zh-CN"/>
        </w:rPr>
        <w:t>，支持企业</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上云用数赋智</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w:t>
      </w:r>
      <w:r>
        <w:rPr>
          <w:rFonts w:ascii="Times New Roman" w:hAnsi="Times New Roman" w:eastAsia="方正仿宋_GBK" w:cs="Times New Roman"/>
          <w:spacing w:val="6"/>
          <w:kern w:val="0"/>
          <w:sz w:val="32"/>
          <w:szCs w:val="32"/>
        </w:rPr>
        <w:t>实施15</w:t>
      </w:r>
      <w:r>
        <w:rPr>
          <w:rFonts w:ascii="Times New Roman" w:hAnsi="Times New Roman" w:eastAsia="方正仿宋_GBK" w:cs="Times New Roman"/>
          <w:spacing w:val="6"/>
          <w:kern w:val="0"/>
          <w:sz w:val="32"/>
          <w:szCs w:val="32"/>
          <w:lang w:val="zh-CN"/>
        </w:rPr>
        <w:t>个项目智能化改造，建成</w:t>
      </w:r>
      <w:r>
        <w:rPr>
          <w:rFonts w:ascii="Times New Roman" w:hAnsi="Times New Roman" w:eastAsia="方正仿宋_GBK" w:cs="Times New Roman"/>
          <w:spacing w:val="6"/>
          <w:kern w:val="0"/>
          <w:sz w:val="32"/>
          <w:szCs w:val="32"/>
        </w:rPr>
        <w:t>3</w:t>
      </w:r>
      <w:r>
        <w:rPr>
          <w:rFonts w:ascii="Times New Roman" w:hAnsi="Times New Roman" w:eastAsia="方正仿宋_GBK" w:cs="Times New Roman"/>
          <w:spacing w:val="6"/>
          <w:kern w:val="0"/>
          <w:sz w:val="32"/>
          <w:szCs w:val="32"/>
          <w:lang w:val="zh-CN"/>
        </w:rPr>
        <w:t>个数字化车间，</w:t>
      </w:r>
      <w:r>
        <w:rPr>
          <w:rFonts w:ascii="Times New Roman" w:hAnsi="Times New Roman" w:eastAsia="方正仿宋_GBK" w:cs="Times New Roman"/>
          <w:kern w:val="0"/>
          <w:sz w:val="32"/>
          <w:szCs w:val="32"/>
          <w:lang w:val="zh-CN"/>
        </w:rPr>
        <w:t>培育</w:t>
      </w:r>
      <w:r>
        <w:rPr>
          <w:rFonts w:ascii="Times New Roman" w:hAnsi="Times New Roman" w:eastAsia="方正仿宋_GBK" w:cs="Times New Roman"/>
          <w:kern w:val="0"/>
          <w:sz w:val="32"/>
          <w:szCs w:val="32"/>
        </w:rPr>
        <w:t>3</w:t>
      </w:r>
      <w:r>
        <w:rPr>
          <w:rFonts w:ascii="Times New Roman" w:hAnsi="Times New Roman" w:eastAsia="方正仿宋_GBK" w:cs="Times New Roman"/>
          <w:kern w:val="0"/>
          <w:sz w:val="32"/>
          <w:szCs w:val="32"/>
          <w:lang w:val="zh-CN"/>
        </w:rPr>
        <w:t>家</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专精特新</w:t>
      </w:r>
      <w:r>
        <w:rPr>
          <w:rFonts w:hint="eastAsia"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lang w:val="zh-CN"/>
        </w:rPr>
        <w:t>企业，加快产业向高端化、智能化、绿色化转型升级。</w:t>
      </w:r>
    </w:p>
    <w:p>
      <w:pPr>
        <w:keepNext w:val="0"/>
        <w:keepLines w:val="0"/>
        <w:pageBreakBefore w:val="0"/>
        <w:widowControl w:val="0"/>
        <w:kinsoku/>
        <w:wordWrap/>
        <w:overflowPunct/>
        <w:topLinePunct w:val="0"/>
        <w:bidi w:val="0"/>
        <w:spacing w:line="570" w:lineRule="exact"/>
        <w:ind w:firstLine="647" w:firstLineChars="197"/>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b/>
          <w:spacing w:val="6"/>
          <w:sz w:val="32"/>
          <w:szCs w:val="32"/>
        </w:rPr>
        <w:t>大力发展现代服务业</w:t>
      </w:r>
      <w:r>
        <w:rPr>
          <w:rFonts w:ascii="Times New Roman" w:hAnsi="Times New Roman" w:eastAsia="方正仿宋_GBK" w:cs="Times New Roman"/>
          <w:bCs/>
          <w:kern w:val="0"/>
          <w:sz w:val="32"/>
          <w:szCs w:val="32"/>
          <w:lang w:val="zh-CN"/>
        </w:rPr>
        <w:t>。</w:t>
      </w:r>
      <w:r>
        <w:rPr>
          <w:rFonts w:ascii="Times New Roman" w:hAnsi="Times New Roman" w:eastAsia="方正黑体_GBK" w:cs="Times New Roman"/>
          <w:spacing w:val="6"/>
          <w:sz w:val="32"/>
          <w:szCs w:val="32"/>
        </w:rPr>
        <w:t>做优消费经济</w:t>
      </w:r>
      <w:r>
        <w:rPr>
          <w:rFonts w:ascii="Times New Roman" w:hAnsi="Times New Roman" w:eastAsia="方正仿宋_GBK" w:cs="Times New Roman"/>
          <w:spacing w:val="6"/>
          <w:sz w:val="32"/>
          <w:szCs w:val="32"/>
        </w:rPr>
        <w:t>，加快磁器口古镇挖掘新空间、营造新场景、培育新业态、注入新元素、展示新形象，推动三峡商圈业态创新、品牌集聚，建设佛罗伦萨小镇二期、全球商品贸易港，建成</w:t>
      </w:r>
      <w:r>
        <w:rPr>
          <w:rFonts w:ascii="Times New Roman" w:hAnsi="Times New Roman" w:eastAsia="方正仿宋_GBK" w:cs="Times New Roman"/>
          <w:sz w:val="32"/>
          <w:szCs w:val="32"/>
        </w:rPr>
        <w:t>重庆融创文旅城</w:t>
      </w:r>
      <w:r>
        <w:rPr>
          <w:rFonts w:ascii="Times New Roman" w:hAnsi="Times New Roman" w:eastAsia="方正仿宋_GBK" w:cs="Times New Roman"/>
          <w:spacing w:val="6"/>
          <w:sz w:val="32"/>
          <w:szCs w:val="32"/>
        </w:rPr>
        <w:t>音乐小镇，大力发展夜间经济、首店经济，打造重庆国际消费中心目的地。</w:t>
      </w:r>
      <w:r>
        <w:rPr>
          <w:rFonts w:ascii="Times New Roman" w:hAnsi="Times New Roman" w:eastAsia="方正黑体_GBK" w:cs="Times New Roman"/>
          <w:spacing w:val="6"/>
          <w:sz w:val="32"/>
          <w:szCs w:val="32"/>
        </w:rPr>
        <w:t>做大楼宇经济</w:t>
      </w:r>
      <w:r>
        <w:rPr>
          <w:rFonts w:ascii="Times New Roman" w:hAnsi="Times New Roman" w:eastAsia="方正仿宋_GBK" w:cs="Times New Roman"/>
          <w:spacing w:val="6"/>
          <w:sz w:val="32"/>
          <w:szCs w:val="32"/>
        </w:rPr>
        <w:t>，加快重庆西站TOD综合体建设，梳理整合楼宇资源，重点发展企业总部、高端商务等楼宇经济。</w:t>
      </w:r>
      <w:r>
        <w:rPr>
          <w:rFonts w:ascii="Times New Roman" w:hAnsi="Times New Roman" w:eastAsia="方正黑体_GBK" w:cs="Times New Roman"/>
          <w:spacing w:val="6"/>
          <w:sz w:val="32"/>
          <w:szCs w:val="32"/>
        </w:rPr>
        <w:t>做强旅游经济</w:t>
      </w:r>
      <w:r>
        <w:rPr>
          <w:rFonts w:ascii="Times New Roman" w:hAnsi="Times New Roman" w:eastAsia="方正仿宋_GBK" w:cs="Times New Roman"/>
          <w:spacing w:val="6"/>
          <w:sz w:val="32"/>
          <w:szCs w:val="32"/>
        </w:rPr>
        <w:t>，加快创建歌乐山</w:t>
      </w:r>
      <w:r>
        <w:rPr>
          <w:rFonts w:hint="eastAsia" w:ascii="方正仿宋_GBK" w:hAnsi="方正仿宋_GBK" w:eastAsia="方正仿宋_GBK" w:cs="方正仿宋_GBK"/>
          <w:spacing w:val="6"/>
          <w:sz w:val="32"/>
          <w:szCs w:val="32"/>
        </w:rPr>
        <w:t>·</w:t>
      </w:r>
      <w:r>
        <w:rPr>
          <w:rFonts w:ascii="Times New Roman" w:hAnsi="Times New Roman" w:eastAsia="方正仿宋_GBK" w:cs="Times New Roman"/>
          <w:spacing w:val="6"/>
          <w:sz w:val="32"/>
          <w:szCs w:val="32"/>
        </w:rPr>
        <w:t>磁器口国家5A级景区，打造5条红色、都市、乡村主题精品游线路，旅游产业增加值增长5%。</w:t>
      </w:r>
    </w:p>
    <w:p>
      <w:pPr>
        <w:keepNext w:val="0"/>
        <w:keepLines w:val="0"/>
        <w:pageBreakBefore w:val="0"/>
        <w:widowControl w:val="0"/>
        <w:kinsoku/>
        <w:wordWrap/>
        <w:overflowPunct/>
        <w:topLinePunct w:val="0"/>
        <w:bidi w:val="0"/>
        <w:spacing w:line="570" w:lineRule="exact"/>
        <w:ind w:firstLine="647" w:firstLineChars="197"/>
        <w:textAlignment w:val="auto"/>
      </w:pPr>
      <w:r>
        <w:rPr>
          <w:rFonts w:ascii="Times New Roman" w:hAnsi="Times New Roman" w:eastAsia="方正仿宋_GBK" w:cs="Times New Roman"/>
          <w:b/>
          <w:spacing w:val="6"/>
          <w:sz w:val="32"/>
          <w:szCs w:val="32"/>
        </w:rPr>
        <w:t>大力发展数字经济</w:t>
      </w:r>
      <w:r>
        <w:rPr>
          <w:rFonts w:ascii="Times New Roman" w:hAnsi="Times New Roman" w:eastAsia="方正仿宋_GBK" w:cs="Times New Roman"/>
          <w:bCs/>
          <w:kern w:val="0"/>
          <w:sz w:val="32"/>
          <w:szCs w:val="32"/>
          <w:lang w:val="zh-CN"/>
        </w:rPr>
        <w:t>。</w:t>
      </w:r>
      <w:r>
        <w:rPr>
          <w:rFonts w:ascii="Times New Roman" w:hAnsi="Times New Roman" w:eastAsia="方正黑体_GBK" w:cs="Times New Roman"/>
          <w:spacing w:val="6"/>
          <w:sz w:val="32"/>
          <w:szCs w:val="32"/>
        </w:rPr>
        <w:t>提升</w:t>
      </w:r>
      <w:r>
        <w:rPr>
          <w:rFonts w:hint="eastAsia" w:ascii="Times New Roman" w:hAnsi="Times New Roman" w:eastAsia="方正仿宋_GBK" w:cs="Times New Roman"/>
          <w:spacing w:val="6"/>
          <w:sz w:val="32"/>
          <w:szCs w:val="32"/>
        </w:rPr>
        <w:t>“</w:t>
      </w:r>
      <w:r>
        <w:rPr>
          <w:rFonts w:ascii="Times New Roman" w:hAnsi="Times New Roman" w:eastAsia="方正黑体_GBK" w:cs="Times New Roman"/>
          <w:spacing w:val="6"/>
          <w:sz w:val="32"/>
          <w:szCs w:val="32"/>
        </w:rPr>
        <w:t>云联数算用</w:t>
      </w:r>
      <w:r>
        <w:rPr>
          <w:rFonts w:hint="eastAsia" w:ascii="Times New Roman" w:hAnsi="Times New Roman" w:eastAsia="方正仿宋_GBK" w:cs="Times New Roman"/>
          <w:spacing w:val="6"/>
          <w:sz w:val="32"/>
          <w:szCs w:val="32"/>
        </w:rPr>
        <w:t>”</w:t>
      </w:r>
      <w:r>
        <w:rPr>
          <w:rFonts w:ascii="Times New Roman" w:hAnsi="Times New Roman" w:eastAsia="方正黑体_GBK" w:cs="Times New Roman"/>
          <w:spacing w:val="6"/>
          <w:sz w:val="32"/>
          <w:szCs w:val="32"/>
        </w:rPr>
        <w:t>价值链</w:t>
      </w:r>
      <w:r>
        <w:rPr>
          <w:rFonts w:ascii="Times New Roman" w:hAnsi="Times New Roman" w:eastAsia="方正仿宋_GBK" w:cs="Times New Roman"/>
          <w:spacing w:val="6"/>
          <w:sz w:val="32"/>
          <w:szCs w:val="32"/>
        </w:rPr>
        <w:t>，充分挖掘利用区域人才优势，大力发展人工智能、大数据等新兴产业，建成西部区块链研究院，实现智能产业产值突破2000亿元。</w:t>
      </w:r>
      <w:r>
        <w:rPr>
          <w:rFonts w:ascii="Times New Roman" w:hAnsi="Times New Roman" w:eastAsia="方正黑体_GBK" w:cs="Times New Roman"/>
          <w:spacing w:val="6"/>
          <w:sz w:val="32"/>
          <w:szCs w:val="32"/>
        </w:rPr>
        <w:t>打造</w:t>
      </w:r>
      <w:r>
        <w:rPr>
          <w:rFonts w:hint="eastAsia" w:ascii="Times New Roman" w:hAnsi="Times New Roman" w:eastAsia="方正仿宋_GBK" w:cs="Times New Roman"/>
          <w:spacing w:val="6"/>
          <w:sz w:val="32"/>
          <w:szCs w:val="32"/>
        </w:rPr>
        <w:t>“</w:t>
      </w:r>
      <w:r>
        <w:rPr>
          <w:rFonts w:ascii="Times New Roman" w:hAnsi="Times New Roman" w:eastAsia="方正黑体_GBK" w:cs="Times New Roman"/>
          <w:spacing w:val="6"/>
          <w:sz w:val="32"/>
          <w:szCs w:val="32"/>
        </w:rPr>
        <w:t>住业游乐购</w:t>
      </w:r>
      <w:r>
        <w:rPr>
          <w:rFonts w:hint="eastAsia" w:ascii="Times New Roman" w:hAnsi="Times New Roman" w:eastAsia="方正仿宋_GBK" w:cs="Times New Roman"/>
          <w:spacing w:val="6"/>
          <w:sz w:val="32"/>
          <w:szCs w:val="32"/>
        </w:rPr>
        <w:t>”</w:t>
      </w:r>
      <w:r>
        <w:rPr>
          <w:rFonts w:ascii="Times New Roman" w:hAnsi="Times New Roman" w:eastAsia="方正黑体_GBK" w:cs="Times New Roman"/>
          <w:spacing w:val="6"/>
          <w:sz w:val="32"/>
          <w:szCs w:val="32"/>
        </w:rPr>
        <w:t>场景集</w:t>
      </w:r>
      <w:r>
        <w:rPr>
          <w:rFonts w:ascii="Times New Roman" w:hAnsi="Times New Roman" w:eastAsia="方正仿宋_GBK" w:cs="Times New Roman"/>
          <w:sz w:val="32"/>
          <w:szCs w:val="32"/>
        </w:rPr>
        <w:t>，新建500个5G基站，拓展智慧政务、智慧交通、智慧医疗、智慧教育、</w:t>
      </w:r>
      <w:r>
        <w:rPr>
          <w:rFonts w:hint="eastAsia" w:ascii="Times New Roman" w:hAnsi="Times New Roman" w:eastAsia="方正仿宋_GBK" w:cs="Times New Roman"/>
          <w:sz w:val="32"/>
          <w:szCs w:val="32"/>
          <w:lang w:eastAsia="zh-Hans"/>
        </w:rPr>
        <w:t>智慧旅游</w:t>
      </w:r>
      <w:r>
        <w:rPr>
          <w:rFonts w:ascii="Times New Roman" w:hAnsi="Times New Roman" w:eastAsia="方正仿宋_GBK" w:cs="Times New Roman"/>
          <w:sz w:val="32"/>
          <w:szCs w:val="32"/>
        </w:rPr>
        <w:t>等智能化应用。</w:t>
      </w:r>
      <w:r>
        <w:rPr>
          <w:rFonts w:ascii="Times New Roman" w:hAnsi="Times New Roman" w:eastAsia="方正仿宋_GBK" w:cs="Times New Roman"/>
          <w:spacing w:val="6"/>
          <w:sz w:val="32"/>
          <w:szCs w:val="32"/>
        </w:rPr>
        <w:t>培育网络视听、数字文娱等在线新经济，</w:t>
      </w:r>
      <w:r>
        <w:rPr>
          <w:rFonts w:ascii="Times New Roman" w:hAnsi="Times New Roman" w:eastAsia="方正仿宋_GBK" w:cs="Times New Roman"/>
          <w:sz w:val="32"/>
          <w:szCs w:val="32"/>
        </w:rPr>
        <w:t>实现数字经济增加值增长7%。</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楷体_GBK" w:cs="Times New Roman"/>
          <w:spacing w:val="6"/>
          <w:sz w:val="32"/>
          <w:szCs w:val="32"/>
        </w:rPr>
      </w:pPr>
      <w:r>
        <w:rPr>
          <w:rFonts w:ascii="Times New Roman" w:hAnsi="Times New Roman" w:eastAsia="方正楷体_GBK" w:cs="Times New Roman"/>
          <w:spacing w:val="6"/>
          <w:sz w:val="32"/>
          <w:szCs w:val="32"/>
        </w:rPr>
        <w:t>（三）以建设内陆口岸高地为目标</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坚定不移扩大开放</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spacing w:val="6"/>
          <w:sz w:val="32"/>
          <w:szCs w:val="32"/>
        </w:rPr>
        <w:t>积极主动服务国家战略，夯实通道基础、强化枢纽功能、做强口岸经济，加快建设</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四中心一枢纽</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，聚智聚力打造国际物流城</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升级版</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b/>
          <w:spacing w:val="6"/>
          <w:sz w:val="32"/>
          <w:szCs w:val="32"/>
        </w:rPr>
        <w:t>夯实通道基础</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pacing w:val="6"/>
          <w:sz w:val="32"/>
          <w:szCs w:val="32"/>
        </w:rPr>
        <w:t>统筹东西南北</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四向通道</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，加强铁公水空衔接，持续推进中欧班列集结中心建设，着力推动西部陆海新通道向东盟国家拓展，加密渝甬、渝满俄班列频次，班列开行4500班以上。高水平建成国际物流枢纽</w:t>
      </w:r>
      <w:r>
        <w:rPr>
          <w:rFonts w:hint="eastAsia" w:ascii="方正仿宋_GBK" w:hAnsi="方正仿宋_GBK" w:eastAsia="方正仿宋_GBK" w:cs="方正仿宋_GBK"/>
          <w:spacing w:val="6"/>
          <w:sz w:val="32"/>
          <w:szCs w:val="32"/>
        </w:rPr>
        <w:t>·</w:t>
      </w:r>
      <w:r>
        <w:rPr>
          <w:rFonts w:ascii="Times New Roman" w:hAnsi="Times New Roman" w:eastAsia="方正仿宋_GBK" w:cs="Times New Roman"/>
          <w:spacing w:val="6"/>
          <w:sz w:val="32"/>
          <w:szCs w:val="32"/>
        </w:rPr>
        <w:t>口岸高地展示中心，打造集西部陆海新通道、</w:t>
      </w:r>
      <w:r>
        <w:rPr>
          <w:rFonts w:hint="eastAsia" w:ascii="Times New Roman" w:hAnsi="Times New Roman" w:eastAsia="方正仿宋_GBK" w:cs="Times New Roman"/>
          <w:spacing w:val="6"/>
          <w:sz w:val="32"/>
          <w:szCs w:val="32"/>
          <w:lang w:eastAsia="zh-Hans"/>
        </w:rPr>
        <w:t>中欧</w:t>
      </w:r>
      <w:r>
        <w:rPr>
          <w:rFonts w:ascii="Times New Roman" w:hAnsi="Times New Roman" w:eastAsia="方正仿宋_GBK" w:cs="Times New Roman"/>
          <w:spacing w:val="6"/>
          <w:sz w:val="32"/>
          <w:szCs w:val="32"/>
        </w:rPr>
        <w:t>班列（渝新欧）、长江上游航运、重庆航空枢纽于一体的</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多式联运</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产业服务中心，增强通道辐射能力。</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b/>
          <w:spacing w:val="6"/>
          <w:sz w:val="32"/>
          <w:szCs w:val="32"/>
        </w:rPr>
        <w:t>提升枢纽功能</w:t>
      </w:r>
      <w:r>
        <w:rPr>
          <w:rFonts w:ascii="Times New Roman" w:hAnsi="Times New Roman" w:eastAsia="方正仿宋_GBK" w:cs="Times New Roman"/>
          <w:bCs/>
          <w:kern w:val="0"/>
          <w:sz w:val="32"/>
          <w:szCs w:val="32"/>
          <w:lang w:val="zh-CN"/>
        </w:rPr>
        <w:t>。</w:t>
      </w:r>
      <w:r>
        <w:rPr>
          <w:rFonts w:hint="eastAsia" w:ascii="Times New Roman" w:hAnsi="Times New Roman" w:eastAsia="方正仿宋_GBK" w:cs="Times New Roman"/>
          <w:spacing w:val="6"/>
          <w:sz w:val="32"/>
          <w:szCs w:val="32"/>
          <w:lang w:eastAsia="zh-Hans"/>
        </w:rPr>
        <w:t>高质量建设</w:t>
      </w:r>
      <w:r>
        <w:rPr>
          <w:rFonts w:ascii="Times New Roman" w:hAnsi="Times New Roman" w:eastAsia="方正仿宋_GBK" w:cs="Times New Roman"/>
          <w:spacing w:val="6"/>
          <w:sz w:val="32"/>
          <w:szCs w:val="32"/>
        </w:rPr>
        <w:t>铁路口岸综合保税区，</w:t>
      </w:r>
      <w:r>
        <w:rPr>
          <w:rFonts w:hint="eastAsia" w:ascii="Times New Roman" w:hAnsi="Times New Roman" w:eastAsia="方正仿宋_GBK" w:cs="Times New Roman"/>
          <w:spacing w:val="6"/>
          <w:sz w:val="32"/>
          <w:szCs w:val="32"/>
          <w:lang w:eastAsia="zh-Hans"/>
        </w:rPr>
        <w:t>推动差异化发展</w:t>
      </w:r>
      <w:r>
        <w:rPr>
          <w:rFonts w:ascii="Times New Roman" w:hAnsi="Times New Roman" w:eastAsia="方正仿宋_GBK" w:cs="Times New Roman"/>
          <w:spacing w:val="6"/>
          <w:sz w:val="32"/>
          <w:szCs w:val="32"/>
        </w:rPr>
        <w:t>。建成陆海新通道重庆无水港，加快团结村中心站扩容提质，启动建设中心站铁路上跨桥，中转货物量增长8%以上。增设粮食、水果口岸，高水平建设整车口岸，引进德国奔驰内陆分拨中心、大众进口车西南分拨中心，进口整车5000辆以上。做实</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一带一路</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智库中心，优化陆上贸易规则，推动物流降本增效。落户陆海新通道省级联席会议永久会址，打造国际交往中心。</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b/>
          <w:spacing w:val="6"/>
          <w:sz w:val="32"/>
          <w:szCs w:val="32"/>
        </w:rPr>
        <w:t>壮大口岸经济</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pacing w:val="6"/>
          <w:sz w:val="32"/>
          <w:szCs w:val="32"/>
        </w:rPr>
        <w:t>围绕</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通道带物流、物流带经贸、经贸带产业</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，大力发展临港经济。</w:t>
      </w:r>
      <w:r>
        <w:rPr>
          <w:rFonts w:ascii="Times New Roman" w:hAnsi="Times New Roman" w:eastAsia="方正黑体_GBK" w:cs="Times New Roman"/>
          <w:spacing w:val="6"/>
          <w:sz w:val="32"/>
          <w:szCs w:val="32"/>
        </w:rPr>
        <w:t>做强现代物流</w:t>
      </w:r>
      <w:r>
        <w:rPr>
          <w:rFonts w:ascii="Times New Roman" w:hAnsi="Times New Roman" w:eastAsia="方正仿宋_GBK" w:cs="Times New Roman"/>
          <w:spacing w:val="6"/>
          <w:sz w:val="32"/>
          <w:szCs w:val="32"/>
        </w:rPr>
        <w:t>，培育发展国际物流、智慧物流、专业物流，建成国通智慧冷链产业园等15个项目，物流业增加值增长20%以上。</w:t>
      </w:r>
      <w:r>
        <w:rPr>
          <w:rFonts w:ascii="Times New Roman" w:hAnsi="Times New Roman" w:eastAsia="方正黑体_GBK" w:cs="Times New Roman"/>
          <w:spacing w:val="6"/>
          <w:sz w:val="32"/>
          <w:szCs w:val="32"/>
        </w:rPr>
        <w:t>做大国际贸易</w:t>
      </w:r>
      <w:r>
        <w:rPr>
          <w:rFonts w:ascii="Times New Roman" w:hAnsi="Times New Roman" w:eastAsia="方正仿宋_GBK" w:cs="Times New Roman"/>
          <w:spacing w:val="6"/>
          <w:sz w:val="32"/>
          <w:szCs w:val="32"/>
        </w:rPr>
        <w:t>，聚焦</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买全球卖全球</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，加快建设进口商品集散中心、配送中心，推动</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一带一路</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商品交易中心等8个项目落地，进出口额增长5%以上。</w:t>
      </w:r>
      <w:r>
        <w:rPr>
          <w:rFonts w:ascii="Times New Roman" w:hAnsi="Times New Roman" w:eastAsia="方正黑体_GBK" w:cs="Times New Roman"/>
          <w:spacing w:val="6"/>
          <w:sz w:val="32"/>
          <w:szCs w:val="32"/>
        </w:rPr>
        <w:t>做特物流金融</w:t>
      </w:r>
      <w:r>
        <w:rPr>
          <w:rFonts w:ascii="Times New Roman" w:hAnsi="Times New Roman" w:eastAsia="方正仿宋_GBK" w:cs="Times New Roman"/>
          <w:spacing w:val="6"/>
          <w:sz w:val="32"/>
          <w:szCs w:val="32"/>
        </w:rPr>
        <w:t>，引进新型金融机构2家，推动设立重庆物流交易所，积极创建中新示范项目金融科技示范区。</w:t>
      </w:r>
    </w:p>
    <w:p>
      <w:pPr>
        <w:keepNext w:val="0"/>
        <w:keepLines w:val="0"/>
        <w:pageBreakBefore w:val="0"/>
        <w:widowControl w:val="0"/>
        <w:kinsoku/>
        <w:wordWrap/>
        <w:overflowPunct/>
        <w:topLinePunct w:val="0"/>
        <w:bidi w:val="0"/>
        <w:spacing w:line="570" w:lineRule="exact"/>
        <w:ind w:firstLine="720"/>
        <w:textAlignment w:val="auto"/>
        <w:rPr>
          <w:rFonts w:ascii="Times New Roman" w:hAnsi="Times New Roman" w:eastAsia="方正楷体_GBK" w:cs="Times New Roman"/>
          <w:spacing w:val="6"/>
          <w:sz w:val="32"/>
          <w:szCs w:val="32"/>
        </w:rPr>
      </w:pPr>
      <w:r>
        <w:rPr>
          <w:rFonts w:ascii="Times New Roman" w:hAnsi="Times New Roman" w:eastAsia="方正楷体_GBK" w:cs="Times New Roman"/>
          <w:spacing w:val="6"/>
          <w:sz w:val="32"/>
          <w:szCs w:val="32"/>
        </w:rPr>
        <w:t>（四）以推动城市有机生长为抓手</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打造高品质国际化现代都市</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spacing w:val="6"/>
          <w:sz w:val="32"/>
          <w:szCs w:val="32"/>
        </w:rPr>
        <w:t>践行人民城市人民建、人民城市为人民的理念，聚焦城乡融合，紧扣东中西三大作业面，全面提升城市功能品质和可持续发展能力，让城市在自然中有机生长。</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b/>
          <w:spacing w:val="6"/>
          <w:sz w:val="32"/>
          <w:szCs w:val="32"/>
        </w:rPr>
      </w:pPr>
      <w:r>
        <w:rPr>
          <w:rFonts w:ascii="Times New Roman" w:hAnsi="Times New Roman" w:eastAsia="方正仿宋_GBK" w:cs="Times New Roman"/>
          <w:b/>
          <w:spacing w:val="6"/>
          <w:sz w:val="32"/>
          <w:szCs w:val="32"/>
        </w:rPr>
        <w:t>提升城市综合承载力</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pacing w:val="6"/>
          <w:sz w:val="32"/>
          <w:szCs w:val="32"/>
        </w:rPr>
        <w:t>坚持规划引领、生态优先、基础夯实、治理精细原则，加快全域空间优化、全域品质提升、全域产业升级、全域城乡融合。</w:t>
      </w:r>
      <w:r>
        <w:rPr>
          <w:rFonts w:ascii="Times New Roman" w:hAnsi="Times New Roman" w:eastAsia="方正黑体_GBK" w:cs="Times New Roman"/>
          <w:spacing w:val="6"/>
          <w:sz w:val="32"/>
          <w:szCs w:val="32"/>
        </w:rPr>
        <w:t>优化空间布局</w:t>
      </w:r>
      <w:r>
        <w:rPr>
          <w:rFonts w:ascii="Times New Roman" w:hAnsi="Times New Roman" w:eastAsia="方正仿宋_GBK" w:cs="Times New Roman"/>
          <w:spacing w:val="6"/>
          <w:sz w:val="32"/>
          <w:szCs w:val="32"/>
        </w:rPr>
        <w:t>，高水平编制实施国土空间规划，推动20平方公里拓展用地落地。加强城市风貌设计管控，落实</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三线一单</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要求，深挖存量土地潜力，积极盘活低效闲置土地，管好用好每一寸空间。</w:t>
      </w:r>
      <w:r>
        <w:rPr>
          <w:rFonts w:ascii="Times New Roman" w:hAnsi="Times New Roman" w:eastAsia="方正黑体_GBK" w:cs="Times New Roman"/>
          <w:spacing w:val="6"/>
          <w:sz w:val="32"/>
          <w:szCs w:val="32"/>
        </w:rPr>
        <w:t>完善功能配套</w:t>
      </w:r>
      <w:r>
        <w:rPr>
          <w:rFonts w:ascii="Times New Roman" w:hAnsi="Times New Roman" w:eastAsia="方正仿宋_GBK" w:cs="Times New Roman"/>
          <w:spacing w:val="6"/>
          <w:sz w:val="32"/>
          <w:szCs w:val="32"/>
        </w:rPr>
        <w:t>，新增5000个公共停车位，完成125公里道路综合整治，推动科学城隧道等重点项目建设，打通10条未贯通道路，构建内畅外联快速路网。大力实施新基建建设。建成科学大道环境工程等10个项目，新增绿化面积100万平方米。</w:t>
      </w:r>
      <w:r>
        <w:rPr>
          <w:rFonts w:ascii="Times New Roman" w:hAnsi="Times New Roman" w:eastAsia="方正黑体_GBK" w:cs="Times New Roman"/>
          <w:spacing w:val="6"/>
          <w:sz w:val="32"/>
          <w:szCs w:val="32"/>
        </w:rPr>
        <w:t>加强城市管理</w:t>
      </w:r>
      <w:r>
        <w:rPr>
          <w:rFonts w:ascii="Times New Roman" w:hAnsi="Times New Roman" w:eastAsia="方正仿宋_GBK" w:cs="Times New Roman"/>
          <w:spacing w:val="6"/>
          <w:sz w:val="32"/>
          <w:szCs w:val="32"/>
        </w:rPr>
        <w:t>，常态化开展</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马路办公</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，一体推进智慧城市、韧性城市建设，</w:t>
      </w:r>
      <w:r>
        <w:rPr>
          <w:rFonts w:ascii="Times New Roman" w:hAnsi="Times New Roman" w:eastAsia="方正仿宋_GBK" w:cs="Times New Roman"/>
          <w:bCs/>
          <w:spacing w:val="6"/>
          <w:sz w:val="32"/>
          <w:szCs w:val="32"/>
        </w:rPr>
        <w:t>拆除150万平方米违法建筑，</w:t>
      </w:r>
      <w:r>
        <w:rPr>
          <w:rFonts w:ascii="Times New Roman" w:hAnsi="Times New Roman" w:eastAsia="方正仿宋_GBK" w:cs="Times New Roman"/>
          <w:spacing w:val="6"/>
          <w:sz w:val="32"/>
          <w:szCs w:val="32"/>
        </w:rPr>
        <w:t>城市生活垃圾回收利用率达40%，提升城市科学化、精细化、智能化管理水平。</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bCs/>
          <w:spacing w:val="6"/>
          <w:sz w:val="32"/>
          <w:szCs w:val="32"/>
        </w:rPr>
      </w:pPr>
      <w:r>
        <w:rPr>
          <w:rFonts w:ascii="Times New Roman" w:hAnsi="Times New Roman" w:eastAsia="方正仿宋_GBK" w:cs="Times New Roman"/>
          <w:b/>
          <w:spacing w:val="6"/>
          <w:sz w:val="32"/>
          <w:szCs w:val="32"/>
        </w:rPr>
        <w:t>高水平更新东部老城</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bCs/>
          <w:spacing w:val="6"/>
          <w:sz w:val="32"/>
          <w:szCs w:val="32"/>
        </w:rPr>
        <w:t>坚持功能优先、内外兼修，精雕细琢、少拆多改，经济施工、提升品质，推进城市有机生长。</w:t>
      </w:r>
      <w:r>
        <w:rPr>
          <w:rFonts w:ascii="Times New Roman" w:hAnsi="Times New Roman" w:eastAsia="方正黑体_GBK" w:cs="Times New Roman"/>
          <w:spacing w:val="6"/>
          <w:sz w:val="32"/>
          <w:szCs w:val="32"/>
        </w:rPr>
        <w:t>加快城市更新</w:t>
      </w:r>
      <w:r>
        <w:rPr>
          <w:rFonts w:ascii="Times New Roman" w:hAnsi="Times New Roman" w:eastAsia="方正仿宋_GBK" w:cs="Times New Roman"/>
          <w:spacing w:val="6"/>
          <w:sz w:val="32"/>
          <w:szCs w:val="32"/>
        </w:rPr>
        <w:t>，</w:t>
      </w:r>
      <w:r>
        <w:rPr>
          <w:rFonts w:ascii="Times New Roman" w:hAnsi="Times New Roman" w:eastAsia="方正仿宋_GBK" w:cs="Times New Roman"/>
          <w:bCs/>
          <w:spacing w:val="6"/>
          <w:sz w:val="32"/>
          <w:szCs w:val="32"/>
        </w:rPr>
        <w:t>改造石井坡中心湾、双碑堆金村等区域100万平方米老旧小区，整治C、D级危房2万平方米。建成山城步道30公里。</w:t>
      </w:r>
      <w:r>
        <w:rPr>
          <w:rFonts w:ascii="Times New Roman" w:hAnsi="Times New Roman" w:eastAsia="方正仿宋_GBK" w:cs="Times New Roman"/>
          <w:spacing w:val="6"/>
          <w:sz w:val="32"/>
          <w:szCs w:val="32"/>
        </w:rPr>
        <w:t>新建10个社区停车场、文化体育公共设施</w:t>
      </w:r>
      <w:r>
        <w:rPr>
          <w:rFonts w:ascii="Times New Roman" w:hAnsi="Times New Roman" w:eastAsia="方正仿宋_GBK" w:cs="Times New Roman"/>
          <w:bCs/>
          <w:spacing w:val="6"/>
          <w:sz w:val="32"/>
          <w:szCs w:val="32"/>
        </w:rPr>
        <w:t>，建设一批</w:t>
      </w:r>
      <w:r>
        <w:rPr>
          <w:rFonts w:ascii="Times New Roman" w:hAnsi="Times New Roman" w:eastAsia="方正仿宋_GBK" w:cs="Times New Roman"/>
          <w:spacing w:val="6"/>
          <w:sz w:val="32"/>
          <w:szCs w:val="32"/>
        </w:rPr>
        <w:t>小花园、小步道、小书吧、小驿站、小设施，打造</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群众家门口的风景</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w:t>
      </w:r>
      <w:r>
        <w:rPr>
          <w:rFonts w:ascii="Times New Roman" w:hAnsi="Times New Roman" w:eastAsia="方正黑体_GBK" w:cs="Times New Roman"/>
          <w:spacing w:val="6"/>
          <w:sz w:val="32"/>
          <w:szCs w:val="32"/>
        </w:rPr>
        <w:t>加快</w:t>
      </w:r>
      <w:r>
        <w:rPr>
          <w:rFonts w:hint="eastAsia" w:ascii="Times New Roman" w:hAnsi="Times New Roman" w:eastAsia="方正仿宋_GBK" w:cs="Times New Roman"/>
          <w:spacing w:val="6"/>
          <w:sz w:val="32"/>
          <w:szCs w:val="32"/>
        </w:rPr>
        <w:t>“</w:t>
      </w:r>
      <w:r>
        <w:rPr>
          <w:rFonts w:ascii="Times New Roman" w:hAnsi="Times New Roman" w:eastAsia="方正黑体_GBK" w:cs="Times New Roman"/>
          <w:spacing w:val="6"/>
          <w:sz w:val="32"/>
          <w:szCs w:val="32"/>
        </w:rPr>
        <w:t>四周四沿</w:t>
      </w:r>
      <w:r>
        <w:rPr>
          <w:rFonts w:hint="eastAsia" w:ascii="Times New Roman" w:hAnsi="Times New Roman" w:eastAsia="方正仿宋_GBK" w:cs="Times New Roman"/>
          <w:spacing w:val="6"/>
          <w:sz w:val="32"/>
          <w:szCs w:val="32"/>
        </w:rPr>
        <w:t>”</w:t>
      </w:r>
      <w:r>
        <w:rPr>
          <w:rFonts w:ascii="Times New Roman" w:hAnsi="Times New Roman" w:eastAsia="方正黑体_GBK" w:cs="Times New Roman"/>
          <w:spacing w:val="6"/>
          <w:sz w:val="32"/>
          <w:szCs w:val="32"/>
        </w:rPr>
        <w:t>整治改造</w:t>
      </w:r>
      <w:r>
        <w:rPr>
          <w:rFonts w:ascii="Times New Roman" w:hAnsi="Times New Roman" w:eastAsia="方正仿宋_GBK" w:cs="Times New Roman"/>
          <w:spacing w:val="6"/>
          <w:sz w:val="32"/>
          <w:szCs w:val="32"/>
        </w:rPr>
        <w:t>，</w:t>
      </w:r>
      <w:r>
        <w:rPr>
          <w:rFonts w:ascii="Times New Roman" w:hAnsi="Times New Roman" w:eastAsia="方正仿宋_GBK" w:cs="Times New Roman"/>
          <w:bCs/>
          <w:spacing w:val="6"/>
          <w:sz w:val="32"/>
          <w:szCs w:val="32"/>
        </w:rPr>
        <w:t>提升重庆大学、西南政法大学、四川外国语大学等校园周边品质，开展西南医院、新桥医院、重庆肿瘤医院周边环境整治，规范歌乐山</w:t>
      </w:r>
      <w:r>
        <w:rPr>
          <w:rFonts w:hint="eastAsia" w:ascii="方正仿宋_GBK" w:hAnsi="方正仿宋_GBK" w:eastAsia="方正仿宋_GBK" w:cs="方正仿宋_GBK"/>
          <w:bCs/>
          <w:spacing w:val="6"/>
          <w:sz w:val="32"/>
          <w:szCs w:val="32"/>
        </w:rPr>
        <w:t>·</w:t>
      </w:r>
      <w:r>
        <w:rPr>
          <w:rFonts w:ascii="Times New Roman" w:hAnsi="Times New Roman" w:eastAsia="方正仿宋_GBK" w:cs="Times New Roman"/>
          <w:bCs/>
          <w:spacing w:val="6"/>
          <w:sz w:val="32"/>
          <w:szCs w:val="32"/>
        </w:rPr>
        <w:t>磁器口等景区周边秩序，实施三峡商圈周边治堵保畅行动，完成名人广场建设。整体提升内环快速路沿线品质，开展212国道井双段沿线外立面整治，拆除新山路沿线10万平方米违法建筑，美化沙滨路、中井路等道路沿线环境，让路线成为风景线。</w:t>
      </w:r>
      <w:r>
        <w:rPr>
          <w:rFonts w:ascii="Times New Roman" w:hAnsi="Times New Roman" w:eastAsia="方正黑体_GBK" w:cs="Times New Roman"/>
          <w:spacing w:val="6"/>
          <w:sz w:val="32"/>
          <w:szCs w:val="32"/>
        </w:rPr>
        <w:t>打造嘉陵湾区</w:t>
      </w:r>
      <w:r>
        <w:rPr>
          <w:rFonts w:ascii="Times New Roman" w:hAnsi="Times New Roman" w:eastAsia="方正仿宋_GBK" w:cs="Times New Roman"/>
          <w:spacing w:val="6"/>
          <w:sz w:val="32"/>
          <w:szCs w:val="32"/>
        </w:rPr>
        <w:t>，</w:t>
      </w:r>
      <w:r>
        <w:rPr>
          <w:rFonts w:ascii="Times New Roman" w:hAnsi="Times New Roman" w:eastAsia="方正仿宋_GBK" w:cs="Times New Roman"/>
          <w:bCs/>
          <w:spacing w:val="6"/>
          <w:sz w:val="32"/>
          <w:szCs w:val="32"/>
        </w:rPr>
        <w:t>加快滨江贯通工程建设，深化提升</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三山两溪</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w:t>
      </w:r>
      <w:r>
        <w:rPr>
          <w:rFonts w:ascii="Times New Roman" w:hAnsi="Times New Roman" w:eastAsia="方正仿宋_GBK" w:cs="Times New Roman"/>
          <w:sz w:val="32"/>
          <w:szCs w:val="32"/>
        </w:rPr>
        <w:t>建成江山公园、两溪花谷、江野风情岸线，</w:t>
      </w:r>
      <w:r>
        <w:rPr>
          <w:rFonts w:ascii="Times New Roman" w:hAnsi="Times New Roman" w:eastAsia="方正仿宋_GBK" w:cs="Times New Roman"/>
          <w:bCs/>
          <w:spacing w:val="6"/>
          <w:sz w:val="32"/>
          <w:szCs w:val="32"/>
        </w:rPr>
        <w:t>打造</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龙饮嘉陵</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沉浸式旅游新动线，加快建设金碧正街、磁器口外街，建成磁器口后街二期项目</w:t>
      </w:r>
      <w:r>
        <w:rPr>
          <w:rFonts w:ascii="Times New Roman" w:hAnsi="Times New Roman" w:eastAsia="方正仿宋_GBK" w:cs="Times New Roman"/>
          <w:sz w:val="32"/>
          <w:szCs w:val="32"/>
        </w:rPr>
        <w:t>，让千年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老磁器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变成时代</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新磁场</w:t>
      </w:r>
      <w:r>
        <w:rPr>
          <w:rFonts w:hint="eastAsia" w:ascii="Times New Roman" w:hAnsi="Times New Roman" w:eastAsia="方正仿宋_GBK" w:cs="Times New Roman"/>
          <w:sz w:val="32"/>
          <w:szCs w:val="32"/>
        </w:rPr>
        <w:t>”</w:t>
      </w:r>
      <w:r>
        <w:rPr>
          <w:rFonts w:ascii="Times New Roman" w:hAnsi="Times New Roman" w:eastAsia="方正仿宋_GBK" w:cs="Times New Roman"/>
          <w:bCs/>
          <w:spacing w:val="6"/>
          <w:sz w:val="32"/>
          <w:szCs w:val="32"/>
        </w:rPr>
        <w:t>。</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bCs/>
          <w:spacing w:val="6"/>
          <w:sz w:val="32"/>
          <w:szCs w:val="32"/>
        </w:rPr>
      </w:pPr>
      <w:r>
        <w:rPr>
          <w:rFonts w:ascii="Times New Roman" w:hAnsi="Times New Roman" w:eastAsia="方正仿宋_GBK" w:cs="Times New Roman"/>
          <w:b/>
          <w:spacing w:val="6"/>
          <w:sz w:val="32"/>
          <w:szCs w:val="32"/>
        </w:rPr>
        <w:t>高标准建设西部新城</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bCs/>
          <w:spacing w:val="6"/>
          <w:sz w:val="32"/>
          <w:szCs w:val="32"/>
        </w:rPr>
        <w:t>坚持规划、生态、基础、景观、配套</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五个先行</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，完成西部新城城市设计，优化</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一廊两心三组团</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空间布局，建设未来之城、开放之城、生态之城、产业之城。</w:t>
      </w:r>
      <w:r>
        <w:rPr>
          <w:rFonts w:ascii="Times New Roman" w:hAnsi="Times New Roman" w:eastAsia="方正黑体_GBK" w:cs="Times New Roman"/>
          <w:spacing w:val="6"/>
          <w:sz w:val="32"/>
          <w:szCs w:val="32"/>
        </w:rPr>
        <w:t>打造</w:t>
      </w:r>
      <w:r>
        <w:rPr>
          <w:rFonts w:ascii="Times New Roman" w:hAnsi="Times New Roman" w:eastAsia="方正仿宋_GBK" w:cs="Times New Roman"/>
          <w:spacing w:val="6"/>
          <w:sz w:val="32"/>
          <w:szCs w:val="32"/>
        </w:rPr>
        <w:t>百里生态画廊，</w:t>
      </w:r>
      <w:r>
        <w:rPr>
          <w:rFonts w:ascii="Times New Roman" w:hAnsi="Times New Roman" w:eastAsia="方正仿宋_GBK" w:cs="Times New Roman"/>
          <w:bCs/>
          <w:spacing w:val="6"/>
          <w:sz w:val="32"/>
          <w:szCs w:val="32"/>
        </w:rPr>
        <w:t>串联梁滩河6条次级支流，新建35公里地下管网，打造6公里城市绿廊，建成陈家桥滨河公园。</w:t>
      </w:r>
      <w:r>
        <w:rPr>
          <w:rFonts w:ascii="Times New Roman" w:hAnsi="Times New Roman" w:eastAsia="方正黑体_GBK" w:cs="Times New Roman"/>
          <w:spacing w:val="6"/>
          <w:sz w:val="32"/>
          <w:szCs w:val="32"/>
        </w:rPr>
        <w:t>加快</w:t>
      </w:r>
      <w:r>
        <w:rPr>
          <w:rFonts w:ascii="Times New Roman" w:hAnsi="Times New Roman" w:eastAsia="方正仿宋_GBK" w:cs="Times New Roman"/>
          <w:spacing w:val="6"/>
          <w:sz w:val="32"/>
          <w:szCs w:val="32"/>
        </w:rPr>
        <w:t>科学城枢纽站、五云湖城市中心建设，</w:t>
      </w:r>
      <w:r>
        <w:rPr>
          <w:rFonts w:ascii="Times New Roman" w:hAnsi="Times New Roman" w:eastAsia="方正仿宋_GBK" w:cs="Times New Roman"/>
          <w:bCs/>
          <w:spacing w:val="6"/>
          <w:sz w:val="32"/>
          <w:szCs w:val="32"/>
        </w:rPr>
        <w:t>高标准规划科学城枢纽片区，启动建设国际物流贸易大厦，建成自贸区企业创新服务中心，提档中心商务区绿化品质，展现</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国际范</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、彰显</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重庆味</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w:t>
      </w:r>
      <w:r>
        <w:rPr>
          <w:rFonts w:ascii="Times New Roman" w:hAnsi="Times New Roman" w:eastAsia="方正黑体_GBK" w:cs="Times New Roman"/>
          <w:spacing w:val="6"/>
          <w:sz w:val="32"/>
          <w:szCs w:val="32"/>
        </w:rPr>
        <w:t>推动</w:t>
      </w:r>
      <w:r>
        <w:rPr>
          <w:rFonts w:ascii="Times New Roman" w:hAnsi="Times New Roman" w:eastAsia="方正仿宋_GBK" w:cs="Times New Roman"/>
          <w:spacing w:val="6"/>
          <w:sz w:val="32"/>
          <w:szCs w:val="32"/>
        </w:rPr>
        <w:t>国际物流城、青凤科创城、高品质国际社区联动发展，</w:t>
      </w:r>
      <w:r>
        <w:rPr>
          <w:rFonts w:ascii="Times New Roman" w:hAnsi="Times New Roman" w:eastAsia="方正仿宋_GBK" w:cs="Times New Roman"/>
          <w:bCs/>
          <w:spacing w:val="6"/>
          <w:sz w:val="32"/>
          <w:szCs w:val="32"/>
        </w:rPr>
        <w:t>加快大学城北拓区开发建设。</w:t>
      </w:r>
      <w:r>
        <w:rPr>
          <w:rFonts w:ascii="Times New Roman" w:hAnsi="Times New Roman" w:eastAsia="方正仿宋_GBK" w:cs="Times New Roman"/>
          <w:spacing w:val="6"/>
          <w:sz w:val="32"/>
          <w:szCs w:val="32"/>
        </w:rPr>
        <w:t>提速</w:t>
      </w:r>
      <w:r>
        <w:rPr>
          <w:rFonts w:ascii="Times New Roman" w:hAnsi="Times New Roman" w:eastAsia="方正仿宋_GBK" w:cs="Times New Roman"/>
          <w:bCs/>
          <w:spacing w:val="6"/>
          <w:sz w:val="32"/>
          <w:szCs w:val="32"/>
        </w:rPr>
        <w:t>建设轨道7号线、15号线、17号线、27号线。完善教育、医疗配套，植入商务商贸、国际交往、文化交流功能，推动产学研教城景深度融合。</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bCs/>
          <w:spacing w:val="6"/>
          <w:sz w:val="32"/>
          <w:szCs w:val="32"/>
        </w:rPr>
      </w:pPr>
      <w:r>
        <w:rPr>
          <w:rFonts w:ascii="Times New Roman" w:hAnsi="Times New Roman" w:eastAsia="方正仿宋_GBK" w:cs="Times New Roman"/>
          <w:b/>
          <w:bCs/>
          <w:spacing w:val="6"/>
          <w:sz w:val="32"/>
          <w:szCs w:val="32"/>
        </w:rPr>
        <w:t>高质量打造中部诗意田园</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bCs/>
          <w:spacing w:val="6"/>
          <w:sz w:val="32"/>
          <w:szCs w:val="32"/>
        </w:rPr>
        <w:t>紧扣</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二十字</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工作总要求，大力实施乡村振兴，让美丽乡村成为人们永恒的乡愁。</w:t>
      </w:r>
      <w:r>
        <w:rPr>
          <w:rFonts w:ascii="Times New Roman" w:hAnsi="Times New Roman" w:eastAsia="方正黑体_GBK" w:cs="Times New Roman"/>
          <w:spacing w:val="6"/>
          <w:sz w:val="32"/>
          <w:szCs w:val="32"/>
        </w:rPr>
        <w:t>加强乡村建设</w:t>
      </w:r>
      <w:r>
        <w:rPr>
          <w:rFonts w:ascii="Times New Roman" w:hAnsi="Times New Roman" w:eastAsia="方正仿宋_GBK" w:cs="Times New Roman"/>
          <w:spacing w:val="6"/>
          <w:sz w:val="32"/>
          <w:szCs w:val="32"/>
        </w:rPr>
        <w:t>，</w:t>
      </w:r>
      <w:r>
        <w:rPr>
          <w:rFonts w:ascii="Times New Roman" w:hAnsi="Times New Roman" w:eastAsia="方正仿宋_GBK" w:cs="Times New Roman"/>
          <w:bCs/>
          <w:spacing w:val="6"/>
          <w:sz w:val="32"/>
          <w:szCs w:val="32"/>
        </w:rPr>
        <w:t>全面完成村规划编制，深化农村人居环境整治，补齐基础设施短板，持续开展</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一化两改三不见</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专项行动，新改建</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四好农村路</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50公里，农房风貌整治提升1500户、改厕1220户，栽种花卉果木25万平方米，建美田园、菜园、果园、花园和家园，让乡村在土味中彰显品味，在质朴中体现大美。</w:t>
      </w:r>
      <w:r>
        <w:rPr>
          <w:rFonts w:ascii="Times New Roman" w:hAnsi="Times New Roman" w:eastAsia="方正黑体_GBK" w:cs="Times New Roman"/>
          <w:spacing w:val="6"/>
          <w:sz w:val="32"/>
          <w:szCs w:val="32"/>
        </w:rPr>
        <w:t>加快产业发展</w:t>
      </w:r>
      <w:r>
        <w:rPr>
          <w:rFonts w:ascii="Times New Roman" w:hAnsi="Times New Roman" w:eastAsia="方正仿宋_GBK" w:cs="Times New Roman"/>
          <w:spacing w:val="6"/>
          <w:sz w:val="32"/>
          <w:szCs w:val="32"/>
        </w:rPr>
        <w:t>，</w:t>
      </w:r>
      <w:r>
        <w:rPr>
          <w:rFonts w:ascii="Times New Roman" w:hAnsi="Times New Roman" w:eastAsia="方正仿宋_GBK" w:cs="Times New Roman"/>
          <w:bCs/>
          <w:spacing w:val="6"/>
          <w:sz w:val="32"/>
          <w:szCs w:val="32"/>
        </w:rPr>
        <w:t>深化农村</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三变</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改革，建实群众利益联结机制，村集体经济经营收入增长11%。建设丰文三河村、中梁—歌乐乡村振兴示范片，发展精品果蔬、农事体验、赏花采摘、休闲垂钓、民宿康养、户外运动等现代都市农业，全面盘活撂荒地、闲置农房，培育10个产业基地、8家龙头企业，推动农旅文深度融合。</w:t>
      </w:r>
      <w:r>
        <w:rPr>
          <w:rFonts w:ascii="Times New Roman" w:hAnsi="Times New Roman" w:eastAsia="方正黑体_GBK" w:cs="Times New Roman"/>
          <w:spacing w:val="6"/>
          <w:sz w:val="32"/>
          <w:szCs w:val="32"/>
        </w:rPr>
        <w:t>推进乡村善治</w:t>
      </w:r>
      <w:r>
        <w:rPr>
          <w:rFonts w:ascii="Times New Roman" w:hAnsi="Times New Roman" w:eastAsia="方正仿宋_GBK" w:cs="Times New Roman"/>
          <w:spacing w:val="6"/>
          <w:sz w:val="32"/>
          <w:szCs w:val="32"/>
        </w:rPr>
        <w:t>，</w:t>
      </w:r>
      <w:r>
        <w:rPr>
          <w:rFonts w:ascii="Times New Roman" w:hAnsi="Times New Roman" w:eastAsia="方正仿宋_GBK" w:cs="Times New Roman"/>
          <w:bCs/>
          <w:spacing w:val="6"/>
          <w:sz w:val="32"/>
          <w:szCs w:val="32"/>
        </w:rPr>
        <w:t>加强乡村人才队伍建设，打造3个乡村会客厅，建设数字乡村。广泛推行</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积分制</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，成立村民理事会，激发群众内生动力。</w:t>
      </w:r>
    </w:p>
    <w:p>
      <w:pPr>
        <w:keepNext w:val="0"/>
        <w:keepLines w:val="0"/>
        <w:pageBreakBefore w:val="0"/>
        <w:widowControl w:val="0"/>
        <w:kinsoku/>
        <w:wordWrap/>
        <w:overflowPunct/>
        <w:topLinePunct w:val="0"/>
        <w:bidi w:val="0"/>
        <w:spacing w:line="570" w:lineRule="exact"/>
        <w:ind w:firstLine="492" w:firstLineChars="150"/>
        <w:textAlignment w:val="auto"/>
        <w:rPr>
          <w:rFonts w:ascii="Times New Roman" w:hAnsi="Times New Roman" w:eastAsia="方正楷体_GBK" w:cs="Times New Roman"/>
          <w:spacing w:val="6"/>
          <w:sz w:val="32"/>
          <w:szCs w:val="32"/>
        </w:rPr>
      </w:pPr>
      <w:r>
        <w:rPr>
          <w:rFonts w:ascii="Times New Roman" w:hAnsi="Times New Roman" w:eastAsia="方正楷体_GBK" w:cs="Times New Roman"/>
          <w:spacing w:val="6"/>
          <w:sz w:val="32"/>
          <w:szCs w:val="32"/>
        </w:rPr>
        <w:t>（五）以生态优先绿色发展为遵循</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大力提升区域生态环境质量</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spacing w:val="6"/>
          <w:sz w:val="32"/>
          <w:szCs w:val="32"/>
        </w:rPr>
        <w:t>坚持生态城市生态建、生态管，保持敬畏之心，坚定不移走绿色发展之路，持续提升生态环境品质。</w:t>
      </w:r>
    </w:p>
    <w:p>
      <w:pPr>
        <w:keepNext w:val="0"/>
        <w:keepLines w:val="0"/>
        <w:pageBreakBefore w:val="0"/>
        <w:widowControl w:val="0"/>
        <w:kinsoku/>
        <w:wordWrap/>
        <w:overflowPunct/>
        <w:topLinePunct w:val="0"/>
        <w:bidi w:val="0"/>
        <w:spacing w:line="570" w:lineRule="exact"/>
        <w:ind w:firstLine="647" w:firstLineChars="197"/>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b/>
          <w:spacing w:val="6"/>
          <w:sz w:val="32"/>
          <w:szCs w:val="32"/>
        </w:rPr>
        <w:t>提升生态系统稳定性</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pacing w:val="6"/>
          <w:sz w:val="32"/>
          <w:szCs w:val="32"/>
        </w:rPr>
        <w:t>统筹山水林田湖草系统治理，加大地质灾害防治力度，加强生物多样性保护，提升生态系统质量和服务功能。强化嘉陵江等流域生态治理，落实长江</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十年禁渔</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政策，</w:t>
      </w:r>
      <w:r>
        <w:rPr>
          <w:rFonts w:ascii="Times New Roman" w:hAnsi="Times New Roman" w:eastAsia="方正仿宋_GBK" w:cs="Times New Roman"/>
          <w:bCs/>
          <w:spacing w:val="6"/>
          <w:sz w:val="32"/>
          <w:szCs w:val="32"/>
        </w:rPr>
        <w:t>建成清水溪、凤凰溪</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清水绿岸</w:t>
      </w:r>
      <w:r>
        <w:rPr>
          <w:rFonts w:hint="eastAsia" w:ascii="Times New Roman" w:hAnsi="Times New Roman" w:eastAsia="方正仿宋_GBK" w:cs="Times New Roman"/>
          <w:bCs/>
          <w:spacing w:val="6"/>
          <w:sz w:val="32"/>
          <w:szCs w:val="32"/>
        </w:rPr>
        <w:t>”</w:t>
      </w:r>
      <w:r>
        <w:rPr>
          <w:rFonts w:ascii="Times New Roman" w:hAnsi="Times New Roman" w:eastAsia="方正仿宋_GBK" w:cs="Times New Roman"/>
          <w:bCs/>
          <w:spacing w:val="6"/>
          <w:sz w:val="32"/>
          <w:szCs w:val="32"/>
        </w:rPr>
        <w:t>工程。</w:t>
      </w:r>
      <w:r>
        <w:rPr>
          <w:rFonts w:ascii="Times New Roman" w:hAnsi="Times New Roman" w:eastAsia="方正仿宋_GBK" w:cs="Times New Roman"/>
          <w:spacing w:val="6"/>
          <w:sz w:val="32"/>
          <w:szCs w:val="32"/>
        </w:rPr>
        <w:t>扎实推进</w:t>
      </w:r>
      <w:r>
        <w:rPr>
          <w:rFonts w:ascii="Times New Roman" w:hAnsi="Times New Roman" w:eastAsia="方正仿宋_GBK" w:cs="Times New Roman"/>
          <w:sz w:val="32"/>
          <w:szCs w:val="32"/>
        </w:rPr>
        <w:t>中梁山、缙云山保护提升，加快青木湖综合治理，建设</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两岸青山</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千里林带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700亩，建成28公里缙云山生态环道，打造</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都市肺叶、生态屏障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pacing w:line="570" w:lineRule="exact"/>
        <w:ind w:firstLine="647" w:firstLineChars="197"/>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b/>
          <w:spacing w:val="6"/>
          <w:sz w:val="32"/>
          <w:szCs w:val="32"/>
        </w:rPr>
        <w:t>打好污染防治攻坚战</w:t>
      </w:r>
      <w:r>
        <w:rPr>
          <w:rFonts w:ascii="Times New Roman" w:hAnsi="Times New Roman" w:eastAsia="方正仿宋_GBK" w:cs="Times New Roman"/>
          <w:bCs/>
          <w:kern w:val="0"/>
          <w:sz w:val="32"/>
          <w:szCs w:val="32"/>
          <w:lang w:val="zh-CN"/>
        </w:rPr>
        <w:t>。</w:t>
      </w:r>
      <w:r>
        <w:rPr>
          <w:rFonts w:ascii="Times New Roman" w:hAnsi="Times New Roman" w:eastAsia="方正黑体_GBK" w:cs="Times New Roman"/>
          <w:spacing w:val="6"/>
          <w:sz w:val="32"/>
          <w:szCs w:val="32"/>
        </w:rPr>
        <w:t>深入打好蓝天保卫战</w:t>
      </w:r>
      <w:r>
        <w:rPr>
          <w:rFonts w:ascii="Times New Roman" w:hAnsi="Times New Roman" w:eastAsia="方正仿宋_GBK" w:cs="Times New Roman"/>
          <w:spacing w:val="6"/>
          <w:sz w:val="32"/>
          <w:szCs w:val="32"/>
        </w:rPr>
        <w:t>，完善大气污染源动态监管平台，全面落实</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四控两增</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，严格控制PM</w:t>
      </w:r>
      <w:r>
        <w:rPr>
          <w:rFonts w:ascii="Times New Roman" w:hAnsi="Times New Roman" w:eastAsia="方正仿宋_GBK" w:cs="Times New Roman"/>
          <w:spacing w:val="6"/>
          <w:sz w:val="32"/>
          <w:szCs w:val="32"/>
          <w:vertAlign w:val="subscript"/>
        </w:rPr>
        <w:t>2.5</w:t>
      </w:r>
      <w:r>
        <w:rPr>
          <w:rFonts w:ascii="Times New Roman" w:hAnsi="Times New Roman" w:eastAsia="方正仿宋_GBK" w:cs="Times New Roman"/>
          <w:spacing w:val="6"/>
          <w:sz w:val="32"/>
          <w:szCs w:val="32"/>
        </w:rPr>
        <w:t>和臭氧污染，确保全年优良天数达306天。</w:t>
      </w:r>
      <w:r>
        <w:rPr>
          <w:rFonts w:ascii="Times New Roman" w:hAnsi="Times New Roman" w:eastAsia="方正黑体_GBK" w:cs="Times New Roman"/>
          <w:spacing w:val="6"/>
          <w:sz w:val="32"/>
          <w:szCs w:val="32"/>
        </w:rPr>
        <w:t>深入打好碧水保卫战</w:t>
      </w:r>
      <w:r>
        <w:rPr>
          <w:rFonts w:ascii="Times New Roman" w:hAnsi="Times New Roman" w:eastAsia="方正仿宋_GBK" w:cs="Times New Roman"/>
          <w:spacing w:val="6"/>
          <w:sz w:val="32"/>
          <w:szCs w:val="32"/>
        </w:rPr>
        <w:t>，建成沙田污水处理厂，扩建西永、土主污水处理厂，提高城市、乡镇生活污水集中处理率，不断改善水环境质量。</w:t>
      </w:r>
      <w:r>
        <w:rPr>
          <w:rFonts w:ascii="Times New Roman" w:hAnsi="Times New Roman" w:eastAsia="方正黑体_GBK" w:cs="Times New Roman"/>
          <w:spacing w:val="6"/>
          <w:sz w:val="32"/>
          <w:szCs w:val="32"/>
        </w:rPr>
        <w:t>深入打好净土保卫战</w:t>
      </w:r>
      <w:r>
        <w:rPr>
          <w:rFonts w:ascii="Times New Roman" w:hAnsi="Times New Roman" w:eastAsia="方正仿宋_GBK" w:cs="Times New Roman"/>
          <w:spacing w:val="6"/>
          <w:sz w:val="32"/>
          <w:szCs w:val="32"/>
        </w:rPr>
        <w:t>，巩固</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无废城市</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建设成果，治理修复4万立方米污染土壤，确保土壤环境质量总体稳定。常态长效推进生态环境问题整改，提高生态环境监管执法效能。</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b/>
          <w:spacing w:val="6"/>
          <w:sz w:val="32"/>
          <w:szCs w:val="32"/>
        </w:rPr>
        <w:t>培育绿色低碳新动能</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bCs/>
          <w:spacing w:val="6"/>
          <w:sz w:val="32"/>
          <w:szCs w:val="32"/>
        </w:rPr>
        <w:t>推进碳达峰碳中和行动</w:t>
      </w:r>
      <w:r>
        <w:rPr>
          <w:rFonts w:ascii="Times New Roman" w:hAnsi="Times New Roman" w:eastAsia="方正仿宋_GBK" w:cs="Times New Roman"/>
          <w:spacing w:val="6"/>
          <w:sz w:val="32"/>
          <w:szCs w:val="32"/>
        </w:rPr>
        <w:t>，严格控制能源消耗总量和强度。禁止高</w:t>
      </w:r>
      <w:r>
        <w:rPr>
          <w:rFonts w:hint="eastAsia" w:ascii="Times New Roman" w:hAnsi="Times New Roman" w:eastAsia="方正仿宋_GBK" w:cs="Times New Roman"/>
          <w:spacing w:val="6"/>
          <w:sz w:val="32"/>
          <w:szCs w:val="32"/>
          <w:lang w:eastAsia="zh-Hans"/>
        </w:rPr>
        <w:t>碳</w:t>
      </w:r>
      <w:r>
        <w:rPr>
          <w:rFonts w:ascii="Times New Roman" w:hAnsi="Times New Roman" w:eastAsia="方正仿宋_GBK" w:cs="Times New Roman"/>
          <w:spacing w:val="6"/>
          <w:sz w:val="32"/>
          <w:szCs w:val="32"/>
        </w:rPr>
        <w:t>排放项目，推进产业生态化、生态产业化，持续巩固</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散乱污</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企业整治成果，完成3家企业绿色节能化改造，发展生态农业、生态康养、节能环保等产业。实施美丽沙坪坝建设全民行动，推广低碳生活方式，倡导绿色出行、绿色消费，创建绿色社区63个。</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楷体_GBK" w:cs="Times New Roman"/>
          <w:spacing w:val="6"/>
          <w:sz w:val="32"/>
          <w:szCs w:val="32"/>
        </w:rPr>
      </w:pPr>
      <w:r>
        <w:rPr>
          <w:rFonts w:ascii="Times New Roman" w:hAnsi="Times New Roman" w:eastAsia="方正楷体_GBK" w:cs="Times New Roman"/>
          <w:spacing w:val="6"/>
          <w:sz w:val="32"/>
          <w:szCs w:val="32"/>
        </w:rPr>
        <w:t>（六）以创造高品质生活为目的</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切实增进民生福祉</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spacing w:val="6"/>
          <w:sz w:val="32"/>
          <w:szCs w:val="32"/>
        </w:rPr>
        <w:t>坚持以人民为中心的发展思想，尽力而为、量力而行，大力保障和改善民生，鼓励共同奋斗创造美好生活。</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b/>
          <w:spacing w:val="6"/>
          <w:sz w:val="32"/>
          <w:szCs w:val="32"/>
        </w:rPr>
        <w:t>抓好常态化疫情防控</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pacing w:val="6"/>
          <w:sz w:val="32"/>
          <w:szCs w:val="32"/>
        </w:rPr>
        <w:t>坚持</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外防输入、内防反弹</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总策略，统筹做好</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防、备、接</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三件事，压实</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四方责任</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，落实</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四早</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要求，坚持</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人</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物</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同防、闭环严防、关口细防、横向联防、社会谨防，强化高风险岗位人员、口岸货物和重点场所管控。健全疫情防控应急指挥体系，全面提升应急处置能力。加快疫苗接种，构筑全民免疫屏障，巩固来之不易的疫情防控成果，守护好人民群众生命安全和身体健康。</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b/>
          <w:spacing w:val="6"/>
          <w:sz w:val="32"/>
          <w:szCs w:val="32"/>
        </w:rPr>
        <w:t>提高民生保障水平</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pacing w:val="6"/>
          <w:sz w:val="32"/>
          <w:szCs w:val="32"/>
        </w:rPr>
        <w:t>时刻把群众安危冷暖、急难愁盼放在心上，扎实办好民生实事。强化就业优先政策，建设大学生就业创业孵化中心，精准帮扶重点群体就业创业，新增城镇就业3万人。深入推进全民参保计划，完善社会救助机制，打造</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沙慈公益</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品牌，实施独居老人、监护缺失儿童关爱计划，深入推进居家养老、社区养老，新增550个婴幼儿托位。全面落实粮食安全行政首长责任制。</w:t>
      </w:r>
    </w:p>
    <w:p>
      <w:pPr>
        <w:keepNext w:val="0"/>
        <w:keepLines w:val="0"/>
        <w:pageBreakBefore w:val="0"/>
        <w:widowControl w:val="0"/>
        <w:kinsoku/>
        <w:wordWrap/>
        <w:overflowPunct/>
        <w:topLinePunct w:val="0"/>
        <w:bidi w:val="0"/>
        <w:spacing w:line="570" w:lineRule="exact"/>
        <w:ind w:firstLine="647" w:firstLineChars="197"/>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b/>
          <w:spacing w:val="6"/>
          <w:sz w:val="32"/>
          <w:szCs w:val="32"/>
        </w:rPr>
        <w:t>优化公共服务供给</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pacing w:val="6"/>
          <w:sz w:val="32"/>
          <w:szCs w:val="32"/>
        </w:rPr>
        <w:t>办好人民满意教育，深入落实</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双减</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政策，推动优质学校集群化发展，加快建设树人和平小学等4所中小学，积极创建全国学前教育普及普惠区、义务教育优质均衡发展区，</w:t>
      </w:r>
      <w:r>
        <w:rPr>
          <w:rFonts w:hint="eastAsia" w:ascii="Times New Roman" w:hAnsi="Times New Roman" w:eastAsia="方正仿宋_GBK" w:cs="Times New Roman"/>
          <w:spacing w:val="6"/>
          <w:sz w:val="32"/>
          <w:szCs w:val="32"/>
          <w:lang w:eastAsia="zh-Hans"/>
        </w:rPr>
        <w:t>推动高中教育“双新”发展</w:t>
      </w:r>
      <w:r>
        <w:rPr>
          <w:rFonts w:ascii="Times New Roman" w:hAnsi="Times New Roman" w:eastAsia="方正仿宋_GBK" w:cs="Times New Roman"/>
          <w:spacing w:val="6"/>
          <w:sz w:val="32"/>
          <w:szCs w:val="32"/>
          <w:lang w:eastAsia="zh-Hans"/>
        </w:rPr>
        <w:t>，</w:t>
      </w:r>
      <w:r>
        <w:rPr>
          <w:rFonts w:ascii="Times New Roman" w:hAnsi="Times New Roman" w:eastAsia="方正仿宋_GBK" w:cs="Times New Roman"/>
          <w:spacing w:val="6"/>
          <w:sz w:val="32"/>
          <w:szCs w:val="32"/>
        </w:rPr>
        <w:t>大力实施职业教育</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双优</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双高</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计划。实施健康中国沙坪坝行动，启动人民医院、中医院三级医院创建，加快疾控中心、妇幼保健院迁建。新建3个社区体育公园、30个社区健身点。完善公共文化服务体系，加快建设</w:t>
      </w:r>
      <w:r>
        <w:rPr>
          <w:rFonts w:ascii="Times New Roman" w:hAnsi="Times New Roman" w:eastAsia="方正仿宋_GBK" w:cs="Times New Roman"/>
          <w:sz w:val="32"/>
          <w:szCs w:val="32"/>
        </w:rPr>
        <w:t>文化宣教中</w:t>
      </w:r>
      <w:r>
        <w:rPr>
          <w:rFonts w:ascii="Times New Roman" w:hAnsi="Times New Roman" w:eastAsia="方正仿宋_GBK" w:cs="Times New Roman"/>
          <w:spacing w:val="6"/>
          <w:sz w:val="32"/>
          <w:szCs w:val="32"/>
        </w:rPr>
        <w:t>心，修复抗战名人旧居群，新改建8个基层文化服务场所，做靓</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红岩文化艺术节</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，不断满足群众文化需求。深入提炼巴渝文化、抗战文化、沙磁文化符号，塑造以红岩精神为核心的城市精神，持续提升沙坪坝城市文化影响力。</w:t>
      </w:r>
    </w:p>
    <w:p>
      <w:pPr>
        <w:keepNext w:val="0"/>
        <w:keepLines w:val="0"/>
        <w:pageBreakBefore w:val="0"/>
        <w:widowControl w:val="0"/>
        <w:kinsoku/>
        <w:wordWrap/>
        <w:overflowPunct/>
        <w:topLinePunct w:val="0"/>
        <w:bidi w:val="0"/>
        <w:spacing w:line="570" w:lineRule="exact"/>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b/>
          <w:spacing w:val="6"/>
          <w:sz w:val="32"/>
          <w:szCs w:val="32"/>
        </w:rPr>
        <w:t>加强社会治理创新</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pacing w:val="6"/>
          <w:sz w:val="32"/>
          <w:szCs w:val="32"/>
        </w:rPr>
        <w:t>深入贯彻总体国家安全观，压紧压实意识形态工作责任制，严</w:t>
      </w:r>
      <w:r>
        <w:rPr>
          <w:rFonts w:ascii="Times New Roman" w:hAnsi="Times New Roman" w:eastAsia="方正仿宋_GBK" w:cs="Times New Roman"/>
          <w:sz w:val="32"/>
          <w:szCs w:val="32"/>
        </w:rPr>
        <w:t>厉打击各类邪教活动，坚决维护政治安全。防范化解公共安全风险，建成应急管理大数据平台，常态化开展道路交通、高层消防等重点领域专项整治，实现燃气报警装置加装全覆盖，强化食品药品安全治理，强化自然灾害防治，坚决遏制重特大事故。防范化解社会稳定风险，依法化解信访积案，新建2个标准化派出所，深入开展全民反诈。</w:t>
      </w:r>
      <w:r>
        <w:rPr>
          <w:rFonts w:ascii="Times New Roman" w:hAnsi="Times New Roman" w:eastAsia="方正仿宋_GBK" w:cs="Times New Roman"/>
          <w:spacing w:val="6"/>
          <w:sz w:val="32"/>
          <w:szCs w:val="32"/>
        </w:rPr>
        <w:t>深化</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六治融合</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五社联动</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，推进基层减负赋能，加强网格化服务管理，打造一批</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红岩物业</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，实现</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和顺茶馆</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全域覆盖，营造和谐社会环境。</w:t>
      </w:r>
    </w:p>
    <w:p>
      <w:pPr>
        <w:keepNext w:val="0"/>
        <w:keepLines w:val="0"/>
        <w:pageBreakBefore w:val="0"/>
        <w:widowControl w:val="0"/>
        <w:kinsoku/>
        <w:wordWrap/>
        <w:overflowPunct/>
        <w:topLinePunct w:val="0"/>
        <w:bidi w:val="0"/>
        <w:spacing w:line="570" w:lineRule="exact"/>
        <w:ind w:firstLine="720"/>
        <w:textAlignment w:val="auto"/>
        <w:rPr>
          <w:rFonts w:ascii="Times New Roman" w:hAnsi="Times New Roman" w:eastAsia="方正楷体_GBK" w:cs="Times New Roman"/>
          <w:spacing w:val="6"/>
          <w:sz w:val="32"/>
          <w:szCs w:val="32"/>
        </w:rPr>
      </w:pPr>
      <w:r>
        <w:rPr>
          <w:rFonts w:ascii="Times New Roman" w:hAnsi="Times New Roman" w:eastAsia="方正楷体_GBK" w:cs="Times New Roman"/>
          <w:spacing w:val="6"/>
          <w:sz w:val="32"/>
          <w:szCs w:val="32"/>
        </w:rPr>
        <w:t>（七）以优化体制机制为关键</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务实推进全面深化改革</w:t>
      </w:r>
    </w:p>
    <w:p>
      <w:pPr>
        <w:keepNext w:val="0"/>
        <w:keepLines w:val="0"/>
        <w:pageBreakBefore w:val="0"/>
        <w:widowControl w:val="0"/>
        <w:kinsoku/>
        <w:wordWrap/>
        <w:overflowPunct/>
        <w:topLinePunct w:val="0"/>
        <w:bidi w:val="0"/>
        <w:spacing w:line="570" w:lineRule="exact"/>
        <w:ind w:firstLine="72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spacing w:val="6"/>
          <w:sz w:val="32"/>
          <w:szCs w:val="32"/>
        </w:rPr>
        <w:t>坚持问题导向、系统集成，打好改革组合拳，以钉钉子精神推动改革任务落地落实，释放市场主体活力。</w:t>
      </w:r>
    </w:p>
    <w:p>
      <w:pPr>
        <w:keepNext w:val="0"/>
        <w:keepLines w:val="0"/>
        <w:pageBreakBefore w:val="0"/>
        <w:widowControl w:val="0"/>
        <w:kinsoku/>
        <w:wordWrap/>
        <w:overflowPunct/>
        <w:topLinePunct w:val="0"/>
        <w:bidi w:val="0"/>
        <w:spacing w:line="570" w:lineRule="exact"/>
        <w:ind w:firstLine="72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b/>
          <w:spacing w:val="6"/>
          <w:sz w:val="32"/>
          <w:szCs w:val="32"/>
        </w:rPr>
        <w:t>深化重点领域改革</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pacing w:val="6"/>
          <w:sz w:val="32"/>
          <w:szCs w:val="32"/>
        </w:rPr>
        <w:t>全面完成国企改革三年行动任务，整合资源、系统重组，完善现代企业制度，健全薪酬考核体系，提高资产运营效益，加快向市场化转型，提高企业核心竞争力。深化投融资体制改革，优化资源配置，大力吸引社会资本参与经济建设。深入开展</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十项全面清理</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，积极化解存量债务，确保不发生系统性、区域性金融风险。</w:t>
      </w:r>
    </w:p>
    <w:p>
      <w:pPr>
        <w:keepNext w:val="0"/>
        <w:keepLines w:val="0"/>
        <w:pageBreakBefore w:val="0"/>
        <w:widowControl w:val="0"/>
        <w:kinsoku/>
        <w:wordWrap/>
        <w:overflowPunct/>
        <w:topLinePunct w:val="0"/>
        <w:bidi w:val="0"/>
        <w:spacing w:line="570" w:lineRule="exact"/>
        <w:ind w:firstLine="72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b/>
          <w:spacing w:val="6"/>
          <w:sz w:val="32"/>
          <w:szCs w:val="32"/>
        </w:rPr>
        <w:t>打造卓越营商环境</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pacing w:val="6"/>
          <w:sz w:val="32"/>
          <w:szCs w:val="32"/>
        </w:rPr>
        <w:t>深化</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放管服</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改革，强化</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渝快办</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平台建设，一窗综办、一网通办达90%以上。全面推行</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一件事一次办</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，制定</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零跑腿</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清单，推进</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四零审批</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智能秒办</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，全面提升服务便利化水平，新增市场主体2万户。开展</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红岩助企服务</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专项行动，设立营商环境观察员，切实解决企业难题，搭起政企沟通</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连心桥</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。加快推动包容审慎、智能智慧监管，做到规范管理、柔性执法，依法平等保护市场主体合法权益。</w:t>
      </w:r>
    </w:p>
    <w:p>
      <w:pPr>
        <w:keepNext w:val="0"/>
        <w:keepLines w:val="0"/>
        <w:pageBreakBefore w:val="0"/>
        <w:widowControl w:val="0"/>
        <w:kinsoku/>
        <w:wordWrap/>
        <w:overflowPunct/>
        <w:topLinePunct w:val="0"/>
        <w:bidi w:val="0"/>
        <w:spacing w:line="570" w:lineRule="exact"/>
        <w:ind w:firstLine="72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b/>
          <w:spacing w:val="6"/>
          <w:sz w:val="32"/>
          <w:szCs w:val="32"/>
        </w:rPr>
        <w:t>激发民营经济活力</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pacing w:val="6"/>
          <w:sz w:val="32"/>
          <w:szCs w:val="32"/>
        </w:rPr>
        <w:t>全面落实</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减税降费</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等惠企政策，建成民营小微企业首贷续贷中心，积极发展普惠金融，常态化开展政银企对接，建立金融服务</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直通车</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。完善促进民营企业发展政策体系，破除公共资源交易、工程招标等领域隐</w:t>
      </w:r>
      <w:r>
        <w:rPr>
          <w:rFonts w:hint="eastAsia" w:ascii="Times New Roman" w:hAnsi="Times New Roman" w:eastAsia="方正仿宋_GBK" w:cs="Times New Roman"/>
          <w:spacing w:val="6"/>
          <w:sz w:val="32"/>
          <w:szCs w:val="32"/>
          <w:lang w:eastAsia="zh-CN"/>
        </w:rPr>
        <w:t>性</w:t>
      </w:r>
      <w:r>
        <w:rPr>
          <w:rFonts w:ascii="Times New Roman" w:hAnsi="Times New Roman" w:eastAsia="方正仿宋_GBK" w:cs="Times New Roman"/>
          <w:spacing w:val="6"/>
          <w:sz w:val="32"/>
          <w:szCs w:val="32"/>
        </w:rPr>
        <w:t>壁垒，民间投资占比60%以上。健全企业全生命周期服务机制，切实解决企业难题，构建亲清政商关系。</w:t>
      </w:r>
    </w:p>
    <w:p>
      <w:pPr>
        <w:keepNext w:val="0"/>
        <w:keepLines w:val="0"/>
        <w:pageBreakBefore w:val="0"/>
        <w:widowControl w:val="0"/>
        <w:kinsoku/>
        <w:wordWrap/>
        <w:overflowPunct/>
        <w:topLinePunct w:val="0"/>
        <w:bidi w:val="0"/>
        <w:spacing w:line="570" w:lineRule="exact"/>
        <w:ind w:firstLine="656" w:firstLineChars="200"/>
        <w:textAlignment w:val="auto"/>
        <w:rPr>
          <w:rFonts w:ascii="Times New Roman" w:hAnsi="Times New Roman" w:eastAsia="方正楷体_GBK" w:cs="Times New Roman"/>
          <w:spacing w:val="6"/>
          <w:sz w:val="32"/>
          <w:szCs w:val="32"/>
        </w:rPr>
      </w:pPr>
      <w:r>
        <w:rPr>
          <w:rFonts w:ascii="Times New Roman" w:hAnsi="Times New Roman" w:eastAsia="方正楷体_GBK" w:cs="Times New Roman"/>
          <w:spacing w:val="6"/>
          <w:sz w:val="32"/>
          <w:szCs w:val="32"/>
        </w:rPr>
        <w:t>（八）以加强政府自身建设为根本</w:t>
      </w:r>
      <w:r>
        <w:rPr>
          <w:rFonts w:ascii="Times New Roman" w:hAnsi="Times New Roman" w:eastAsia="方正仿宋_GBK" w:cs="Times New Roman"/>
          <w:spacing w:val="6"/>
          <w:sz w:val="32"/>
          <w:szCs w:val="32"/>
        </w:rPr>
        <w:t>，</w:t>
      </w:r>
      <w:r>
        <w:rPr>
          <w:rFonts w:ascii="Times New Roman" w:hAnsi="Times New Roman" w:eastAsia="方正楷体_GBK" w:cs="Times New Roman"/>
          <w:spacing w:val="6"/>
          <w:sz w:val="32"/>
          <w:szCs w:val="32"/>
        </w:rPr>
        <w:t>不断提升服务效能</w:t>
      </w:r>
    </w:p>
    <w:p>
      <w:pPr>
        <w:keepNext w:val="0"/>
        <w:keepLines w:val="0"/>
        <w:pageBreakBefore w:val="0"/>
        <w:widowControl w:val="0"/>
        <w:shd w:val="clear" w:color="auto" w:fill="FFFFFF"/>
        <w:kinsoku/>
        <w:wordWrap/>
        <w:overflowPunct/>
        <w:topLinePunct w:val="0"/>
        <w:autoSpaceDE w:val="0"/>
        <w:bidi w:val="0"/>
        <w:adjustRightInd w:val="0"/>
        <w:snapToGrid w:val="0"/>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始终把政治建设放在首位，坚持和加强党的</w:t>
      </w:r>
      <w:r>
        <w:rPr>
          <w:rFonts w:hint="eastAsia" w:ascii="Times New Roman" w:hAnsi="Times New Roman" w:eastAsia="方正仿宋_GBK" w:cs="Times New Roman"/>
          <w:sz w:val="32"/>
          <w:szCs w:val="32"/>
          <w:lang w:eastAsia="zh-CN"/>
        </w:rPr>
        <w:t>全面</w:t>
      </w:r>
      <w:r>
        <w:rPr>
          <w:rFonts w:ascii="Times New Roman" w:hAnsi="Times New Roman" w:eastAsia="方正仿宋_GBK" w:cs="Times New Roman"/>
          <w:sz w:val="32"/>
          <w:szCs w:val="32"/>
        </w:rPr>
        <w:t>领导，忠诚履职、科学理政，为开启新征程提供强大动力和坚强保障。</w:t>
      </w:r>
    </w:p>
    <w:p>
      <w:pPr>
        <w:keepNext w:val="0"/>
        <w:keepLines w:val="0"/>
        <w:pageBreakBefore w:val="0"/>
        <w:widowControl w:val="0"/>
        <w:shd w:val="clear" w:color="auto" w:fill="FFFFFF"/>
        <w:kinsoku/>
        <w:wordWrap/>
        <w:overflowPunct/>
        <w:topLinePunct w:val="0"/>
        <w:autoSpaceDE w:val="0"/>
        <w:bidi w:val="0"/>
        <w:adjustRightInd w:val="0"/>
        <w:snapToGrid w:val="0"/>
        <w:spacing w:line="570" w:lineRule="exact"/>
        <w:ind w:firstLine="632"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
          <w:bCs/>
          <w:sz w:val="32"/>
          <w:szCs w:val="32"/>
        </w:rPr>
        <w:t>坚持政治引领</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z w:val="32"/>
          <w:szCs w:val="32"/>
        </w:rPr>
        <w:t>旗帜鲜明讲政治，深学笃用习近平新时代中国特色社会主义思想，切实增强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四个意识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，坚定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四个自信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，坚定不移把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两个确立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转化为坚决做到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两个维护</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的思想自觉、政治自觉、行动自觉。时刻牢记</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国之大者</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不断提高政治判断力、政治领悟力、政治执行力。严守政治纪律和政治规矩，全面彻底干净肃清孙政才恶劣影响和薄熙来、王立军流毒，坚决肃清邓恢林流毒影响。不折不扣把党中央决策部署和市委、区委的工作要求落地落实，做到步调一致、令行禁止。</w:t>
      </w:r>
    </w:p>
    <w:p>
      <w:pPr>
        <w:keepNext w:val="0"/>
        <w:keepLines w:val="0"/>
        <w:pageBreakBefore w:val="0"/>
        <w:widowControl w:val="0"/>
        <w:shd w:val="clear" w:color="auto" w:fill="FFFFFF"/>
        <w:kinsoku/>
        <w:wordWrap/>
        <w:overflowPunct/>
        <w:topLinePunct w:val="0"/>
        <w:autoSpaceDE w:val="0"/>
        <w:bidi w:val="0"/>
        <w:adjustRightInd w:val="0"/>
        <w:snapToGrid w:val="0"/>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建设法治政府</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z w:val="32"/>
          <w:szCs w:val="32"/>
        </w:rPr>
        <w:t>全面落实法治政府建设实施纲要，积极创建全国法治政府建设示范区。深化综合行政执法体制改革，严格规范公正文明执法，加强和创新事前事中监督，依法开展政务公开，深入推进全民普法。认真落实行政复议体制改革，提高案件复议质量。自觉接受人大监督、政协监督、监察监督、司法监督，主动接受社会和舆论监督，认真办理人大代表建议和政协提案。严格落实重大行政决策程序制度，推行社会稳定风险评估，做到科学决策、依法用权。</w:t>
      </w:r>
    </w:p>
    <w:p>
      <w:pPr>
        <w:keepNext w:val="0"/>
        <w:keepLines w:val="0"/>
        <w:pageBreakBefore w:val="0"/>
        <w:widowControl w:val="0"/>
        <w:shd w:val="clear" w:color="auto" w:fill="FFFFFF"/>
        <w:kinsoku/>
        <w:wordWrap/>
        <w:overflowPunct/>
        <w:topLinePunct w:val="0"/>
        <w:autoSpaceDE w:val="0"/>
        <w:bidi w:val="0"/>
        <w:adjustRightInd w:val="0"/>
        <w:snapToGrid w:val="0"/>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加强作风建设</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sz w:val="32"/>
          <w:szCs w:val="32"/>
        </w:rPr>
        <w:t>认真</w:t>
      </w:r>
      <w:r>
        <w:rPr>
          <w:rFonts w:hint="eastAsia" w:ascii="Times New Roman" w:hAnsi="Times New Roman" w:eastAsia="方正仿宋_GBK" w:cs="Times New Roman"/>
          <w:sz w:val="32"/>
          <w:szCs w:val="32"/>
          <w:lang w:eastAsia="zh-CN"/>
        </w:rPr>
        <w:t>落实中央八项规定及其实施细则精神</w:t>
      </w:r>
      <w:bookmarkStart w:id="135" w:name="_GoBack"/>
      <w:bookmarkEnd w:id="135"/>
      <w:r>
        <w:rPr>
          <w:rFonts w:ascii="Times New Roman" w:hAnsi="Times New Roman" w:eastAsia="方正仿宋_GBK" w:cs="Times New Roman"/>
          <w:sz w:val="32"/>
          <w:szCs w:val="32"/>
        </w:rPr>
        <w:t>，大兴实干之风，倡导当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笨人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笨功</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，出真力、见实效，对决定的事、看准的事，一刻也不犹豫、一丝也不松懈。树牢为民情怀，急群众所急、干群众所盼。深入开展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冠红岩之名、铸红岩之魂</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实践活动，开展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孺子牛、拓荒牛、老黄牛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评比表彰，完善容错纠错机制，激励干部敢于担当、积极作为，形成比学赶超、争先创优的生动局面。</w:t>
      </w:r>
    </w:p>
    <w:p>
      <w:pPr>
        <w:keepNext w:val="0"/>
        <w:keepLines w:val="0"/>
        <w:pageBreakBefore w:val="0"/>
        <w:widowControl w:val="0"/>
        <w:shd w:val="clear" w:color="auto" w:fill="FFFFFF"/>
        <w:kinsoku/>
        <w:wordWrap/>
        <w:overflowPunct/>
        <w:topLinePunct w:val="0"/>
        <w:autoSpaceDE w:val="0"/>
        <w:autoSpaceDN/>
        <w:bidi w:val="0"/>
        <w:adjustRightInd w:val="0"/>
        <w:snapToGrid w:val="0"/>
        <w:spacing w:line="570" w:lineRule="exact"/>
        <w:ind w:firstLine="632" w:firstLineChars="200"/>
        <w:textAlignment w:val="auto"/>
        <w:rPr>
          <w:rFonts w:ascii="Times New Roman" w:hAnsi="Times New Roman" w:cs="Times New Roman"/>
          <w:sz w:val="32"/>
          <w:szCs w:val="32"/>
        </w:rPr>
      </w:pPr>
      <w:r>
        <w:rPr>
          <w:rFonts w:ascii="Times New Roman" w:hAnsi="Times New Roman" w:eastAsia="方正仿宋_GBK" w:cs="Times New Roman"/>
          <w:b/>
          <w:bCs/>
          <w:sz w:val="32"/>
          <w:szCs w:val="32"/>
        </w:rPr>
        <w:t>筑牢廉洁底线</w:t>
      </w:r>
      <w:r>
        <w:rPr>
          <w:rFonts w:ascii="Times New Roman" w:hAnsi="Times New Roman" w:eastAsia="方正仿宋_GBK" w:cs="Times New Roman"/>
          <w:bCs/>
          <w:kern w:val="0"/>
          <w:sz w:val="32"/>
          <w:szCs w:val="32"/>
          <w:lang w:val="zh-CN"/>
        </w:rPr>
        <w:t>。</w:t>
      </w:r>
      <w:r>
        <w:rPr>
          <w:rFonts w:ascii="Times New Roman" w:hAnsi="Times New Roman" w:eastAsia="方正仿宋_GBK" w:cs="Times New Roman"/>
          <w:bCs/>
          <w:sz w:val="32"/>
          <w:szCs w:val="32"/>
        </w:rPr>
        <w:t>始终坚持严的主基调，压紧压实</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两个责任</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和</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一岗双责</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。聚焦工程建设、公共资源交易、财政支出等重点领域，坚决整治群众身边腐败和侵害群众利益问题。树立</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过紧日子</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思想，强化预算执行刚性约束，加大审计监督力度。深化</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以案四说</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以案四改</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廉政教育，积极营造风清气正的良好政治生态。</w:t>
      </w:r>
    </w:p>
    <w:p>
      <w:pPr>
        <w:pStyle w:val="11"/>
        <w:keepNext w:val="0"/>
        <w:keepLines w:val="0"/>
        <w:pageBreakBefore w:val="0"/>
        <w:widowControl w:val="0"/>
        <w:tabs>
          <w:tab w:val="right" w:leader="dot" w:pos="8844"/>
        </w:tabs>
        <w:kinsoku/>
        <w:wordWrap/>
        <w:overflowPunct/>
        <w:topLinePunct w:val="0"/>
        <w:autoSpaceDE/>
        <w:autoSpaceDN/>
        <w:bidi w:val="0"/>
        <w:adjustRightInd/>
        <w:snapToGrid/>
        <w:spacing w:before="170" w:after="170" w:line="570" w:lineRule="exact"/>
        <w:ind w:firstLine="632"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各位代表！蓝图催人奋进、使命重于泰山。站在新的起点，让我们更加紧密地团结在以习近平同志为核心的党中央周围，在市委、市政府和区委坚强领导下，弘扬伟大红岩精神，担当尽责、勇毅前行，坚定不移推进</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四区</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建设，在社会主义现代化建设新征程中奋力谱写沙坪坝崭新篇章，以优异成绩迎接党的二十大和市第六次党代会胜利召开！</w:t>
      </w:r>
    </w:p>
    <w:p>
      <w:pPr>
        <w:adjustRightInd w:val="0"/>
        <w:snapToGrid w:val="0"/>
        <w:spacing w:line="594" w:lineRule="exact"/>
        <w:rPr>
          <w:rFonts w:ascii="Times New Roman" w:hAnsi="Times New Roman" w:eastAsia="方正仿宋_GBK" w:cs="Times New Roman"/>
          <w:b/>
          <w:sz w:val="32"/>
          <w:szCs w:val="32"/>
        </w:rPr>
      </w:pPr>
      <w:r>
        <w:rPr>
          <w:rFonts w:hint="default" w:ascii="Times New Roman" w:hAnsi="Times New Roman" w:eastAsia="方正小标宋_GBK" w:cs="Times New Roman"/>
          <w:b w:val="0"/>
          <w:bCs w:val="0"/>
          <w:color w:val="000000"/>
          <w:sz w:val="32"/>
          <w:szCs w:val="32"/>
          <w:lang w:val="zh-CN"/>
        </w:rPr>
        <w:br w:type="page"/>
      </w:r>
      <w:r>
        <w:rPr>
          <w:rFonts w:ascii="Times New Roman" w:hAnsi="Times New Roman" w:eastAsia="方正黑体_GBK" w:cs="Times New Roman"/>
          <w:bCs/>
          <w:sz w:val="32"/>
          <w:szCs w:val="32"/>
        </w:rPr>
        <w:t>附件</w:t>
      </w:r>
    </w:p>
    <w:p>
      <w:pPr>
        <w:adjustRightInd w:val="0"/>
        <w:snapToGrid w:val="0"/>
        <w:spacing w:line="594"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名词解释</w:t>
      </w:r>
    </w:p>
    <w:p>
      <w:pPr>
        <w:spacing w:line="594" w:lineRule="exact"/>
        <w:rPr>
          <w:rFonts w:ascii="Times New Roman" w:hAnsi="Times New Roman" w:eastAsia="方正仿宋_GBK" w:cs="Times New Roman"/>
          <w:b/>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1. 八项行动计划</w:t>
      </w:r>
      <w:r>
        <w:rPr>
          <w:rFonts w:ascii="Times New Roman" w:hAnsi="Times New Roman" w:eastAsia="方正仿宋_GBK" w:cs="Times New Roman"/>
          <w:sz w:val="32"/>
          <w:szCs w:val="32"/>
        </w:rPr>
        <w:t>：以大数据智能化为引领的创新驱动发展战略行动计划，乡村振兴战略行动计划，城市提升行动计划，军民融合发展战略行动计划，科教兴市和人才强市行动计划，内陆开放高地建设行动计划，保障和改善民生行动计划，生态优先绿色发展行动计划。</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2. 放管服</w:t>
      </w:r>
      <w:r>
        <w:rPr>
          <w:rFonts w:ascii="Times New Roman" w:hAnsi="Times New Roman" w:eastAsia="方正仿宋_GBK" w:cs="Times New Roman"/>
          <w:sz w:val="32"/>
          <w:szCs w:val="32"/>
        </w:rPr>
        <w:t>：简政放权、放管结合、优化服务的简称。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放</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即简政放权，降低准入门槛。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即公正监管，促进公平竞争。</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服</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即高效服务，营造便利环境。</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3. 两江四岸</w:t>
      </w:r>
      <w:r>
        <w:rPr>
          <w:rFonts w:ascii="Times New Roman" w:hAnsi="Times New Roman" w:eastAsia="方正仿宋_GBK" w:cs="Times New Roman"/>
          <w:sz w:val="32"/>
          <w:szCs w:val="32"/>
        </w:rPr>
        <w:t>：将主城区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百公里两江四岸</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打造成为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山水之城</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美丽之地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城市品牌的典范，使</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山、水、城、桥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相互辉映的美景成为重庆城市名片。沿长江，上起九龙坡区西彭镇，下至江北区五宝镇。沿嘉陵江，上起北碚城区，下至渝中区朝天门。河道中心线长度约180公里，两侧岸线总长约394公里。</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 xml:space="preserve">4. </w:t>
      </w:r>
      <w:r>
        <w:rPr>
          <w:rFonts w:hint="eastAsia" w:ascii="Times New Roman" w:hAnsi="Times New Roman" w:eastAsia="方正黑体_GBK" w:cs="Times New Roman"/>
          <w:sz w:val="32"/>
          <w:szCs w:val="32"/>
          <w:lang w:eastAsia="zh-CN"/>
        </w:rPr>
        <w:t>“</w:t>
      </w:r>
      <w:r>
        <w:rPr>
          <w:rFonts w:ascii="Times New Roman" w:hAnsi="Times New Roman" w:eastAsia="方正黑体_GBK" w:cs="Times New Roman"/>
          <w:sz w:val="32"/>
          <w:szCs w:val="32"/>
        </w:rPr>
        <w:t>两不愁三保障</w:t>
      </w:r>
      <w:r>
        <w:rPr>
          <w:rFonts w:hint="eastAsia" w:ascii="Times New Roman" w:hAnsi="Times New Roman" w:eastAsia="方正黑体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两不愁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即不愁吃、不愁穿，</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三保障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即义务教育、基本医疗、住房安全有保障。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5. 七种能力</w:t>
      </w:r>
      <w:r>
        <w:rPr>
          <w:rFonts w:ascii="Times New Roman" w:hAnsi="Times New Roman" w:eastAsia="方正仿宋_GBK" w:cs="Times New Roman"/>
          <w:sz w:val="32"/>
          <w:szCs w:val="32"/>
        </w:rPr>
        <w:t>：政治能力、调查研究能力、科学决策能力、改革攻坚能力、应急处突能力、群众工作能力、抓落实能力。</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6. 打好</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四张牌</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ascii="Times New Roman" w:hAnsi="Times New Roman" w:eastAsia="方正黑体_GBK" w:cs="Times New Roman"/>
          <w:sz w:val="32"/>
          <w:szCs w:val="32"/>
        </w:rPr>
        <w:t>干好</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四件事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：2021年1月，市委书记陈敏尔参加市五届人大四次会议沙坪坝代表团审议时，要求沙坪坝打好科创、开放、生态、人文</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四张牌</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，干好居民就业增收、人居环境改善、公共服务提升、基层社会治理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四件事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7. 四向齐发</w:t>
      </w:r>
      <w:r>
        <w:rPr>
          <w:rFonts w:ascii="Times New Roman" w:hAnsi="Times New Roman" w:eastAsia="方正仿宋_GBK" w:cs="Times New Roman"/>
          <w:sz w:val="32"/>
          <w:szCs w:val="32"/>
        </w:rPr>
        <w:t>：西向中欧班列（成渝），北向渝满俄国际铁路通道，东向渝甬铁海联运班列，南向西部陆海新通道。</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8. 一化两改三不见</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一化</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即美化，在国道、省道、县道、乡道、村道两旁和房前屋后栽种花卉苗木。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两改</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即规范改造圈舍和柴棚。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三不见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即不见生活垃圾、建筑垃圾、白色垃圾。</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 xml:space="preserve">9. </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公参民</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学校治理</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公参民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学校产生于上世纪90年代我国财政性教育经费严重不足和社会力量办学积极性不高的历史时期。2021年2月，中央第十二巡视组向重庆市反馈教育领域突出问题，指出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7所公立重点中学停办初中教育，与社会资本合作办学，开办22所民办初中</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。重庆市全面加强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公参民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学校治理，我区4所</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公参民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学校全部按要求转制为公办学校。</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10. 双减</w:t>
      </w:r>
      <w:r>
        <w:rPr>
          <w:rFonts w:ascii="Times New Roman" w:hAnsi="Times New Roman" w:eastAsia="方正仿宋_GBK" w:cs="Times New Roman"/>
          <w:sz w:val="32"/>
          <w:szCs w:val="32"/>
        </w:rPr>
        <w:t>：2021年7月，中共中央办公厅、国务院办公厅印发《关于进一步减轻义务教育阶段学生作业负担和校外培训负担的意见》，明确要有效减轻义务教育阶段学生过重作业负担和校外培训负担，总的目标是学生过重作业负担和校外培训负担、家庭教育支出和家长相应精力负担1年内有效减轻、3年内成效显著，人民群众对教育的满意度明显提升。</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11. 四区</w:t>
      </w:r>
      <w:r>
        <w:rPr>
          <w:rFonts w:ascii="Times New Roman" w:hAnsi="Times New Roman" w:eastAsia="方正仿宋_GBK" w:cs="Times New Roman"/>
          <w:sz w:val="32"/>
          <w:szCs w:val="32"/>
        </w:rPr>
        <w:t>：创新驱动示范区、开放引领示范区、文化传承示范区、人民城市示范区。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12. 碳达峰碳中和</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碳达峰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即某区域在某一个时点，二氧化碳的排放不再增长达到峰值，之后逐步回落。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碳中和</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即某区域在一定时间内，通过植树造林、节能减排等途径，抵消自身所产生的二氧化碳排放量，实现二氧化碳零排放。</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13. 五个科学</w:t>
      </w:r>
      <w:r>
        <w:rPr>
          <w:rFonts w:ascii="Times New Roman" w:hAnsi="Times New Roman" w:eastAsia="方正仿宋_GBK" w:cs="Times New Roman"/>
          <w:sz w:val="32"/>
          <w:szCs w:val="32"/>
        </w:rPr>
        <w:t>、</w:t>
      </w:r>
      <w:r>
        <w:rPr>
          <w:rFonts w:ascii="Times New Roman" w:hAnsi="Times New Roman" w:eastAsia="方正黑体_GBK" w:cs="Times New Roman"/>
          <w:sz w:val="32"/>
          <w:szCs w:val="32"/>
        </w:rPr>
        <w:t>五个科技</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五个科学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指科学教学、科学研究、科学实验、科学设施、科学机构。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五个科技</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指科技人才、科技企业、科技金融、科技交易、科技交流。</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 xml:space="preserve">14. </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五个一</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转化机制</w:t>
      </w:r>
      <w:r>
        <w:rPr>
          <w:rFonts w:ascii="Times New Roman" w:hAnsi="Times New Roman" w:eastAsia="方正仿宋_GBK" w:cs="Times New Roman"/>
          <w:sz w:val="32"/>
          <w:szCs w:val="32"/>
        </w:rPr>
        <w:t>：为推动科技成果就地转化，构建一个高校成果、一个专业化孵化器、一个专业化技术转移机构、一支成果转化基金、一个龙头项目有机衔接的转化机制。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15. 中国西部1491国际创意谷</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1491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是原重庆特钢厂总共获得授权专利数。项目以磁器口古镇、特钢厂片区为核心，通过更新改造，保留特有历史记忆，集聚创意设计、建筑设计、工业设计、乡村设计等业态，打造创意设计产业基地。</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16. 上云用数赋智</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上云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即企业通过实施数字化和网络化管理，将经营过程中的数据存储下来。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用数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即企业通过数据分析、挖掘、建模，及时监测经营管理动态，发现关键规律。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赋智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即企业在掌握动态和发现规律后，采取针对性的优化策略，实现降本增效。</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 xml:space="preserve">17. </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专精特新</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企业</w:t>
      </w:r>
      <w:r>
        <w:rPr>
          <w:rFonts w:ascii="Times New Roman" w:hAnsi="Times New Roman" w:eastAsia="方正仿宋_GBK" w:cs="Times New Roman"/>
          <w:sz w:val="32"/>
          <w:szCs w:val="32"/>
        </w:rPr>
        <w:t>：具备专业化、精细化、特色化、新颖化特点的中小企业，多为有较强自主创新能力的中间制造商，在细分领域具有很强的竞争优势。</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18. 云联数算用</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指统筹全区云服务资源，构建共享共用共连的云平台服务体系。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指建设新一代信息网络体系。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指建设城市大数据资源中心，形成统一数据资源体系和数据治理架构。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指建设以智能中枢为核心，边缘算法、AI计算为补充的超级算法能力。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指大数据、人工智能等新一代信息技术和经济社会各领域融合发展。</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19. 住业游乐购</w:t>
      </w:r>
      <w:r>
        <w:rPr>
          <w:rFonts w:ascii="Times New Roman" w:hAnsi="Times New Roman" w:eastAsia="方正仿宋_GBK" w:cs="Times New Roman"/>
          <w:sz w:val="32"/>
          <w:szCs w:val="32"/>
        </w:rPr>
        <w:t>：物联网、云计算等新一代信息技术在居住环境、就业创业、文化旅游、娱乐休闲、消费购物等领域的智能化应用。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20. 四中心一枢纽</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四中心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是指西部陆海新通道运营组织中心、中欧班列（渝新欧）集结中心、长江上游航运中心、多式联运示范中心，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一枢纽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是指重庆国际物流枢纽。</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21. 三线一单</w:t>
      </w:r>
      <w:r>
        <w:rPr>
          <w:rFonts w:ascii="Times New Roman" w:hAnsi="Times New Roman" w:eastAsia="方正仿宋_GBK" w:cs="Times New Roman"/>
          <w:sz w:val="32"/>
          <w:szCs w:val="32"/>
        </w:rPr>
        <w:t>：生态保护红线、环境质量底线、资源利用上线和生态环境准入清单。</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22. 四周四沿</w:t>
      </w:r>
      <w:r>
        <w:rPr>
          <w:rFonts w:ascii="Times New Roman" w:hAnsi="Times New Roman" w:eastAsia="方正仿宋_GBK" w:cs="Times New Roman"/>
          <w:sz w:val="32"/>
          <w:szCs w:val="32"/>
        </w:rPr>
        <w:t>：医院周边、学校周边、商圈周边、景区周边，滨江沿线、过境沿线、干道沿线、上山沿线。</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23. 三山两溪</w:t>
      </w:r>
      <w:r>
        <w:rPr>
          <w:rFonts w:ascii="Times New Roman" w:hAnsi="Times New Roman" w:eastAsia="方正仿宋_GBK" w:cs="Times New Roman"/>
          <w:sz w:val="32"/>
          <w:szCs w:val="32"/>
        </w:rPr>
        <w:t>：磁器口片区的金碧山、龙山、凤凰山和清水溪、凤凰溪。</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 xml:space="preserve">24. </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龙饮嘉陵</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沉浸式旅游新动线</w:t>
      </w:r>
      <w:r>
        <w:rPr>
          <w:rFonts w:ascii="Times New Roman" w:hAnsi="Times New Roman" w:eastAsia="方正仿宋_GBK" w:cs="Times New Roman"/>
          <w:sz w:val="32"/>
          <w:szCs w:val="32"/>
        </w:rPr>
        <w:t>：柳湾→江畔→宝轮寺三大片区。围绕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钟家大院→柳湾→吊脚楼→水月观音→清水门→百舸争流（嘉陵江）码头→渔歌唱晚（金碧溪）→画家村→晨钟暮鼓（宝轮寺）→水墨禅院（宝轮寺后山农舍）→书香龙山（龙山书院，现为磁器口小学）→帝祖宫（和美大院）→柳湾</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动线，以历史文化遗存为元素、艺术审美为导向、复原古镇古风遗韵为重点，用修旧如旧手法，打造古镇节点场景，构造业态形态与环境意境深度融合。</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25. 一廊两心三组团</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即梁滩河及其支流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百里生态画廊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两心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即科学城枢纽站、五云湖两大核心，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三组团</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即国际物流城、青凤科创城、高品质国际社区三大组团。</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26. </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二十字</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工作总要求</w:t>
      </w:r>
      <w:r>
        <w:rPr>
          <w:rFonts w:ascii="Times New Roman" w:hAnsi="Times New Roman" w:eastAsia="方正仿宋_GBK" w:cs="Times New Roman"/>
          <w:sz w:val="32"/>
          <w:szCs w:val="32"/>
        </w:rPr>
        <w:t>：产业兴旺、生态宜居、乡风文明、治理有效、生活富裕。</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textAlignment w:val="auto"/>
      </w:pPr>
      <w:r>
        <w:rPr>
          <w:rFonts w:ascii="Times New Roman" w:hAnsi="Times New Roman" w:eastAsia="方正仿宋_GBK" w:cs="Times New Roman"/>
          <w:sz w:val="32"/>
          <w:szCs w:val="32"/>
        </w:rPr>
        <w:t>27</w:t>
      </w:r>
      <w:r>
        <w:rPr>
          <w:rFonts w:hint="eastAsia" w:ascii="Times New Roman" w:hAnsi="Times New Roman" w:eastAsia="方正仿宋_GBK" w:cs="Times New Roman"/>
          <w:sz w:val="32"/>
          <w:szCs w:val="32"/>
          <w:lang w:eastAsia="zh-Hans"/>
        </w:rPr>
        <w:t>.</w:t>
      </w:r>
      <w:r>
        <w:rPr>
          <w:rFonts w:ascii="Times New Roman" w:hAnsi="Times New Roman" w:eastAsia="方正仿宋_GBK" w:cs="Times New Roman"/>
          <w:sz w:val="32"/>
          <w:szCs w:val="32"/>
          <w:lang w:eastAsia="zh-Hans"/>
        </w:rPr>
        <w:t xml:space="preserve"> </w:t>
      </w:r>
      <w:r>
        <w:rPr>
          <w:rFonts w:hint="eastAsia" w:ascii="Times New Roman" w:hAnsi="Times New Roman" w:eastAsia="方正黑体_GBK" w:cs="Times New Roman"/>
          <w:sz w:val="32"/>
          <w:szCs w:val="32"/>
        </w:rPr>
        <w:t>乡村会客厅</w:t>
      </w:r>
      <w:r>
        <w:rPr>
          <w:rFonts w:ascii="Times New Roman" w:hAnsi="Times New Roman" w:eastAsia="方正仿宋_GBK" w:cs="Times New Roman"/>
          <w:sz w:val="32"/>
          <w:szCs w:val="32"/>
          <w:lang w:eastAsia="zh-Hans"/>
        </w:rPr>
        <w:t>：</w:t>
      </w:r>
      <w:r>
        <w:rPr>
          <w:rFonts w:hint="eastAsia" w:ascii="Times New Roman" w:hAnsi="Times New Roman" w:eastAsia="方正仿宋_GBK" w:cs="Times New Roman"/>
          <w:sz w:val="32"/>
          <w:szCs w:val="32"/>
          <w:lang w:eastAsia="zh-Hans"/>
        </w:rPr>
        <w:t>依托村委会办公楼升级改造建立的区域性服务中心，兼具党群服务中心、游客服务中心、电商站、乡情陈列馆、特色产品展销中心等功能，做到既是“会客厅”又是“服务厅”，让群众办事“不出村”、让游客到村“坐得下”、让乡土人情“看得见”、让特色产品“卖得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28. 四控两增</w:t>
      </w:r>
      <w:r>
        <w:rPr>
          <w:rFonts w:ascii="Times New Roman" w:hAnsi="Times New Roman" w:eastAsia="方正仿宋_GBK" w:cs="Times New Roman"/>
          <w:sz w:val="32"/>
          <w:szCs w:val="32"/>
        </w:rPr>
        <w:t>：四控即协同控制交通污染、突出控制扬尘污染、重点控制工业污染、全面控制生活污染，两增即增强监管、科研能力。</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29. </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双优</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双高</w:t>
      </w:r>
      <w:r>
        <w:rPr>
          <w:rFonts w:hint="eastAsia" w:ascii="Times New Roman" w:hAnsi="Times New Roman" w:eastAsia="方正仿宋_GBK" w:cs="Times New Roman"/>
          <w:sz w:val="32"/>
          <w:szCs w:val="32"/>
        </w:rPr>
        <w:t>”</w:t>
      </w:r>
      <w:r>
        <w:rPr>
          <w:rFonts w:ascii="Times New Roman" w:hAnsi="Times New Roman" w:eastAsia="方正黑体_GBK" w:cs="Times New Roman"/>
          <w:sz w:val="32"/>
          <w:szCs w:val="32"/>
        </w:rPr>
        <w:t>计划</w:t>
      </w:r>
      <w:r>
        <w:rPr>
          <w:rFonts w:ascii="Times New Roman" w:hAnsi="Times New Roman" w:eastAsia="方正仿宋_GBK" w:cs="Times New Roman"/>
          <w:sz w:val="32"/>
          <w:szCs w:val="32"/>
        </w:rPr>
        <w:t>：优质中职学校和优质专业建设计划，中国特色高水平高职学校和专业建设计划。</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30. 六治融合</w:t>
      </w:r>
      <w:r>
        <w:rPr>
          <w:rFonts w:ascii="Times New Roman" w:hAnsi="Times New Roman" w:eastAsia="方正仿宋_GBK" w:cs="Times New Roman"/>
          <w:sz w:val="32"/>
          <w:szCs w:val="32"/>
        </w:rPr>
        <w:t>：政治、综治、法治、德治、自治、智治融合。</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31. 五社联动</w:t>
      </w:r>
      <w:r>
        <w:rPr>
          <w:rFonts w:ascii="Times New Roman" w:hAnsi="Times New Roman" w:eastAsia="方正仿宋_GBK" w:cs="Times New Roman"/>
          <w:sz w:val="32"/>
          <w:szCs w:val="32"/>
        </w:rPr>
        <w:t>：社区、社会组织、社工、社会资源及社区自治组织联动。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32. 四零审批</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零材料</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即实行全程电子化网上登记，所有申请信息均由企业自主在网上通过格式化数据形式填报。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零收费</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即对开办的企业免收税控设备费、银行基本开户费、印章刻制费，企业无需</w:t>
      </w:r>
      <w:r>
        <w:rPr>
          <w:rFonts w:hint="eastAsia" w:ascii="Times New Roman" w:hAnsi="Times New Roman" w:eastAsia="方正仿宋_GBK" w:cs="Times New Roman"/>
          <w:sz w:val="32"/>
          <w:szCs w:val="32"/>
          <w:lang w:eastAsia="zh-CN"/>
        </w:rPr>
        <w:t>交</w:t>
      </w:r>
      <w:r>
        <w:rPr>
          <w:rFonts w:ascii="Times New Roman" w:hAnsi="Times New Roman" w:eastAsia="方正仿宋_GBK" w:cs="Times New Roman"/>
          <w:sz w:val="32"/>
          <w:szCs w:val="32"/>
        </w:rPr>
        <w:t>纳任何费用。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零见面</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即实行企业设立登记、刻制印章、申领发票、就业社保登记全流程网上申请办理，实现零见面审批。</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零跑路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即专人负责将审批结果当日送达企业。</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33. 以案四说</w:t>
      </w:r>
      <w:r>
        <w:rPr>
          <w:rFonts w:ascii="Times New Roman" w:hAnsi="Times New Roman" w:eastAsia="方正仿宋_GBK" w:cs="Times New Roman"/>
          <w:sz w:val="32"/>
          <w:szCs w:val="32"/>
        </w:rPr>
        <w:t>：以案说纪、以案说法、以案说德、以案说责。</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jc w:val="left"/>
        <w:textAlignment w:val="auto"/>
        <w:rPr>
          <w:rFonts w:ascii="Times New Roman" w:hAnsi="Times New Roman" w:cs="Times New Roman"/>
        </w:rPr>
      </w:pPr>
      <w:r>
        <w:rPr>
          <w:rFonts w:ascii="Times New Roman" w:hAnsi="Times New Roman" w:eastAsia="方正黑体_GBK" w:cs="Times New Roman"/>
          <w:sz w:val="32"/>
          <w:szCs w:val="32"/>
        </w:rPr>
        <w:t>34. 以</w:t>
      </w:r>
      <w:r>
        <w:rPr>
          <w:rFonts w:ascii="Times New Roman" w:hAnsi="Times New Roman" w:eastAsia="方正黑体_GBK" w:cs="Times New Roman"/>
          <w:spacing w:val="-4"/>
          <w:sz w:val="32"/>
          <w:szCs w:val="32"/>
        </w:rPr>
        <w:t>案四改</w:t>
      </w:r>
      <w:r>
        <w:rPr>
          <w:rFonts w:ascii="Times New Roman" w:hAnsi="Times New Roman" w:eastAsia="方正仿宋_GBK" w:cs="Times New Roman"/>
          <w:spacing w:val="-4"/>
          <w:sz w:val="32"/>
          <w:szCs w:val="32"/>
        </w:rPr>
        <w:t>：</w:t>
      </w:r>
      <w:r>
        <w:rPr>
          <w:rFonts w:ascii="Times New Roman" w:hAnsi="Times New Roman" w:eastAsia="方正仿宋_GBK" w:cs="Times New Roman"/>
          <w:sz w:val="32"/>
          <w:szCs w:val="32"/>
        </w:rPr>
        <w:t>以案改治理、以案改监管、以案改制度、以案改作风。</w:t>
      </w:r>
    </w:p>
    <w:p>
      <w:pPr>
        <w:pStyle w:val="11"/>
        <w:keepNext w:val="0"/>
        <w:keepLines w:val="0"/>
        <w:pageBreakBefore w:val="0"/>
        <w:widowControl w:val="0"/>
        <w:tabs>
          <w:tab w:val="right" w:leader="dot" w:pos="8844"/>
        </w:tabs>
        <w:kinsoku/>
        <w:wordWrap/>
        <w:overflowPunct/>
        <w:topLinePunct w:val="0"/>
        <w:autoSpaceDE/>
        <w:autoSpaceDN/>
        <w:bidi w:val="0"/>
        <w:adjustRightInd/>
        <w:snapToGrid/>
        <w:spacing w:before="170" w:after="170" w:line="500" w:lineRule="exact"/>
        <w:ind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方正小标宋_GBK" w:cs="Times New Roman"/>
          <w:b w:val="0"/>
          <w:bCs w:val="0"/>
          <w:color w:val="000000"/>
          <w:sz w:val="32"/>
          <w:szCs w:val="32"/>
          <w:lang w:val="zh-CN"/>
        </w:rPr>
        <w:br w:type="page"/>
      </w:r>
      <w:r>
        <w:rPr>
          <w:rFonts w:hint="default" w:ascii="Times New Roman" w:hAnsi="Times New Roman" w:eastAsia="方正小标宋_GBK" w:cs="Times New Roman"/>
          <w:b w:val="0"/>
          <w:color w:val="000000"/>
          <w:sz w:val="32"/>
          <w:szCs w:val="32"/>
          <w:lang w:val="zh-CN"/>
        </w:rPr>
        <w:t>【区政府</w:t>
      </w:r>
      <w:r>
        <w:rPr>
          <w:rFonts w:hint="default" w:ascii="Times New Roman" w:hAnsi="Times New Roman" w:eastAsia="方正小标宋_GBK" w:cs="Times New Roman"/>
          <w:b w:val="0"/>
          <w:color w:val="000000"/>
          <w:sz w:val="32"/>
          <w:szCs w:val="32"/>
          <w:lang w:val="zh-CN" w:eastAsia="zh-CN"/>
        </w:rPr>
        <w:t>发</w:t>
      </w:r>
      <w:r>
        <w:rPr>
          <w:rFonts w:hint="default" w:ascii="Times New Roman" w:hAnsi="Times New Roman" w:eastAsia="方正小标宋_GBK" w:cs="Times New Roman"/>
          <w:b w:val="0"/>
          <w:color w:val="000000"/>
          <w:sz w:val="32"/>
          <w:szCs w:val="32"/>
          <w:lang w:val="zh-CN"/>
        </w:rPr>
        <w:t>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重庆市沙坪坝区人民政府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关于印发2022年沙坪坝区安全生产与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自然灾害防治工作要点的通知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楷体_GBK" w:cs="Times New Roman"/>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沙府发〔2022〕8号</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楷体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各镇人民政府、各街道办事处，区政府各部门，有关单位：</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left"/>
        <w:textAlignment w:val="auto"/>
        <w:rPr>
          <w:rFonts w:ascii="方正仿宋_GBK" w:hAnsi="方正仿宋_GBK" w:eastAsia="方正仿宋_GBK" w:cs="方正仿宋_GBK"/>
          <w:snapToGrid w:val="0"/>
          <w:kern w:val="0"/>
          <w:sz w:val="32"/>
          <w:szCs w:val="32"/>
        </w:rPr>
      </w:pPr>
      <w:r>
        <w:rPr>
          <w:rFonts w:hint="default" w:ascii="Times New Roman" w:hAnsi="Times New Roman" w:eastAsia="方正仿宋_GBK" w:cs="Times New Roman"/>
          <w:sz w:val="32"/>
          <w:szCs w:val="32"/>
        </w:rPr>
        <w:t>《2022年沙坪坝区安全生产与自然灾害防治工作要点》已经区政府同意，现印发给你们，请认真贯彻执行。</w:t>
      </w:r>
    </w:p>
    <w:p>
      <w:pPr>
        <w:pStyle w:val="8"/>
        <w:keepNext w:val="0"/>
        <w:keepLines w:val="0"/>
        <w:pageBreakBefore w:val="0"/>
        <w:widowControl w:val="0"/>
        <w:kinsoku/>
        <w:wordWrap/>
        <w:overflowPunct/>
        <w:topLinePunct w:val="0"/>
        <w:autoSpaceDE/>
        <w:autoSpaceDN/>
        <w:bidi w:val="0"/>
        <w:adjustRightInd/>
        <w:snapToGrid/>
        <w:spacing w:line="57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snapToGrid w:val="0"/>
          <w:kern w:val="0"/>
          <w:sz w:val="32"/>
          <w:szCs w:val="32"/>
        </w:rPr>
      </w:pPr>
      <w:r>
        <w:rPr>
          <w:rFonts w:hint="eastAsia" w:ascii="方正仿宋_GBK" w:hAnsi="方正仿宋_GBK" w:eastAsia="方正仿宋_GBK" w:cs="方正仿宋_GBK"/>
          <w:snapToGrid w:val="0"/>
          <w:kern w:val="0"/>
          <w:sz w:val="32"/>
          <w:szCs w:val="32"/>
        </w:rPr>
        <w:t xml:space="preserve">                  </w:t>
      </w:r>
      <w:r>
        <w:rPr>
          <w:rFonts w:hint="default" w:ascii="Times New Roman" w:hAnsi="Times New Roman" w:eastAsia="方正仿宋_GBK" w:cs="Times New Roman"/>
          <w:snapToGrid w:val="0"/>
          <w:kern w:val="0"/>
          <w:sz w:val="32"/>
          <w:szCs w:val="32"/>
        </w:rPr>
        <w:t xml:space="preserve">  重庆市沙坪坝区人民政府</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 xml:space="preserve">                   </w:t>
      </w:r>
      <w:r>
        <w:rPr>
          <w:rFonts w:hint="eastAsia" w:ascii="Times New Roman" w:hAnsi="Times New Roman" w:eastAsia="方正仿宋_GBK" w:cs="Times New Roman"/>
          <w:snapToGrid w:val="0"/>
          <w:kern w:val="0"/>
          <w:sz w:val="32"/>
          <w:szCs w:val="32"/>
          <w:lang w:val="en-US" w:eastAsia="zh-CN"/>
        </w:rPr>
        <w:t xml:space="preserve">    </w:t>
      </w:r>
      <w:r>
        <w:rPr>
          <w:rFonts w:hint="default" w:ascii="Times New Roman" w:hAnsi="Times New Roman" w:eastAsia="方正仿宋_GBK" w:cs="Times New Roman"/>
          <w:sz w:val="32"/>
          <w:szCs w:val="32"/>
        </w:rPr>
        <w:t>2022年2月28日</w:t>
      </w:r>
    </w:p>
    <w:p>
      <w:pPr>
        <w:spacing w:line="560" w:lineRule="exact"/>
        <w:ind w:right="640" w:firstLine="632" w:firstLineChars="200"/>
        <w:rPr>
          <w:rFonts w:hint="eastAsia" w:ascii="方正仿宋_GBK" w:eastAsia="方正仿宋_GBK"/>
          <w:sz w:val="32"/>
          <w:szCs w:val="32"/>
        </w:rPr>
      </w:pPr>
      <w:r>
        <w:rPr>
          <w:rFonts w:hint="eastAsia" w:ascii="方正仿宋_GBK" w:hAnsi="方正仿宋_GBK" w:eastAsia="方正仿宋_GBK" w:cs="方正仿宋_GBK"/>
          <w:snapToGrid w:val="0"/>
          <w:kern w:val="0"/>
          <w:sz w:val="32"/>
          <w:szCs w:val="32"/>
        </w:rPr>
        <w:t>（此件公开发布）</w:t>
      </w:r>
    </w:p>
    <w:p>
      <w:pPr>
        <w:spacing w:line="560" w:lineRule="exact"/>
        <w:ind w:right="640"/>
        <w:rPr>
          <w:rFonts w:hint="eastAsia" w:ascii="方正仿宋_GBK" w:eastAsia="方正仿宋_GBK"/>
          <w:sz w:val="32"/>
          <w:szCs w:val="32"/>
        </w:rPr>
      </w:pPr>
    </w:p>
    <w:p>
      <w:pPr>
        <w:spacing w:line="560" w:lineRule="exact"/>
        <w:ind w:right="640"/>
        <w:rPr>
          <w:rFonts w:ascii="方正仿宋_GBK" w:eastAsia="方正仿宋_GBK"/>
          <w:sz w:val="32"/>
          <w:szCs w:val="32"/>
        </w:rPr>
      </w:pPr>
    </w:p>
    <w:p>
      <w:pPr>
        <w:pStyle w:val="3"/>
        <w:rPr>
          <w:rFonts w:ascii="方正仿宋_GBK" w:eastAsia="方正仿宋_GBK"/>
          <w:sz w:val="32"/>
          <w:szCs w:val="32"/>
        </w:rPr>
      </w:pPr>
    </w:p>
    <w:p>
      <w:pPr>
        <w:rPr>
          <w:rFonts w:ascii="方正仿宋_GBK" w:eastAsia="方正仿宋_GBK"/>
          <w:sz w:val="32"/>
          <w:szCs w:val="32"/>
        </w:rPr>
      </w:pPr>
    </w:p>
    <w:p>
      <w:pPr>
        <w:pStyle w:val="3"/>
      </w:pPr>
    </w:p>
    <w:p>
      <w:pPr>
        <w:rPr>
          <w:rFonts w:hint="eastAsia" w:ascii="方正仿宋_GBK" w:eastAsia="方正仿宋_GBK"/>
          <w:sz w:val="32"/>
          <w:szCs w:val="32"/>
        </w:rPr>
      </w:pP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spacing w:line="560" w:lineRule="exact"/>
        <w:jc w:val="center"/>
        <w:rPr>
          <w:rFonts w:ascii="方正小标宋_GBK" w:hAnsi="方正小标宋_GBK" w:eastAsia="方正小标宋_GBK" w:cs="方正小标宋_GBK"/>
          <w:sz w:val="44"/>
          <w:szCs w:val="44"/>
        </w:rPr>
      </w:pPr>
      <w:r>
        <w:rPr>
          <w:rFonts w:eastAsia="方正小标宋_GBK"/>
          <w:sz w:val="44"/>
          <w:szCs w:val="44"/>
        </w:rPr>
        <w:t>2022</w:t>
      </w:r>
      <w:r>
        <w:rPr>
          <w:rFonts w:hint="eastAsia" w:ascii="方正小标宋_GBK" w:hAnsi="方正小标宋_GBK" w:eastAsia="方正小标宋_GBK" w:cs="方正小标宋_GBK"/>
          <w:sz w:val="44"/>
          <w:szCs w:val="44"/>
        </w:rPr>
        <w:t>年沙坪坝区安全生产与自然灾害防治</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工作要点</w:t>
      </w:r>
    </w:p>
    <w:p>
      <w:pPr>
        <w:spacing w:line="560" w:lineRule="exact"/>
        <w:ind w:firstLine="632" w:firstLineChars="200"/>
        <w:rPr>
          <w:rFonts w:hint="eastAsia" w:ascii="方正仿宋_GBK" w:hAnsi="方正楷体_GBK" w:eastAsia="方正仿宋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为加强全区安全生产与自然灾害防治工作，切实保障人民群众生命财产安全，特制定本工作要点。</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以习近平新时代中国特色社会主义思想为指导，全面贯彻党的十九大和十九届历次全会精神，坚持人民至上、生命至上，牢固树立安全发展理念，统筹发展和安全，以“控大事故、防大灾害”为目标，以大排查大执法大整治为主线，以落实“常态化安全监管十条措施”（以下简称“十条措施”）和“企业一线岗位责任制”（以下简称“一线责任制”）为抓手，深入推进安全生产专项整治三年行动，深入整改“两个不到位、两个不扎实”等突出问题，</w:t>
      </w:r>
      <w:bookmarkStart w:id="0" w:name="OLE_LINK3"/>
      <w:bookmarkStart w:id="1" w:name="OLE_LINK4"/>
      <w:r>
        <w:rPr>
          <w:rFonts w:hint="eastAsia" w:ascii="方正仿宋_GBK" w:hAnsi="方正楷体_GBK" w:eastAsia="方正仿宋_GBK" w:cs="方正楷体_GBK"/>
          <w:sz w:val="32"/>
          <w:szCs w:val="32"/>
        </w:rPr>
        <w:t>预防减少一般生产安全事故，坚决遏制较大及以上事故</w:t>
      </w:r>
      <w:bookmarkEnd w:id="0"/>
      <w:bookmarkEnd w:id="1"/>
      <w:r>
        <w:rPr>
          <w:rFonts w:hint="eastAsia" w:ascii="方正仿宋_GBK" w:hAnsi="方正楷体_GBK" w:eastAsia="方正仿宋_GBK" w:cs="方正楷体_GBK"/>
          <w:sz w:val="32"/>
          <w:szCs w:val="32"/>
        </w:rPr>
        <w:t>，坚决避免因灾导致人员伤亡，以高水平安全服务高质量发展，为沙坪坝</w:t>
      </w:r>
      <w:r>
        <w:rPr>
          <w:rFonts w:hint="eastAsia" w:ascii="方正仿宋_GBK" w:hAnsi="方正楷体_GBK" w:eastAsia="方正仿宋_GBK" w:cs="方正楷体_GBK"/>
          <w:sz w:val="32"/>
          <w:szCs w:val="32"/>
          <w:lang w:val="zh-CN"/>
        </w:rPr>
        <w:t>“四区”建设</w:t>
      </w:r>
      <w:r>
        <w:rPr>
          <w:rFonts w:hint="eastAsia" w:ascii="方正仿宋_GBK" w:hAnsi="方正楷体_GBK" w:eastAsia="方正仿宋_GBK" w:cs="方正楷体_GBK"/>
          <w:sz w:val="32"/>
          <w:szCs w:val="32"/>
        </w:rPr>
        <w:t>提供坚实保障，为党的二十大胜利召开营造安全稳定环境。</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二、重点任务</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（一）坚持以防为主，夯实安全基础条件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方正仿宋_GBK" w:hAnsi="方正楷体_GBK" w:eastAsia="方正仿宋_GBK" w:cs="方正楷体_GBK"/>
          <w:sz w:val="32"/>
          <w:szCs w:val="32"/>
        </w:rPr>
      </w:pPr>
      <w:r>
        <w:rPr>
          <w:rFonts w:hint="eastAsia" w:ascii="方正楷体_GBK" w:hAnsi="方正楷体_GBK" w:eastAsia="方正楷体_GBK" w:cs="方正楷体_GBK"/>
          <w:sz w:val="32"/>
          <w:szCs w:val="32"/>
        </w:rPr>
        <w:t>1.抓细大排查大整治。</w:t>
      </w:r>
      <w:r>
        <w:rPr>
          <w:rFonts w:hint="eastAsia" w:ascii="方正仿宋_GBK" w:hAnsi="方正楷体_GBK" w:eastAsia="方正仿宋_GBK" w:cs="方正楷体_GBK"/>
          <w:sz w:val="32"/>
          <w:szCs w:val="32"/>
        </w:rPr>
        <w:t>突出重点、条块结合，对全区所有行业领域、所有生产经营单位、所有从业岗位、所有工艺流程常态化开展安全隐患大排查大整治。行业部门、镇街和企业对发现的风险隐患分别建立安全风险和管控措施、安全隐患和整改情况“两个清单”，落实清单化、闭环式管理，推动企业安全隐患自查自报自纠，确保大排查大整治扎实有效。对群死群伤风险，各行业部门要高度关注、全面摸底、专门研判、责任到人，从严从细落实管控措施。</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方正仿宋_GBK" w:hAnsi="方正楷体_GBK" w:eastAsia="方正仿宋_GBK" w:cs="方正楷体_GBK"/>
          <w:sz w:val="32"/>
          <w:szCs w:val="32"/>
        </w:rPr>
      </w:pPr>
      <w:r>
        <w:rPr>
          <w:rFonts w:hint="eastAsia" w:ascii="方正楷体_GBK" w:hAnsi="方正楷体_GBK" w:eastAsia="方正楷体_GBK" w:cs="方正楷体_GBK"/>
          <w:sz w:val="32"/>
          <w:szCs w:val="32"/>
        </w:rPr>
        <w:t>2.抓深安全生产专项整治三年行动。</w:t>
      </w:r>
      <w:r>
        <w:rPr>
          <w:rFonts w:hint="eastAsia" w:ascii="方正仿宋_GBK" w:hAnsi="方正楷体_GBK" w:eastAsia="方正仿宋_GBK" w:cs="方正楷体_GBK"/>
          <w:sz w:val="32"/>
          <w:szCs w:val="32"/>
        </w:rPr>
        <w:t>强化“交账”意识，按照巩固提升阶段工作要求，全面梳理“</w:t>
      </w:r>
      <w:r>
        <w:rPr>
          <w:rFonts w:ascii="方正仿宋_GBK" w:hAnsi="方正楷体_GBK" w:eastAsia="方正仿宋_GBK" w:cs="方正楷体_GBK"/>
          <w:sz w:val="32"/>
          <w:szCs w:val="32"/>
        </w:rPr>
        <w:t>1+3+9</w:t>
      </w:r>
      <w:r>
        <w:rPr>
          <w:rFonts w:hint="eastAsia" w:ascii="方正仿宋_GBK" w:hAnsi="方正楷体_GBK" w:eastAsia="方正仿宋_GBK" w:cs="方正楷体_GBK"/>
          <w:sz w:val="32"/>
          <w:szCs w:val="32"/>
        </w:rPr>
        <w:t>”专题专项任务完成进度，对还未完成的任务倒排时限、落实责任、细化举措，逐一评估销号，确保三年行动圆满收官。围绕“从根本上消除事故隐患、从根本上解决问题”，认真总结三年行动成效，提炼各行业领域有益措施，形成安全防范长效机制，持续提升全区安全生产基础。</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方正仿宋_GBK" w:hAnsi="方正楷体_GBK" w:eastAsia="方正仿宋_GBK" w:cs="方正楷体_GBK"/>
          <w:sz w:val="32"/>
          <w:szCs w:val="32"/>
        </w:rPr>
      </w:pPr>
      <w:r>
        <w:rPr>
          <w:rFonts w:hint="eastAsia" w:ascii="方正楷体_GBK" w:hAnsi="方正楷体_GBK" w:eastAsia="方正楷体_GBK" w:cs="方正楷体_GBK"/>
          <w:sz w:val="32"/>
          <w:szCs w:val="32"/>
        </w:rPr>
        <w:t>3.抓严重点行业领域安全专项整治。</w:t>
      </w:r>
      <w:r>
        <w:rPr>
          <w:rFonts w:hint="eastAsia" w:ascii="方正仿宋_GBK" w:hAnsi="方正楷体_GBK" w:eastAsia="方正仿宋_GBK" w:cs="方正楷体_GBK"/>
          <w:sz w:val="32"/>
          <w:szCs w:val="32"/>
        </w:rPr>
        <w:t>坚持聚焦重大风险、重大隐患和突出违法行为，落实行业主管部门牵头责任，扎实开展安全专项整治。</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燃气安全方面：深化燃气安全专项整治，盯紧抓牢生产、储存、运输、使用等关键环节，聚焦燃气经营、公共场所燃气、老旧小区燃气、燃气工程、燃气具等燃气源头、燃气管道设施等领域安全风险和重大隐患，深化全区燃气行业安全专项整治</w:t>
      </w:r>
      <w:r>
        <w:rPr>
          <w:rFonts w:ascii="方正仿宋_GBK" w:hAnsi="方正楷体_GBK" w:eastAsia="方正仿宋_GBK" w:cs="方正楷体_GBK"/>
          <w:sz w:val="32"/>
          <w:szCs w:val="32"/>
        </w:rPr>
        <w:t>7</w:t>
      </w:r>
      <w:r>
        <w:rPr>
          <w:rFonts w:hint="eastAsia" w:ascii="方正仿宋_GBK" w:hAnsi="方正楷体_GBK" w:eastAsia="方正仿宋_GBK" w:cs="方正楷体_GBK"/>
          <w:sz w:val="32"/>
          <w:szCs w:val="32"/>
        </w:rPr>
        <w:t>项专项任务，到</w:t>
      </w:r>
      <w:r>
        <w:rPr>
          <w:rFonts w:ascii="方正仿宋_GBK" w:hAnsi="方正楷体_GBK" w:eastAsia="方正仿宋_GBK" w:cs="方正楷体_GBK"/>
          <w:sz w:val="32"/>
          <w:szCs w:val="32"/>
        </w:rPr>
        <w:t>2022</w:t>
      </w:r>
      <w:r>
        <w:rPr>
          <w:rFonts w:hint="eastAsia" w:ascii="方正仿宋_GBK" w:hAnsi="方正楷体_GBK" w:eastAsia="方正仿宋_GBK" w:cs="方正楷体_GBK"/>
          <w:sz w:val="32"/>
          <w:szCs w:val="32"/>
        </w:rPr>
        <w:t>年底，全区燃气运营和使用秩序进一步规范，城镇燃气安全管理水平显著提升。</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交通安全方面：开展道路交通安全整治行动，深化道路交通“三化六体系”建设和道路隐患整治，严格道路运输“两客一危”车辆动态监管。加强货运装卸场所源头监管，开展客运车辆、</w:t>
      </w:r>
      <w:r>
        <w:rPr>
          <w:rFonts w:ascii="方正仿宋_GBK" w:hAnsi="方正楷体_GBK" w:eastAsia="方正仿宋_GBK" w:cs="方正楷体_GBK"/>
          <w:sz w:val="32"/>
          <w:szCs w:val="32"/>
        </w:rPr>
        <w:t>9</w:t>
      </w:r>
      <w:r>
        <w:rPr>
          <w:rFonts w:hint="eastAsia" w:ascii="方正仿宋_GBK" w:hAnsi="方正楷体_GBK" w:eastAsia="方正仿宋_GBK" w:cs="方正楷体_GBK"/>
          <w:sz w:val="32"/>
          <w:szCs w:val="32"/>
        </w:rPr>
        <w:t>座以上租赁客车、旅游包车、货运车辆整治。巩固变型拖拉机专项整治成果，防止反弹。开展公路安全设施和交通管理精细化提升行动，完成单柱墩桥梁安全隐患整治。协调配合做好水上交通、轨道交通等领域的安全整治。</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建筑施工方面：持续开展建设施工“两防”和管理人员到岗履职专项整治，督促建设企业落实安全生产首要责任、施工企业落实安全生产主体责任，全面推广防高坠“安全带—生命线”应用，加大监管执法力度，严厉打击无证施工和违法发包、转包、分包及挂靠等违法行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消防安全方面：强化高层建筑、厂房库房、古镇古寨、地下工程、老旧小区、人员密集场所等消防安全专项整治，推进大型商业综合体消防安全达标创建和物业小区微型消防站建设，完成磁器口古镇消防安全提档升级，全面排查火灾隐患，持续打通“生命通道”，严厉查处消防安全违法行为，严格落实各项火灾防控措施。</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工贸安全方面：持续深化粉尘涉爆、高温熔融等重点企业安全生产专项整治和工贸企业涉危安全专项整治，对涉及“四涉一有限一使用”的设施设备、生产工艺和作业环节实施重点整治，按照淘汰关闭一批、搬迁入园一批、就地改造一批要求，推动分散工贸企业转型升级。</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危化安全方面：严格安全准入，推进“三重一高”安全专项整治，深化危险货物运输安全专项整治和危险废物安全专项整治。健全部门联合执法和工作协调机制，加强违规生产、储存、运输储存危险化学品，非法经营成品油和醇基燃料、非法违法小化工及非法转移、倾倒、处置危险废物等重点环节、领域的“打非治违”工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文化旅游、养老机构、特种设备、再生资源等行业领域都要根据各自实际，开展专项整治，解决突出问题，确保安全稳定。</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楷体_GBK" w:eastAsia="方正仿宋_GBK" w:cs="方正楷体_GBK"/>
          <w:sz w:val="32"/>
          <w:szCs w:val="32"/>
        </w:rPr>
      </w:pPr>
      <w:r>
        <w:rPr>
          <w:rFonts w:hint="eastAsia" w:ascii="方正楷体_GBK" w:hAnsi="方正楷体_GBK" w:eastAsia="方正楷体_GBK" w:cs="方正楷体_GBK"/>
          <w:sz w:val="32"/>
          <w:szCs w:val="32"/>
        </w:rPr>
        <w:t>4.抓实安全生产标准化。</w:t>
      </w:r>
      <w:r>
        <w:rPr>
          <w:rFonts w:hint="eastAsia" w:ascii="方正仿宋_GBK" w:hAnsi="方正楷体_GBK" w:eastAsia="方正仿宋_GBK" w:cs="方正楷体_GBK"/>
          <w:sz w:val="32"/>
          <w:szCs w:val="32"/>
        </w:rPr>
        <w:t>务实推进企业安全生产标准化建设，实行安全标准化评审与执法检查“一体化”，指导督促企业健全完善风险分级管控和隐患排查治理双重预防机制，提升企业本质安全水平。建立健全企业安全标准化与行政许可、诚信管理、安全责任保险等挂钩的激励约束机制。强化对安全中介服务机构的管理和考核，提升其服务能力。</w:t>
      </w:r>
    </w:p>
    <w:p>
      <w:pPr>
        <w:pStyle w:val="19"/>
        <w:keepNext w:val="0"/>
        <w:keepLines w:val="0"/>
        <w:pageBreakBefore w:val="0"/>
        <w:widowControl w:val="0"/>
        <w:kinsoku/>
        <w:wordWrap/>
        <w:overflowPunct/>
        <w:topLinePunct w:val="0"/>
        <w:autoSpaceDE/>
        <w:autoSpaceDN/>
        <w:bidi w:val="0"/>
        <w:adjustRightInd/>
        <w:snapToGrid/>
        <w:spacing w:line="570" w:lineRule="exact"/>
        <w:ind w:firstLine="711" w:firstLineChars="225"/>
        <w:textAlignment w:val="auto"/>
        <w:rPr>
          <w:rFonts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5.抓好灾害防治基础工程建设。</w:t>
      </w:r>
      <w:r>
        <w:rPr>
          <w:rFonts w:hint="eastAsia" w:ascii="Times New Roman" w:hAnsi="Times New Roman" w:eastAsia="方正仿宋_GBK" w:cs="Times New Roman"/>
          <w:kern w:val="0"/>
          <w:sz w:val="32"/>
          <w:szCs w:val="32"/>
          <w:lang w:val="en-US" w:eastAsia="zh-CN"/>
        </w:rPr>
        <w:t>全面推进自然灾害综合风险普查，如期完成“综合</w:t>
      </w:r>
      <w:r>
        <w:rPr>
          <w:rFonts w:ascii="Times New Roman" w:hAnsi="Times New Roman" w:eastAsia="方正仿宋_GBK" w:cs="Times New Roman"/>
          <w:kern w:val="0"/>
          <w:sz w:val="32"/>
          <w:szCs w:val="32"/>
          <w:lang w:val="en-US" w:eastAsia="zh-CN"/>
        </w:rPr>
        <w:t>+5</w:t>
      </w:r>
      <w:r>
        <w:rPr>
          <w:rFonts w:hint="eastAsia" w:ascii="Times New Roman" w:hAnsi="Times New Roman" w:eastAsia="方正仿宋_GBK" w:cs="Times New Roman"/>
          <w:kern w:val="0"/>
          <w:sz w:val="32"/>
          <w:szCs w:val="32"/>
          <w:lang w:val="en-US" w:eastAsia="zh-CN"/>
        </w:rPr>
        <w:t>个单灾种”风险评估报告、风险区划图和防治区划图编制，形成全区普查成果。统筹推进自然灾害防治能力提升工程建设，加强下水管网清淤工作，基本完成嘉陵江沿岸及周边地区防洪排涝设施补短板工作，有序推进滨江护岸生态修复、滨江路网体系完善、沿江房屋建筑分类改造等任务，完成梁滩河青凤段、丰文街道段综合治理工程年度目标任务，实施</w:t>
      </w:r>
      <w:r>
        <w:rPr>
          <w:rFonts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lang w:val="en-US" w:eastAsia="zh-CN"/>
        </w:rPr>
        <w:t>个镇街水毁工程修复和应急度汛项目，开展苏家桥水库、菁云湖水库、大桥水库等水利工程除险加固和维修养护，采购安装水库水雨情设施，实现水库预警设施全覆盖；继续开展地质灾害排查整治，强化群测群防巡查监测预警，分级实施地质灾害隐患点综合治理，完成</w:t>
      </w:r>
      <w:r>
        <w:rPr>
          <w:rFonts w:ascii="Times New Roman" w:hAnsi="Times New Roman" w:eastAsia="方正仿宋_GBK" w:cs="Times New Roman"/>
          <w:kern w:val="0"/>
          <w:sz w:val="32"/>
          <w:szCs w:val="32"/>
          <w:lang w:val="en-US" w:eastAsia="zh-CN"/>
        </w:rPr>
        <w:t>46</w:t>
      </w:r>
      <w:r>
        <w:rPr>
          <w:rFonts w:hint="eastAsia" w:ascii="Times New Roman" w:hAnsi="Times New Roman" w:eastAsia="方正仿宋_GBK" w:cs="Times New Roman"/>
          <w:kern w:val="0"/>
          <w:sz w:val="32"/>
          <w:szCs w:val="32"/>
          <w:lang w:val="en-US" w:eastAsia="zh-CN"/>
        </w:rPr>
        <w:t>处地灾隐患点专群结合监测预警实验和</w:t>
      </w:r>
      <w:r>
        <w:rPr>
          <w:rFonts w:ascii="Times New Roman" w:hAnsi="Times New Roman" w:eastAsia="方正仿宋_GBK" w:cs="Times New Roman"/>
          <w:kern w:val="0"/>
          <w:sz w:val="32"/>
          <w:szCs w:val="32"/>
          <w:lang w:val="en-US" w:eastAsia="zh-CN"/>
        </w:rPr>
        <w:t>72</w:t>
      </w:r>
      <w:r>
        <w:rPr>
          <w:rFonts w:hint="eastAsia" w:ascii="Times New Roman" w:hAnsi="Times New Roman" w:eastAsia="方正仿宋_GBK" w:cs="Times New Roman"/>
          <w:kern w:val="0"/>
          <w:sz w:val="32"/>
          <w:szCs w:val="32"/>
          <w:lang w:val="en-US" w:eastAsia="zh-CN"/>
        </w:rPr>
        <w:t>处地灾隐患点专群结合智能化监测预警，完成地灾隐患工程治理</w:t>
      </w:r>
      <w:r>
        <w:rPr>
          <w:rFonts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lang w:val="en-US" w:eastAsia="zh-CN"/>
        </w:rPr>
        <w:t>处；夯实森林防火基础，建成森林防火标准化检查站</w:t>
      </w:r>
      <w:r>
        <w:rPr>
          <w:rFonts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lang w:val="en-US" w:eastAsia="zh-CN"/>
        </w:rPr>
        <w:t>个。</w:t>
      </w:r>
    </w:p>
    <w:p>
      <w:pPr>
        <w:pStyle w:val="19"/>
        <w:keepNext w:val="0"/>
        <w:keepLines w:val="0"/>
        <w:pageBreakBefore w:val="0"/>
        <w:widowControl w:val="0"/>
        <w:kinsoku/>
        <w:wordWrap/>
        <w:overflowPunct/>
        <w:topLinePunct w:val="0"/>
        <w:autoSpaceDE/>
        <w:autoSpaceDN/>
        <w:bidi w:val="0"/>
        <w:adjustRightInd/>
        <w:snapToGrid/>
        <w:spacing w:line="570" w:lineRule="exact"/>
        <w:ind w:firstLine="711" w:firstLineChars="225"/>
        <w:textAlignment w:val="auto"/>
        <w:rPr>
          <w:rFonts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6.争创安全发展示范城市。</w:t>
      </w:r>
      <w:r>
        <w:rPr>
          <w:rFonts w:hint="eastAsia" w:ascii="Times New Roman" w:hAnsi="Times New Roman" w:eastAsia="方正仿宋_GBK" w:cs="Times New Roman"/>
          <w:kern w:val="0"/>
          <w:sz w:val="32"/>
          <w:szCs w:val="32"/>
          <w:lang w:val="en-US" w:eastAsia="zh-CN"/>
        </w:rPr>
        <w:t>积极对接市级部门，按照建设标准，推动安全发展示范城市创建工作。强化城市规、建、管等各环节安全管控，围绕责任落实、夯实基础、风险辨识、严格管控、隐患排查、监测预警、应急处置、宣传教育等</w:t>
      </w:r>
      <w:r>
        <w:rPr>
          <w:rFonts w:ascii="Times New Roman" w:hAnsi="Times New Roman" w:eastAsia="方正仿宋_GBK" w:cs="Times New Roman"/>
          <w:kern w:val="0"/>
          <w:sz w:val="32"/>
          <w:szCs w:val="32"/>
          <w:lang w:val="en-US" w:eastAsia="zh-CN"/>
        </w:rPr>
        <w:t>8</w:t>
      </w:r>
      <w:r>
        <w:rPr>
          <w:rFonts w:hint="eastAsia" w:ascii="Times New Roman" w:hAnsi="Times New Roman" w:eastAsia="方正仿宋_GBK" w:cs="Times New Roman"/>
          <w:kern w:val="0"/>
          <w:sz w:val="32"/>
          <w:szCs w:val="32"/>
          <w:lang w:val="en-US" w:eastAsia="zh-CN"/>
        </w:rPr>
        <w:t>个方面，精准抓好城市全生命周期安全管控。持续开展城市体检，积极推进城市治理风险清单管理试点工作。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（二）突出依法治理，加大监管执法力度</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7.坚持执法“清零”和执法强度提升。</w:t>
      </w:r>
      <w:r>
        <w:rPr>
          <w:rFonts w:hint="eastAsia" w:ascii="Times New Roman" w:hAnsi="Times New Roman" w:eastAsia="方正仿宋_GBK" w:cs="Times New Roman"/>
          <w:kern w:val="0"/>
          <w:sz w:val="32"/>
          <w:szCs w:val="32"/>
          <w:lang w:val="en-US" w:eastAsia="zh-CN"/>
        </w:rPr>
        <w:t>围绕重大风险、重大隐患和突出违法行为，严格开展检查诊断、行政处罚、整改复查“三部曲”闭环执法，严格落实执法“清零”和执法强度提升要求。区安委会对重点行业领域监管执法开展月排名、月通报和月考核，切实解决查不出问题、收不到实效等突出问题。推广实施“互联网</w:t>
      </w:r>
      <w:r>
        <w:rPr>
          <w:rFonts w:ascii="Times New Roman" w:hAnsi="Times New Roman" w:eastAsia="方正仿宋_GBK" w:cs="Times New Roman"/>
          <w:kern w:val="0"/>
          <w:sz w:val="32"/>
          <w:szCs w:val="32"/>
          <w:lang w:val="en-US" w:eastAsia="zh-CN"/>
        </w:rPr>
        <w:t>+</w:t>
      </w:r>
      <w:r>
        <w:rPr>
          <w:rFonts w:hint="eastAsia" w:ascii="Times New Roman" w:hAnsi="Times New Roman" w:eastAsia="方正仿宋_GBK" w:cs="Times New Roman"/>
          <w:kern w:val="0"/>
          <w:sz w:val="32"/>
          <w:szCs w:val="32"/>
          <w:lang w:val="en-US" w:eastAsia="zh-CN"/>
        </w:rPr>
        <w:t>执法”，提高执法规范化、精准化和信息化水平。</w:t>
      </w:r>
    </w:p>
    <w:p>
      <w:pPr>
        <w:pStyle w:val="19"/>
        <w:keepNext w:val="0"/>
        <w:keepLines w:val="0"/>
        <w:pageBreakBefore w:val="0"/>
        <w:widowControl w:val="0"/>
        <w:kinsoku/>
        <w:wordWrap/>
        <w:overflowPunct/>
        <w:topLinePunct w:val="0"/>
        <w:autoSpaceDE/>
        <w:autoSpaceDN/>
        <w:bidi w:val="0"/>
        <w:adjustRightInd/>
        <w:snapToGrid/>
        <w:spacing w:line="570" w:lineRule="exact"/>
        <w:ind w:firstLine="711" w:firstLineChars="225"/>
        <w:textAlignment w:val="auto"/>
        <w:rPr>
          <w:rFonts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8.坚持“一案双查”和“三责同追”。</w:t>
      </w:r>
      <w:r>
        <w:rPr>
          <w:rFonts w:hint="eastAsia" w:ascii="Times New Roman" w:hAnsi="Times New Roman" w:eastAsia="方正仿宋_GBK" w:cs="Times New Roman"/>
          <w:kern w:val="0"/>
          <w:sz w:val="32"/>
          <w:szCs w:val="32"/>
          <w:lang w:val="en-US" w:eastAsia="zh-CN"/>
        </w:rPr>
        <w:t>严格落实“有案必查、一案双查、三责同追、四不放过”要求，对生产安全事故必须依法开展调查处理，对典型事故查处必须实施挂牌督办。严格落实安全生产行政执法与刑事司法衔接制度。严禁党政领导干部违规干预行政执法和事故查处。严格按照分级负责原则，强化自然灾害调查评估，对负有责任的单位和个人依法追责问责。</w:t>
      </w:r>
    </w:p>
    <w:p>
      <w:pPr>
        <w:pStyle w:val="19"/>
        <w:keepNext w:val="0"/>
        <w:keepLines w:val="0"/>
        <w:pageBreakBefore w:val="0"/>
        <w:widowControl w:val="0"/>
        <w:kinsoku/>
        <w:wordWrap/>
        <w:overflowPunct/>
        <w:topLinePunct w:val="0"/>
        <w:autoSpaceDE/>
        <w:autoSpaceDN/>
        <w:bidi w:val="0"/>
        <w:adjustRightInd/>
        <w:snapToGrid/>
        <w:spacing w:line="570" w:lineRule="exact"/>
        <w:ind w:firstLine="711" w:firstLineChars="225"/>
        <w:textAlignment w:val="auto"/>
        <w:rPr>
          <w:rFonts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9.坚持联合惩戒和鼓励群众举报。</w:t>
      </w:r>
      <w:r>
        <w:rPr>
          <w:rFonts w:hint="eastAsia" w:ascii="Times New Roman" w:hAnsi="Times New Roman" w:eastAsia="方正仿宋_GBK" w:cs="Times New Roman"/>
          <w:kern w:val="0"/>
          <w:sz w:val="32"/>
          <w:szCs w:val="32"/>
          <w:lang w:val="en-US" w:eastAsia="zh-CN"/>
        </w:rPr>
        <w:t>落实安全生产诚信管理办法，健全诚信管理制度，落实激励约束机制，加大对安全生产失信人的联合惩戒力度。完善落实安全生产有奖举报制度，扩大有奖举报知晓率、参与率，强化对举报案件的调查处理和奖励兑现。强化综合打非，加大对烟花爆竹、危险化学品、工贸等行业领域违法行为的打击处理力度。</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（三）压实各方责任，形成齐抓共管格局</w:t>
      </w:r>
    </w:p>
    <w:p>
      <w:pPr>
        <w:pStyle w:val="19"/>
        <w:keepNext w:val="0"/>
        <w:keepLines w:val="0"/>
        <w:pageBreakBefore w:val="0"/>
        <w:widowControl w:val="0"/>
        <w:kinsoku/>
        <w:wordWrap/>
        <w:overflowPunct/>
        <w:topLinePunct w:val="0"/>
        <w:autoSpaceDE/>
        <w:autoSpaceDN/>
        <w:bidi w:val="0"/>
        <w:adjustRightInd/>
        <w:snapToGrid/>
        <w:spacing w:line="570" w:lineRule="exact"/>
        <w:ind w:firstLine="711" w:firstLineChars="225"/>
        <w:textAlignment w:val="auto"/>
        <w:rPr>
          <w:rFonts w:hint="eastAsia"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10.强化党政领导示范履职。</w:t>
      </w:r>
      <w:r>
        <w:rPr>
          <w:rFonts w:hint="eastAsia" w:ascii="Times New Roman" w:hAnsi="Times New Roman" w:eastAsia="方正仿宋_GBK" w:cs="Times New Roman"/>
          <w:kern w:val="0"/>
          <w:sz w:val="32"/>
          <w:szCs w:val="32"/>
          <w:lang w:val="en-US" w:eastAsia="zh-CN"/>
        </w:rPr>
        <w:t>坚持“党政同责、一岗双责、齐抓共管、失职追责”，制定党政领导干部安全生产责任清单和</w:t>
      </w:r>
      <w:r>
        <w:rPr>
          <w:rFonts w:ascii="Times New Roman" w:hAnsi="Times New Roman" w:eastAsia="方正仿宋_GBK" w:cs="Times New Roman"/>
          <w:kern w:val="0"/>
          <w:sz w:val="32"/>
          <w:szCs w:val="32"/>
          <w:lang w:val="en-US" w:eastAsia="zh-CN"/>
        </w:rPr>
        <w:t>2022</w:t>
      </w:r>
      <w:r>
        <w:rPr>
          <w:rFonts w:hint="eastAsia" w:ascii="Times New Roman" w:hAnsi="Times New Roman" w:eastAsia="方正仿宋_GBK" w:cs="Times New Roman"/>
          <w:kern w:val="0"/>
          <w:sz w:val="32"/>
          <w:szCs w:val="32"/>
          <w:lang w:val="en-US" w:eastAsia="zh-CN"/>
        </w:rPr>
        <w:t>年度重点工作清单，各级政府和行业部门落实每半年听取</w:t>
      </w:r>
      <w:r>
        <w:rPr>
          <w:rFonts w:ascii="Times New Roman" w:hAnsi="Times New Roman" w:eastAsia="方正仿宋_GBK" w:cs="Times New Roman"/>
          <w:kern w:val="0"/>
          <w:sz w:val="32"/>
          <w:szCs w:val="32"/>
          <w:lang w:val="en-US" w:eastAsia="zh-CN"/>
        </w:rPr>
        <w:t>1</w:t>
      </w:r>
      <w:r>
        <w:rPr>
          <w:rFonts w:hint="eastAsia" w:ascii="Times New Roman" w:hAnsi="Times New Roman" w:eastAsia="方正仿宋_GBK" w:cs="Times New Roman"/>
          <w:kern w:val="0"/>
          <w:sz w:val="32"/>
          <w:szCs w:val="32"/>
          <w:lang w:val="en-US" w:eastAsia="zh-CN"/>
        </w:rPr>
        <w:t>次班子成员安全生产履职情况报告要求；按照“三管三必须”要求，进一步厘清安全生产监督管理职责，消除监管空白盲区；以发现和解决问题为重点，严格执行“十条措施”，并对其落实情况加强检查督导。</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11.强化行业部门和属地镇街务实履职。</w:t>
      </w:r>
      <w:r>
        <w:rPr>
          <w:rFonts w:hint="eastAsia" w:ascii="Times New Roman" w:hAnsi="Times New Roman" w:eastAsia="方正仿宋_GBK" w:cs="Times New Roman"/>
          <w:kern w:val="0"/>
          <w:sz w:val="32"/>
          <w:szCs w:val="32"/>
          <w:lang w:val="en-US" w:eastAsia="zh-CN"/>
        </w:rPr>
        <w:t>负有安全生产监督管理职责的部门要将业务工作和安全工作同时安排部署、同时推进落实、同时考核奖惩。</w:t>
      </w:r>
      <w:r>
        <w:rPr>
          <w:rFonts w:hint="eastAsia" w:ascii="方正仿宋_GBK" w:hAnsi="方正仿宋_GBK" w:eastAsia="方正仿宋_GBK" w:cs="方正仿宋_GBK"/>
          <w:kern w:val="0"/>
          <w:sz w:val="32"/>
          <w:szCs w:val="32"/>
          <w:lang w:val="en-US" w:eastAsia="zh-CN"/>
        </w:rPr>
        <w:t>行业部门和镇街</w:t>
      </w:r>
      <w:r>
        <w:rPr>
          <w:rFonts w:hint="eastAsia" w:ascii="方正仿宋_GBK" w:hAnsi="方正仿宋_GBK" w:eastAsia="方正仿宋_GBK" w:cs="方正仿宋_GBK"/>
          <w:sz w:val="32"/>
          <w:szCs w:val="32"/>
          <w:lang w:val="en-US" w:eastAsia="zh-CN"/>
        </w:rPr>
        <w:t>要</w:t>
      </w:r>
      <w:r>
        <w:rPr>
          <w:rFonts w:hint="eastAsia" w:ascii="Times New Roman" w:hAnsi="Times New Roman" w:eastAsia="方正仿宋_GBK" w:cs="Times New Roman"/>
          <w:kern w:val="0"/>
          <w:sz w:val="32"/>
          <w:szCs w:val="32"/>
          <w:lang w:val="en-US" w:eastAsia="zh-CN"/>
        </w:rPr>
        <w:t>将“十条措施”各项任务要求明确到人，每季度开展“十条措施”落实情况绩效评估，及时发现和解决问题。要</w:t>
      </w:r>
      <w:r>
        <w:rPr>
          <w:rFonts w:hint="eastAsia" w:ascii="方正仿宋_GBK" w:hAnsi="方正仿宋_GBK" w:eastAsia="方正仿宋_GBK" w:cs="方正仿宋_GBK"/>
          <w:sz w:val="32"/>
          <w:szCs w:val="32"/>
          <w:lang w:val="en-US" w:eastAsia="zh-CN"/>
        </w:rPr>
        <w:t>集中力量、走出机关、深入一线，</w:t>
      </w:r>
      <w:r>
        <w:rPr>
          <w:rFonts w:hint="eastAsia" w:ascii="方正仿宋_GBK" w:hAnsi="方正仿宋_GBK" w:eastAsia="方正仿宋_GBK" w:cs="方正仿宋_GBK"/>
          <w:kern w:val="0"/>
          <w:sz w:val="32"/>
          <w:szCs w:val="32"/>
          <w:lang w:val="en-US" w:eastAsia="zh-CN"/>
        </w:rPr>
        <w:t>监管人员每日开展检查执法，分管负责人每周调度推动执法，主要负责人每月开展执法工作检查和执法水平评估。</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12.强化企业主要负责人依法履职。</w:t>
      </w:r>
      <w:r>
        <w:rPr>
          <w:rFonts w:hint="eastAsia" w:ascii="Times New Roman" w:hAnsi="Times New Roman" w:eastAsia="方正仿宋_GBK" w:cs="Times New Roman"/>
          <w:kern w:val="0"/>
          <w:sz w:val="32"/>
          <w:szCs w:val="32"/>
          <w:lang w:val="en-US" w:eastAsia="zh-CN"/>
        </w:rPr>
        <w:t>落实企业主要负责人安全生产履职评价规范，并将其作为评价履职尽责的重要依据。企业主要负责人要依法建立健全并落实本单位全员安全生产责任制，完善本人及各层级管理人员安全管理职责，挂牌明责、照单履职；要长期抓标准化建设，建立落实双重预防机制，以构建符合生产经营实际的企业管理体系为核心，推进安全生产标准化创建；要经常抓“日周月”隐患排查，开展班组日排查、部门周排查、厂长经理月排查，落实重大（重点）风险隐患“三个层级”责任管控；要在关键环节建立“总工程师”制度，在高危行业企业设置总工程师岗位，强化对技术方案措施编制、论证、决策、实施的监督，增强安全管理效果。</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13.强化“一线责任制”落实。</w:t>
      </w:r>
      <w:r>
        <w:rPr>
          <w:rFonts w:hint="eastAsia" w:ascii="Times New Roman" w:hAnsi="Times New Roman" w:eastAsia="方正仿宋_GBK" w:cs="Times New Roman"/>
          <w:kern w:val="0"/>
          <w:sz w:val="32"/>
          <w:szCs w:val="32"/>
          <w:lang w:val="en-US" w:eastAsia="zh-CN"/>
        </w:rPr>
        <w:t>围绕“知风险、明职责、会操作、能应急”工作要求，持续推行班前会工作制度，重点推动企业一线员工全员参与研究、编制、学习、应用、操作“两单两卡”（岗位风险清单、岗位职责清单、岗位操作卡、岗位应急处置卡）。今年</w:t>
      </w:r>
      <w:r>
        <w:rPr>
          <w:rFonts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lang w:val="en-US" w:eastAsia="zh-CN"/>
        </w:rPr>
        <w:t>月底前，全区道路交通、建设施工、危险化学品、工贸、燃气、电力、文化旅游等重点行业领域全面完成“一线责任制”试点工作；</w:t>
      </w:r>
      <w:r>
        <w:rPr>
          <w:rFonts w:ascii="Times New Roman" w:hAnsi="Times New Roman" w:eastAsia="方正仿宋_GBK" w:cs="Times New Roman"/>
          <w:kern w:val="0"/>
          <w:sz w:val="32"/>
          <w:szCs w:val="32"/>
          <w:lang w:val="en-US" w:eastAsia="zh-CN"/>
        </w:rPr>
        <w:t>9</w:t>
      </w:r>
      <w:r>
        <w:rPr>
          <w:rFonts w:hint="eastAsia" w:ascii="Times New Roman" w:hAnsi="Times New Roman" w:eastAsia="方正仿宋_GBK" w:cs="Times New Roman"/>
          <w:kern w:val="0"/>
          <w:sz w:val="32"/>
          <w:szCs w:val="32"/>
          <w:lang w:val="en-US" w:eastAsia="zh-CN"/>
        </w:rPr>
        <w:t>月底前，重点行业及规模以上工业企业、限额以上商贸企业、资质以上建筑企业全面完成“一线责任制”工作；</w:t>
      </w:r>
      <w:r>
        <w:rPr>
          <w:rFonts w:ascii="Times New Roman" w:hAnsi="Times New Roman" w:eastAsia="方正仿宋_GBK" w:cs="Times New Roman"/>
          <w:kern w:val="0"/>
          <w:sz w:val="32"/>
          <w:szCs w:val="32"/>
          <w:lang w:val="en-US" w:eastAsia="zh-CN"/>
        </w:rPr>
        <w:t>12</w:t>
      </w:r>
      <w:r>
        <w:rPr>
          <w:rFonts w:hint="eastAsia" w:ascii="Times New Roman" w:hAnsi="Times New Roman" w:eastAsia="方正仿宋_GBK" w:cs="Times New Roman"/>
          <w:kern w:val="0"/>
          <w:sz w:val="32"/>
          <w:szCs w:val="32"/>
          <w:lang w:val="en-US" w:eastAsia="zh-CN"/>
        </w:rPr>
        <w:t>月底前，实现所有行业领域企业“一线责任制”全覆盖。</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14.强化督查考核问责问效。</w:t>
      </w:r>
      <w:r>
        <w:rPr>
          <w:rFonts w:hint="eastAsia" w:ascii="Times New Roman" w:hAnsi="Times New Roman" w:eastAsia="方正仿宋_GBK" w:cs="Times New Roman"/>
          <w:kern w:val="0"/>
          <w:sz w:val="32"/>
          <w:szCs w:val="32"/>
          <w:lang w:val="en-US" w:eastAsia="zh-CN"/>
        </w:rPr>
        <w:t>严格督查考核，健全完善明查暗访、督办交办长效机制，对重点工作进行全程跟踪督办，加大对行业部门和镇街的督查考核力度，落实安全生产“一票否决”制度。严格警示曝光，坚持在区政府常务会播放暗访视频片，对发现问题进行曝光警示、交办督办、严肃处理。对专项整治不落实、问题隐患查处或整改不到位、事故管控不力、责任落实问题突出的单位，实施反思发言。坚持对事故多发的部门、街镇和企业（单位）进行通报、约谈、警示。严格问责问效，对重大隐患整改不及时、执法检查走过场等严重不履职的，严肃追责问责。对事故多发频发、拒不查处或整改督办问题、拒不执行行政指令造成严重后果的，进行累进追责。</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（四）聚焦监管效能，提升基层能力素质</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15.推进基层应急治理能力建设。</w:t>
      </w:r>
      <w:r>
        <w:rPr>
          <w:rFonts w:hint="eastAsia" w:ascii="Times New Roman" w:hAnsi="Times New Roman" w:eastAsia="方正仿宋_GBK" w:cs="Times New Roman"/>
          <w:kern w:val="0"/>
          <w:sz w:val="32"/>
          <w:szCs w:val="32"/>
          <w:lang w:val="en-US" w:eastAsia="zh-CN"/>
        </w:rPr>
        <w:t>按照“有机构、有人员、有条件、有能力、有规则”要求，围绕机构设置、职能职责、人员配备、设施装备、执法检查、监管监控、工作制度、救援队伍等</w:t>
      </w:r>
      <w:r>
        <w:rPr>
          <w:rFonts w:ascii="Times New Roman" w:hAnsi="Times New Roman" w:eastAsia="方正仿宋_GBK" w:cs="Times New Roman"/>
          <w:kern w:val="0"/>
          <w:sz w:val="32"/>
          <w:szCs w:val="32"/>
          <w:lang w:val="en-US" w:eastAsia="zh-CN"/>
        </w:rPr>
        <w:t>8</w:t>
      </w:r>
      <w:r>
        <w:rPr>
          <w:rFonts w:hint="eastAsia" w:ascii="Times New Roman" w:hAnsi="Times New Roman" w:eastAsia="方正仿宋_GBK" w:cs="Times New Roman"/>
          <w:kern w:val="0"/>
          <w:sz w:val="32"/>
          <w:szCs w:val="32"/>
          <w:lang w:val="en-US" w:eastAsia="zh-CN"/>
        </w:rPr>
        <w:t>个方面，完成镇街应急管理机构规范化建设。加强镇街应急管理人员配备和资金保障，建立基层应急管理车辆租赁保障机制。落实乡村振兴战略要求，健全村（社区）应急管理体系，合理布局应急避难场所和救灾设施设备。规范网格化管理，整合利用资源，优化网格设置，明确网格人员，增强实用实效。</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16.提升安全监管队伍综合能力。</w:t>
      </w:r>
      <w:r>
        <w:rPr>
          <w:rFonts w:hint="eastAsia" w:ascii="Times New Roman" w:hAnsi="Times New Roman" w:eastAsia="方正仿宋_GBK" w:cs="Times New Roman"/>
          <w:kern w:val="0"/>
          <w:sz w:val="32"/>
          <w:szCs w:val="32"/>
          <w:lang w:val="en-US" w:eastAsia="zh-CN"/>
        </w:rPr>
        <w:t>落实应急管理执法人员入职培训制度。分级分类对应急管理人员开展安全生产、综合防灾减灾救灾及应急救援等专业知识和技能的培训，着力加强对基层执法人员和网格员的教育培训，提升专业能力和水平，具有应急管理相关专业学历和实践经验的人数达到在职人员总数的</w:t>
      </w:r>
      <w:r>
        <w:rPr>
          <w:rFonts w:ascii="Times New Roman" w:hAnsi="Times New Roman" w:eastAsia="方正仿宋_GBK" w:cs="Times New Roman"/>
          <w:kern w:val="0"/>
          <w:sz w:val="32"/>
          <w:szCs w:val="32"/>
          <w:lang w:val="en-US" w:eastAsia="zh-CN"/>
        </w:rPr>
        <w:t>75%</w:t>
      </w:r>
      <w:r>
        <w:rPr>
          <w:rFonts w:hint="eastAsia" w:ascii="Times New Roman" w:hAnsi="Times New Roman" w:eastAsia="方正仿宋_GBK" w:cs="Times New Roman"/>
          <w:kern w:val="0"/>
          <w:sz w:val="32"/>
          <w:szCs w:val="32"/>
          <w:lang w:val="en-US" w:eastAsia="zh-CN"/>
        </w:rPr>
        <w:t>。</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17.提高信息化智能化水平。</w:t>
      </w:r>
      <w:r>
        <w:rPr>
          <w:rFonts w:hint="eastAsia" w:ascii="Times New Roman" w:hAnsi="Times New Roman" w:eastAsia="方正仿宋_GBK" w:cs="Times New Roman"/>
          <w:kern w:val="0"/>
          <w:sz w:val="32"/>
          <w:szCs w:val="32"/>
          <w:lang w:val="en-US" w:eastAsia="zh-CN"/>
        </w:rPr>
        <w:t>升级“安全生产和自然灾害防治隐患排查整治”数据系统，完善工贸行业安全生产管理系统，开发手机端</w:t>
      </w:r>
      <w:r>
        <w:rPr>
          <w:rFonts w:ascii="Times New Roman" w:hAnsi="Times New Roman" w:eastAsia="方正仿宋_GBK" w:cs="Times New Roman"/>
          <w:kern w:val="0"/>
          <w:sz w:val="32"/>
          <w:szCs w:val="32"/>
          <w:lang w:val="en-US" w:eastAsia="zh-CN"/>
        </w:rPr>
        <w:t>APP</w:t>
      </w:r>
      <w:r>
        <w:rPr>
          <w:rFonts w:hint="eastAsia" w:ascii="Times New Roman" w:hAnsi="Times New Roman" w:eastAsia="方正仿宋_GBK" w:cs="Times New Roman"/>
          <w:kern w:val="0"/>
          <w:sz w:val="32"/>
          <w:szCs w:val="32"/>
          <w:lang w:val="en-US" w:eastAsia="zh-CN"/>
        </w:rPr>
        <w:t>，实现数据录入自动统计、闭环管理自动提醒、督办事项报警显示等功能。优化沙坪坝区应急指挥大数据平台和“嘉陵江洪峰过境灾害应急处置指挥系统”，强化应急管理各类数据资源整合，实现一屏调度指挥、单兵精准定位、现场可视化等功能。提升重点部位（场所）、重要装置、重点风险点（隐患点）事故灾害的监测预警水平，增强桥梁隧道、地下管廊、城镇燃气管网、地质灾害隐患点、防洪薄弱点、森林防火等的在线监测预警能力。推进沙坪坝区道路运输货运安全服务平台建设。</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（五）广泛宣传教育，增强全民安全意识</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方正仿宋_GBK" w:eastAsia="方正仿宋_GBK"/>
          <w:kern w:val="0"/>
          <w:sz w:val="32"/>
          <w:szCs w:val="32"/>
        </w:rPr>
      </w:pPr>
      <w:r>
        <w:rPr>
          <w:rFonts w:hint="eastAsia" w:ascii="方正楷体_GBK" w:hAnsi="方正楷体_GBK" w:eastAsia="方正楷体_GBK" w:cs="方正楷体_GBK"/>
          <w:sz w:val="32"/>
          <w:szCs w:val="32"/>
        </w:rPr>
        <w:t>18.重点做好企业安全培训教育。</w:t>
      </w:r>
      <w:r>
        <w:rPr>
          <w:rFonts w:hint="eastAsia" w:ascii="方正仿宋_GBK" w:eastAsia="方正仿宋_GBK"/>
          <w:kern w:val="0"/>
          <w:sz w:val="32"/>
          <w:szCs w:val="32"/>
        </w:rPr>
        <w:t>以企业主要负责人、安全管理人员为重点，加强“线上+线下”安全教育培训，使企业树立“安全第一”理念，提升危险化学品、交通、建设等重点行业员工安全生产技能水平，</w:t>
      </w:r>
      <w:r>
        <w:rPr>
          <w:rFonts w:hint="eastAsia" w:ascii="方正仿宋_GBK" w:hAnsi="方正仿宋_GBK" w:eastAsia="方正仿宋_GBK" w:cs="方正仿宋_GBK"/>
          <w:sz w:val="32"/>
          <w:szCs w:val="32"/>
        </w:rPr>
        <w:t>推动企业做到安全生产责任、管理、投入、培训和应急救援“五到位”。</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default" w:ascii="Times New Roman" w:hAnsi="Times New Roman" w:eastAsia="方正仿宋_GBK" w:cs="Times New Roman"/>
          <w:kern w:val="0"/>
          <w:sz w:val="32"/>
          <w:szCs w:val="32"/>
          <w:lang w:bidi="zh-TW"/>
        </w:rPr>
      </w:pPr>
      <w:r>
        <w:rPr>
          <w:rFonts w:hint="default" w:ascii="Times New Roman" w:hAnsi="Times New Roman" w:eastAsia="方正楷体_GBK" w:cs="Times New Roman"/>
          <w:sz w:val="32"/>
          <w:szCs w:val="32"/>
        </w:rPr>
        <w:t>19.广泛开展安全宣传教育。</w:t>
      </w:r>
      <w:r>
        <w:rPr>
          <w:rFonts w:hint="default" w:ascii="Times New Roman" w:hAnsi="Times New Roman" w:eastAsia="方正仿宋_GBK" w:cs="Times New Roman"/>
          <w:kern w:val="0"/>
          <w:sz w:val="32"/>
          <w:szCs w:val="32"/>
        </w:rPr>
        <w:t>制作《安全小课堂》宣传小视频，利用多种媒体渠道开展安全宣传教育，扎实开展入户安全宣传和警示提示。以安全生产月、森林防火宣传月、“5.12”防灾减灾日等为重点，大力开展各类宣传教育活动，推动安全及防灾减灾宣传进企业、进农村、进社区、进学校、进家庭，提高社会</w:t>
      </w:r>
      <w:r>
        <w:rPr>
          <w:rFonts w:hint="default" w:ascii="Times New Roman" w:hAnsi="Times New Roman" w:eastAsia="方正仿宋_GBK" w:cs="Times New Roman"/>
          <w:color w:val="000000"/>
          <w:sz w:val="32"/>
          <w:szCs w:val="32"/>
        </w:rPr>
        <w:t>安全意识、普及居民安全知识、基础安全技能</w:t>
      </w:r>
      <w:r>
        <w:rPr>
          <w:rFonts w:hint="default" w:ascii="Times New Roman" w:hAnsi="Times New Roman" w:eastAsia="方正仿宋_GBK" w:cs="Times New Roman"/>
          <w:kern w:val="0"/>
          <w:sz w:val="32"/>
          <w:szCs w:val="32"/>
        </w:rPr>
        <w:t>。加强中小学安全基础教育和防灾避险演练。</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（六）提高处突能力，全面做好应急准备</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20.</w:t>
      </w:r>
      <w:r>
        <w:rPr>
          <w:rFonts w:hint="eastAsia" w:ascii="方正楷体_GBK" w:hAnsi="方正楷体_GBK" w:eastAsia="方正楷体_GBK" w:cs="方正楷体_GBK"/>
          <w:sz w:val="32"/>
          <w:szCs w:val="32"/>
          <w:lang w:eastAsia="zh-CN"/>
        </w:rPr>
        <w:t>加强应急预案修订和演练。</w:t>
      </w:r>
      <w:r>
        <w:rPr>
          <w:rFonts w:hint="eastAsia" w:ascii="Times New Roman" w:hAnsi="Times New Roman" w:eastAsia="方正仿宋_GBK" w:cs="Times New Roman"/>
          <w:kern w:val="0"/>
          <w:sz w:val="32"/>
          <w:szCs w:val="32"/>
          <w:lang w:val="en-US" w:eastAsia="zh-CN"/>
        </w:rPr>
        <w:t>加强风险研判和应急资源调查，建立全区应急资源分布图和数据库，提升“一图一库”信息化管理水平。精准构建事故灾害情景，推广落实应急预案简明化、专业化、实战化和应急处置卡“三化一卡”要求，针对性修订完善生产安全事故、自然灾害应急预案，开展实战化演练，落实现场指挥官制度。</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21.</w:t>
      </w:r>
      <w:r>
        <w:rPr>
          <w:rFonts w:hint="eastAsia" w:ascii="方正楷体_GBK" w:hAnsi="方正楷体_GBK" w:eastAsia="方正楷体_GBK" w:cs="方正楷体_GBK"/>
          <w:sz w:val="32"/>
          <w:szCs w:val="32"/>
          <w:lang w:eastAsia="zh-CN"/>
        </w:rPr>
        <w:t>加强队伍建设和能力建设。</w:t>
      </w:r>
      <w:r>
        <w:rPr>
          <w:rFonts w:hint="eastAsia" w:ascii="Times New Roman" w:hAnsi="Times New Roman" w:eastAsia="方正仿宋_GBK" w:cs="Times New Roman"/>
          <w:kern w:val="0"/>
          <w:sz w:val="32"/>
          <w:szCs w:val="32"/>
          <w:lang w:val="en-US" w:eastAsia="zh-CN"/>
        </w:rPr>
        <w:t>做强区综合应急救援队，推动队伍正规化建设，建立财政保障机制、执行任务费用补偿机制，加强镇街、村社区综合应急救援队能力建设。</w:t>
      </w:r>
      <w:r>
        <w:rPr>
          <w:rFonts w:ascii="Times New Roman" w:hAnsi="Times New Roman" w:eastAsia="方正仿宋_GBK" w:cs="Times New Roman"/>
          <w:kern w:val="0"/>
          <w:sz w:val="32"/>
          <w:szCs w:val="32"/>
          <w:lang w:val="en-US" w:eastAsia="zh-CN"/>
        </w:rPr>
        <w:t>2022</w:t>
      </w:r>
      <w:r>
        <w:rPr>
          <w:rFonts w:hint="eastAsia" w:ascii="Times New Roman" w:hAnsi="Times New Roman" w:eastAsia="方正仿宋_GBK" w:cs="Times New Roman"/>
          <w:kern w:val="0"/>
          <w:sz w:val="32"/>
          <w:szCs w:val="32"/>
          <w:lang w:val="en-US" w:eastAsia="zh-CN"/>
        </w:rPr>
        <w:t>年，镇街综合救援队伍、社区应急救援站（微型消防站）建设完成率</w:t>
      </w:r>
      <w:r>
        <w:rPr>
          <w:rFonts w:ascii="Times New Roman" w:hAnsi="Times New Roman" w:eastAsia="方正仿宋_GBK" w:cs="Times New Roman"/>
          <w:kern w:val="0"/>
          <w:sz w:val="32"/>
          <w:szCs w:val="32"/>
          <w:lang w:val="en-US" w:eastAsia="zh-CN"/>
        </w:rPr>
        <w:t>100%</w:t>
      </w:r>
      <w:r>
        <w:rPr>
          <w:rFonts w:hint="eastAsia" w:ascii="Times New Roman" w:hAnsi="Times New Roman" w:eastAsia="方正仿宋_GBK" w:cs="Times New Roman"/>
          <w:kern w:val="0"/>
          <w:sz w:val="32"/>
          <w:szCs w:val="32"/>
          <w:lang w:val="en-US" w:eastAsia="zh-CN"/>
        </w:rPr>
        <w:t>，推进高危企业、重点企业以及水电气运营等重点民生保障单位建立专兼职应急救援力量建设。</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22.</w:t>
      </w:r>
      <w:r>
        <w:rPr>
          <w:rFonts w:hint="eastAsia" w:ascii="方正楷体_GBK" w:hAnsi="方正楷体_GBK" w:eastAsia="方正楷体_GBK" w:cs="方正楷体_GBK"/>
          <w:sz w:val="32"/>
          <w:szCs w:val="32"/>
          <w:lang w:eastAsia="zh-CN"/>
        </w:rPr>
        <w:t>加强物资保障和救助管理。</w:t>
      </w:r>
      <w:r>
        <w:rPr>
          <w:rFonts w:hint="eastAsia" w:ascii="Times New Roman" w:hAnsi="Times New Roman" w:eastAsia="方正仿宋_GBK" w:cs="Times New Roman"/>
          <w:kern w:val="0"/>
          <w:sz w:val="32"/>
          <w:szCs w:val="32"/>
          <w:lang w:val="en-US" w:eastAsia="zh-CN"/>
        </w:rPr>
        <w:t>整合利用国际物流枢纽园区医疗应急储备库，建设沙坪坝区事故灾害物资装备储备库，集中存储全区事故灾害应急救援和救灾救助物资装备，实现集中储存、规范管理、高效调度。加快灾后倒损民房重建工程，确保受灾困难群众“五有”生活保障率达到</w:t>
      </w:r>
      <w:r>
        <w:rPr>
          <w:rFonts w:ascii="Times New Roman" w:hAnsi="Times New Roman" w:eastAsia="方正仿宋_GBK" w:cs="Times New Roman"/>
          <w:kern w:val="0"/>
          <w:sz w:val="32"/>
          <w:szCs w:val="32"/>
          <w:lang w:val="en-US" w:eastAsia="zh-CN"/>
        </w:rPr>
        <w:t>100%</w:t>
      </w:r>
      <w:r>
        <w:rPr>
          <w:rFonts w:hint="eastAsia" w:ascii="Times New Roman" w:hAnsi="Times New Roman" w:eastAsia="方正仿宋_GBK" w:cs="Times New Roman"/>
          <w:kern w:val="0"/>
          <w:sz w:val="32"/>
          <w:szCs w:val="32"/>
          <w:lang w:val="en-US" w:eastAsia="zh-CN"/>
        </w:rPr>
        <w:t>。</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sz w:val="32"/>
          <w:szCs w:val="32"/>
          <w:lang w:val="en-US" w:eastAsia="zh-CN"/>
        </w:rPr>
        <w:t>23.加强紧急避险和应急联动</w:t>
      </w:r>
      <w:r>
        <w:rPr>
          <w:rFonts w:hint="eastAsia" w:ascii="Times New Roman" w:hAnsi="Times New Roman" w:eastAsia="方正仿宋_GBK" w:cs="Times New Roman"/>
          <w:kern w:val="0"/>
          <w:sz w:val="32"/>
          <w:szCs w:val="32"/>
          <w:lang w:val="en-US" w:eastAsia="zh-CN"/>
        </w:rPr>
        <w:t>。认真落实</w:t>
      </w:r>
      <w:r>
        <w:rPr>
          <w:rFonts w:hint="eastAsia" w:ascii="Times New Roman" w:hAnsi="Times New Roman" w:eastAsia="方正仿宋_GBK" w:cs="Times New Roman"/>
          <w:sz w:val="32"/>
          <w:szCs w:val="32"/>
        </w:rPr>
        <w:t>《</w:t>
      </w:r>
      <w:r>
        <w:rPr>
          <w:rStyle w:val="17"/>
          <w:rFonts w:hint="eastAsia" w:ascii="Times New Roman" w:hAnsi="Times New Roman" w:eastAsia="方正仿宋_GBK" w:cs="Times New Roman"/>
          <w:b w:val="0"/>
          <w:bCs/>
          <w:sz w:val="32"/>
          <w:szCs w:val="32"/>
          <w:lang w:eastAsia="zh-CN"/>
        </w:rPr>
        <w:t>沙坪坝区</w:t>
      </w:r>
      <w:r>
        <w:rPr>
          <w:rStyle w:val="17"/>
          <w:rFonts w:hint="eastAsia" w:ascii="Times New Roman" w:hAnsi="Times New Roman" w:eastAsia="方正仿宋_GBK" w:cs="Times New Roman"/>
          <w:b w:val="0"/>
          <w:bCs/>
          <w:sz w:val="32"/>
          <w:szCs w:val="32"/>
        </w:rPr>
        <w:t>生产安全事故和自然灾害应急救援联动机制</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，严格执行</w:t>
      </w:r>
      <w:r>
        <w:rPr>
          <w:rFonts w:hint="eastAsia" w:ascii="Times New Roman" w:hAnsi="Times New Roman" w:eastAsia="方正仿宋_GBK" w:cs="Times New Roman"/>
          <w:kern w:val="0"/>
          <w:sz w:val="32"/>
          <w:szCs w:val="32"/>
          <w:lang w:val="en-US" w:eastAsia="zh-CN"/>
        </w:rPr>
        <w:t>应对极端暴雨和过境洪水应急处置规范，分级分类建立各类极端事故灾害响应处置操作细则。加强宣传媒体、通信手段对重要信息的传播推送，全面推行重要预警信息“叫应”机制。建立完善区域、行业、单位、部位灾害预警“熔断”机制，严格落实“禁、停、撤、疏”等紧急管控措施，精准规划不同灾害情况下的疏散范围、撤离路线和避险场所，切实防范各类极端灾害。</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三、保障措施</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kern w:val="0"/>
          <w:sz w:val="32"/>
          <w:szCs w:val="32"/>
          <w:lang w:val="en-US" w:eastAsia="zh-CN"/>
        </w:rPr>
        <w:t>（一）加强组织领导。</w:t>
      </w:r>
      <w:r>
        <w:rPr>
          <w:rFonts w:hint="eastAsia" w:ascii="Times New Roman" w:hAnsi="Times New Roman" w:eastAsia="方正仿宋_GBK" w:cs="Times New Roman"/>
          <w:kern w:val="0"/>
          <w:sz w:val="32"/>
          <w:szCs w:val="32"/>
          <w:lang w:val="en-US" w:eastAsia="zh-CN"/>
        </w:rPr>
        <w:t>全区各级各部门要切实担负起“促一方发展、保一方平安”的政治责任，守住安全红线、筑牢安全底线，确保各项安排部署落实到位。持续优化应急管理体制机制，强化组织领导和统筹协调。持续实施安全专项资金机制，建立行政首长准备金应急保障机制，强化突发事件和抢险救灾资金保障。</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kern w:val="0"/>
          <w:sz w:val="32"/>
          <w:szCs w:val="32"/>
          <w:lang w:val="en-US" w:eastAsia="zh-CN"/>
        </w:rPr>
        <w:t>（二）强化技术支撑。</w:t>
      </w:r>
      <w:r>
        <w:rPr>
          <w:rFonts w:hint="eastAsia" w:ascii="Times New Roman" w:hAnsi="Times New Roman" w:eastAsia="方正仿宋_GBK" w:cs="Times New Roman"/>
          <w:kern w:val="0"/>
          <w:sz w:val="32"/>
          <w:szCs w:val="32"/>
          <w:lang w:val="en-US" w:eastAsia="zh-CN"/>
        </w:rPr>
        <w:t>发挥中介机构、专家对部门和企业的安全技术服务支撑作用，在重要节点和特殊敏感时期，组织专家或专业机构参与对高危企业、重点单位和各类大型活动等的安全检查。</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kern w:val="0"/>
          <w:sz w:val="32"/>
          <w:szCs w:val="32"/>
          <w:lang w:val="en-US" w:eastAsia="zh-CN"/>
        </w:rPr>
        <w:t>（三）推动队伍建设。</w:t>
      </w:r>
      <w:r>
        <w:rPr>
          <w:rFonts w:hint="eastAsia" w:ascii="Times New Roman" w:hAnsi="Times New Roman" w:eastAsia="方正仿宋_GBK" w:cs="Times New Roman"/>
          <w:kern w:val="0"/>
          <w:sz w:val="32"/>
          <w:szCs w:val="32"/>
          <w:lang w:val="en-US" w:eastAsia="zh-CN"/>
        </w:rPr>
        <w:t>落实国家关于应急系统准军事化管理的统一部署，加强对应急管理系统干部职工的教育管理和关心关爱，不断增强职业荣誉感和自豪感。开展应急系统培训，全面提升应急管理干部的政治理论素质和专业素养，为推进全区应急管理体系和能力现代化提供有力保证。</w:t>
      </w:r>
    </w:p>
    <w:p>
      <w:pPr>
        <w:pStyle w:val="19"/>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1908" w:leftChars="304" w:hanging="948" w:hangingChars="300"/>
        <w:jc w:val="both"/>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附件：</w:t>
      </w:r>
      <w:r>
        <w:rPr>
          <w:rFonts w:ascii="Times New Roman" w:hAnsi="Times New Roman" w:eastAsia="方正仿宋_GBK" w:cs="Times New Roman"/>
          <w:kern w:val="0"/>
          <w:sz w:val="32"/>
          <w:szCs w:val="32"/>
          <w:lang w:val="en-US" w:eastAsia="zh-CN"/>
        </w:rPr>
        <w:t>2022</w:t>
      </w:r>
      <w:r>
        <w:rPr>
          <w:rFonts w:hint="eastAsia" w:ascii="Times New Roman" w:hAnsi="Times New Roman" w:eastAsia="方正仿宋_GBK" w:cs="Times New Roman"/>
          <w:kern w:val="0"/>
          <w:sz w:val="32"/>
          <w:szCs w:val="32"/>
          <w:lang w:val="en-US" w:eastAsia="zh-CN"/>
        </w:rPr>
        <w:t>年沙坪坝区安全生产与自然灾害防治工作要点任务分解</w:t>
      </w:r>
    </w:p>
    <w:p>
      <w:pPr>
        <w:rPr>
          <w:rFonts w:hint="eastAsia" w:ascii="Times New Roman" w:hAnsi="Times New Roman" w:eastAsia="方正黑体_GBK" w:cs="Times New Roman"/>
          <w:sz w:val="32"/>
          <w:szCs w:val="32"/>
        </w:rPr>
      </w:pPr>
      <w:r>
        <w:rPr>
          <w:rFonts w:hint="eastAsia" w:ascii="方正仿宋_GBK" w:eastAsia="方正仿宋_GBK"/>
          <w:sz w:val="32"/>
          <w:szCs w:val="32"/>
        </w:rPr>
        <w:br w:type="page"/>
      </w:r>
      <w:r>
        <w:rPr>
          <w:rFonts w:hint="eastAsia" w:ascii="Times New Roman" w:hAnsi="Times New Roman" w:eastAsia="方正黑体_GBK" w:cs="Times New Roman"/>
          <w:sz w:val="32"/>
          <w:szCs w:val="32"/>
        </w:rPr>
        <w:t>附件</w:t>
      </w:r>
    </w:p>
    <w:p>
      <w:pPr>
        <w:keepNext w:val="0"/>
        <w:keepLines w:val="0"/>
        <w:pageBreakBefore w:val="0"/>
        <w:widowControl w:val="0"/>
        <w:kinsoku/>
        <w:wordWrap/>
        <w:overflowPunct/>
        <w:topLinePunct w:val="0"/>
        <w:autoSpaceDE/>
        <w:autoSpaceDN/>
        <w:bidi w:val="0"/>
        <w:adjustRightInd/>
        <w:snapToGrid w:val="0"/>
        <w:spacing w:after="179" w:afterLines="30"/>
        <w:jc w:val="center"/>
        <w:textAlignment w:val="auto"/>
        <w:rPr>
          <w:rFonts w:hint="eastAsia" w:ascii="Times New Roman" w:hAnsi="Times New Roman" w:eastAsia="方正小标宋_GBK" w:cs="Times New Roman"/>
          <w:sz w:val="32"/>
          <w:szCs w:val="32"/>
        </w:rPr>
      </w:pPr>
      <w:r>
        <w:rPr>
          <w:rFonts w:hint="eastAsia" w:ascii="Times New Roman" w:hAnsi="Times New Roman" w:eastAsia="方正小标宋_GBK" w:cs="Times New Roman"/>
          <w:sz w:val="32"/>
          <w:szCs w:val="32"/>
        </w:rPr>
        <w:t>2022年度全区安全生产与自然灾害防治工作要点任务分解</w:t>
      </w:r>
    </w:p>
    <w:tbl>
      <w:tblPr>
        <w:tblStyle w:val="15"/>
        <w:tblW w:w="9071"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575"/>
        <w:gridCol w:w="1132"/>
        <w:gridCol w:w="3744"/>
        <w:gridCol w:w="1575"/>
        <w:gridCol w:w="2045"/>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序号</w:t>
            </w:r>
          </w:p>
        </w:tc>
        <w:tc>
          <w:tcPr>
            <w:tcW w:w="1132" w:type="dxa"/>
            <w:noWrap w:val="0"/>
            <w:tcMar>
              <w:top w:w="28" w:type="dxa"/>
              <w:left w:w="28" w:type="dxa"/>
              <w:bottom w:w="28" w:type="dxa"/>
              <w:right w:w="28" w:type="dxa"/>
            </w:tcMar>
            <w:vAlign w:val="center"/>
          </w:tcPr>
          <w:p>
            <w:pPr>
              <w:spacing w:line="30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重点任务</w:t>
            </w:r>
          </w:p>
        </w:tc>
        <w:tc>
          <w:tcPr>
            <w:tcW w:w="3744" w:type="dxa"/>
            <w:noWrap w:val="0"/>
            <w:tcMar>
              <w:top w:w="28" w:type="dxa"/>
              <w:left w:w="28" w:type="dxa"/>
              <w:bottom w:w="28" w:type="dxa"/>
              <w:right w:w="28" w:type="dxa"/>
            </w:tcMar>
            <w:vAlign w:val="center"/>
          </w:tcPr>
          <w:p>
            <w:pPr>
              <w:spacing w:line="30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工作要求</w:t>
            </w:r>
          </w:p>
        </w:tc>
        <w:tc>
          <w:tcPr>
            <w:tcW w:w="1575" w:type="dxa"/>
            <w:noWrap w:val="0"/>
            <w:tcMar>
              <w:top w:w="28" w:type="dxa"/>
              <w:left w:w="28" w:type="dxa"/>
              <w:bottom w:w="28" w:type="dxa"/>
              <w:right w:w="28" w:type="dxa"/>
            </w:tcMar>
            <w:vAlign w:val="center"/>
          </w:tcPr>
          <w:p>
            <w:pPr>
              <w:spacing w:line="30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牵头单位</w:t>
            </w:r>
          </w:p>
        </w:tc>
        <w:tc>
          <w:tcPr>
            <w:tcW w:w="2045" w:type="dxa"/>
            <w:noWrap w:val="0"/>
            <w:tcMar>
              <w:top w:w="28" w:type="dxa"/>
              <w:left w:w="28" w:type="dxa"/>
              <w:bottom w:w="28" w:type="dxa"/>
              <w:right w:w="28" w:type="dxa"/>
            </w:tcMar>
            <w:vAlign w:val="center"/>
          </w:tcPr>
          <w:p>
            <w:pPr>
              <w:spacing w:line="30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责任单位</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071" w:type="dxa"/>
            <w:gridSpan w:val="5"/>
            <w:noWrap w:val="0"/>
            <w:tcMar>
              <w:top w:w="28" w:type="dxa"/>
              <w:left w:w="28" w:type="dxa"/>
              <w:bottom w:w="28" w:type="dxa"/>
              <w:right w:w="28" w:type="dxa"/>
            </w:tcMar>
            <w:vAlign w:val="center"/>
          </w:tcPr>
          <w:p>
            <w:pPr>
              <w:spacing w:line="300" w:lineRule="exact"/>
              <w:jc w:val="center"/>
              <w:rPr>
                <w:rFonts w:eastAsia="方正楷体_GBK"/>
                <w:color w:val="000000"/>
                <w:sz w:val="21"/>
                <w:szCs w:val="21"/>
              </w:rPr>
            </w:pPr>
            <w:r>
              <w:rPr>
                <w:rFonts w:hint="eastAsia" w:ascii="方正楷体_GBK" w:hAnsi="方正楷体_GBK" w:eastAsia="方正楷体_GBK" w:cs="方正楷体_GBK"/>
                <w:sz w:val="21"/>
                <w:szCs w:val="21"/>
              </w:rPr>
              <w:t>一、坚持以防为主，夯实安全基础条件（6项）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w:t>
            </w:r>
          </w:p>
        </w:tc>
        <w:tc>
          <w:tcPr>
            <w:tcW w:w="1132"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抓细大排查大整治</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常态化开展安全隐患大排查大整治，分别建立安全风险和管控措施、安全隐患和整改情况“两个清单”。</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区安委办</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负有安全生产监管和自然灾害防治职责的区级部门和单位</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w:t>
            </w:r>
          </w:p>
        </w:tc>
        <w:tc>
          <w:tcPr>
            <w:tcW w:w="1132"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抓深安全生产专项整治三年行动</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全面梳理“1+3+9”专题专项任务完成进度，对还未完成的任务倒排时限、落实责任、细化举措，逐一评估销号，确保三年行动圆满收官。</w:t>
            </w:r>
          </w:p>
        </w:tc>
        <w:tc>
          <w:tcPr>
            <w:tcW w:w="1575" w:type="dxa"/>
            <w:noWrap w:val="0"/>
            <w:tcMar>
              <w:top w:w="28" w:type="dxa"/>
              <w:left w:w="28" w:type="dxa"/>
              <w:bottom w:w="28" w:type="dxa"/>
              <w:right w:w="28" w:type="dxa"/>
            </w:tcMar>
            <w:vAlign w:val="center"/>
          </w:tcPr>
          <w:p>
            <w:pPr>
              <w:spacing w:line="300" w:lineRule="exact"/>
              <w:rPr>
                <w:rFonts w:eastAsia="方正仿宋_GBK"/>
                <w:color w:val="000000"/>
                <w:sz w:val="21"/>
                <w:szCs w:val="21"/>
              </w:rPr>
            </w:pPr>
            <w:r>
              <w:rPr>
                <w:rFonts w:hint="eastAsia" w:eastAsia="方正仿宋_GBK"/>
                <w:color w:val="000000"/>
                <w:sz w:val="21"/>
                <w:szCs w:val="21"/>
              </w:rPr>
              <w:t>区应急局、区消防救援支队、</w:t>
            </w:r>
            <w:r>
              <w:rPr>
                <w:rFonts w:eastAsia="方正仿宋_GBK"/>
                <w:color w:val="000000"/>
                <w:sz w:val="21"/>
                <w:szCs w:val="21"/>
              </w:rPr>
              <w:t>区交通局、区公安分局</w:t>
            </w:r>
            <w:r>
              <w:rPr>
                <w:rFonts w:hint="eastAsia" w:eastAsia="方正仿宋_GBK"/>
                <w:color w:val="000000"/>
                <w:sz w:val="21"/>
                <w:szCs w:val="21"/>
              </w:rPr>
              <w:t>、</w:t>
            </w:r>
            <w:r>
              <w:rPr>
                <w:rFonts w:eastAsia="方正仿宋_GBK"/>
                <w:color w:val="000000"/>
                <w:sz w:val="21"/>
                <w:szCs w:val="21"/>
              </w:rPr>
              <w:t>区住房城乡建委</w:t>
            </w:r>
            <w:r>
              <w:rPr>
                <w:rFonts w:hint="eastAsia" w:eastAsia="方正仿宋_GBK"/>
                <w:color w:val="000000"/>
                <w:sz w:val="21"/>
                <w:szCs w:val="21"/>
              </w:rPr>
              <w:t>、</w:t>
            </w:r>
            <w:r>
              <w:rPr>
                <w:rFonts w:eastAsia="方正仿宋_GBK"/>
                <w:color w:val="000000"/>
                <w:sz w:val="21"/>
                <w:szCs w:val="21"/>
              </w:rPr>
              <w:t>区城管局</w:t>
            </w:r>
            <w:r>
              <w:rPr>
                <w:rFonts w:hint="eastAsia" w:eastAsia="方正仿宋_GBK"/>
                <w:color w:val="000000"/>
                <w:sz w:val="21"/>
                <w:szCs w:val="21"/>
              </w:rPr>
              <w:t>、</w:t>
            </w:r>
            <w:r>
              <w:rPr>
                <w:rFonts w:eastAsia="方正仿宋_GBK"/>
                <w:color w:val="000000"/>
                <w:sz w:val="21"/>
                <w:szCs w:val="21"/>
              </w:rPr>
              <w:t>区生态环境局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相关部门和各镇街</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restart"/>
            <w:noWrap w:val="0"/>
            <w:tcMar>
              <w:top w:w="28" w:type="dxa"/>
              <w:left w:w="28" w:type="dxa"/>
              <w:bottom w:w="28" w:type="dxa"/>
              <w:right w:w="28" w:type="dxa"/>
            </w:tcMar>
            <w:vAlign w:val="center"/>
          </w:tcPr>
          <w:p>
            <w:pPr>
              <w:spacing w:line="300" w:lineRule="exact"/>
              <w:jc w:val="center"/>
              <w:rPr>
                <w:rFonts w:hint="eastAsia" w:ascii="Calibri" w:hAnsi="Calibri"/>
                <w:sz w:val="21"/>
                <w:szCs w:val="21"/>
              </w:rPr>
            </w:pPr>
          </w:p>
          <w:p>
            <w:pPr>
              <w:spacing w:line="300" w:lineRule="exact"/>
              <w:jc w:val="center"/>
              <w:rPr>
                <w:rFonts w:hint="eastAsia" w:ascii="Calibri" w:hAnsi="Calibri"/>
                <w:sz w:val="21"/>
                <w:szCs w:val="21"/>
              </w:rPr>
            </w:pPr>
          </w:p>
          <w:p>
            <w:pPr>
              <w:spacing w:line="300" w:lineRule="exact"/>
              <w:jc w:val="center"/>
              <w:rPr>
                <w:rFonts w:hint="eastAsia" w:ascii="Calibri" w:hAnsi="Calibri"/>
                <w:sz w:val="21"/>
                <w:szCs w:val="21"/>
              </w:rPr>
            </w:pPr>
          </w:p>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3</w:t>
            </w:r>
          </w:p>
          <w:p>
            <w:pPr>
              <w:spacing w:line="300" w:lineRule="exact"/>
              <w:jc w:val="center"/>
              <w:rPr>
                <w:rFonts w:hint="eastAsia" w:ascii="Calibri" w:hAnsi="Calibri"/>
                <w:sz w:val="21"/>
                <w:szCs w:val="21"/>
              </w:rPr>
            </w:pPr>
          </w:p>
          <w:p>
            <w:pPr>
              <w:spacing w:line="300" w:lineRule="exact"/>
              <w:jc w:val="center"/>
              <w:rPr>
                <w:rFonts w:hint="eastAsia" w:ascii="Calibri" w:hAnsi="Calibri"/>
                <w:sz w:val="21"/>
                <w:szCs w:val="21"/>
              </w:rPr>
            </w:pPr>
          </w:p>
          <w:p>
            <w:pPr>
              <w:spacing w:line="300" w:lineRule="exact"/>
              <w:jc w:val="center"/>
              <w:rPr>
                <w:rFonts w:hint="eastAsia" w:ascii="Calibri" w:hAnsi="Calibri"/>
                <w:sz w:val="21"/>
                <w:szCs w:val="21"/>
              </w:rPr>
            </w:pPr>
          </w:p>
          <w:p>
            <w:pPr>
              <w:spacing w:line="300" w:lineRule="exact"/>
              <w:jc w:val="center"/>
              <w:rPr>
                <w:rFonts w:hint="eastAsia" w:ascii="Calibri" w:hAnsi="Calibri"/>
                <w:sz w:val="21"/>
                <w:szCs w:val="21"/>
              </w:rPr>
            </w:pPr>
          </w:p>
          <w:p>
            <w:pPr>
              <w:spacing w:line="300" w:lineRule="exact"/>
              <w:rPr>
                <w:rFonts w:hint="eastAsia" w:ascii="Calibri" w:hAnsi="Calibri"/>
                <w:sz w:val="21"/>
                <w:szCs w:val="21"/>
              </w:rPr>
            </w:pPr>
          </w:p>
          <w:p>
            <w:pPr>
              <w:spacing w:line="300" w:lineRule="exact"/>
              <w:jc w:val="center"/>
              <w:rPr>
                <w:rFonts w:hint="eastAsia" w:ascii="Calibri" w:hAnsi="Calibri"/>
                <w:sz w:val="21"/>
                <w:szCs w:val="21"/>
              </w:rPr>
            </w:pPr>
          </w:p>
          <w:p>
            <w:pPr>
              <w:spacing w:line="300" w:lineRule="exact"/>
              <w:jc w:val="center"/>
              <w:rPr>
                <w:rFonts w:hint="eastAsia" w:ascii="Calibri" w:hAnsi="Calibri"/>
                <w:sz w:val="21"/>
                <w:szCs w:val="21"/>
              </w:rPr>
            </w:pPr>
          </w:p>
          <w:p>
            <w:pPr>
              <w:autoSpaceDE w:val="0"/>
              <w:autoSpaceDN w:val="0"/>
              <w:adjustRightInd w:val="0"/>
              <w:spacing w:line="300" w:lineRule="exact"/>
              <w:jc w:val="left"/>
              <w:rPr>
                <w:rFonts w:hint="eastAsia" w:ascii="仿宋_GB2312" w:hAnsi="Calibri" w:eastAsia="仿宋_GB2312"/>
                <w:color w:val="000000"/>
                <w:kern w:val="0"/>
                <w:sz w:val="21"/>
                <w:szCs w:val="21"/>
              </w:rPr>
            </w:pPr>
          </w:p>
          <w:p>
            <w:pPr>
              <w:autoSpaceDE w:val="0"/>
              <w:autoSpaceDN w:val="0"/>
              <w:adjustRightInd w:val="0"/>
              <w:spacing w:line="300" w:lineRule="exact"/>
              <w:jc w:val="left"/>
              <w:rPr>
                <w:rFonts w:hint="eastAsia" w:ascii="仿宋_GB2312" w:hAnsi="Calibri" w:eastAsia="仿宋_GB2312"/>
                <w:color w:val="000000"/>
                <w:kern w:val="0"/>
                <w:sz w:val="21"/>
                <w:szCs w:val="21"/>
              </w:rPr>
            </w:pPr>
          </w:p>
          <w:p>
            <w:pPr>
              <w:autoSpaceDE w:val="0"/>
              <w:autoSpaceDN w:val="0"/>
              <w:adjustRightInd w:val="0"/>
              <w:spacing w:line="300" w:lineRule="exact"/>
              <w:jc w:val="left"/>
              <w:rPr>
                <w:rFonts w:hint="eastAsia" w:ascii="仿宋_GB2312" w:hAnsi="Calibri" w:eastAsia="仿宋_GB2312"/>
                <w:color w:val="000000"/>
                <w:kern w:val="0"/>
                <w:sz w:val="21"/>
                <w:szCs w:val="21"/>
              </w:rPr>
            </w:pPr>
          </w:p>
          <w:p>
            <w:pPr>
              <w:spacing w:line="300" w:lineRule="exact"/>
              <w:jc w:val="center"/>
              <w:rPr>
                <w:rFonts w:hint="eastAsia" w:ascii="Calibri" w:hAnsi="Calibri"/>
                <w:sz w:val="21"/>
                <w:szCs w:val="21"/>
              </w:rPr>
            </w:pPr>
          </w:p>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3</w:t>
            </w:r>
          </w:p>
          <w:p>
            <w:pPr>
              <w:autoSpaceDE w:val="0"/>
              <w:autoSpaceDN w:val="0"/>
              <w:adjustRightInd w:val="0"/>
              <w:spacing w:line="300" w:lineRule="exact"/>
              <w:jc w:val="left"/>
              <w:rPr>
                <w:rFonts w:hint="eastAsia" w:ascii="方正楷体_GBK" w:hAnsi="方正楷体_GBK" w:eastAsia="方正楷体_GBK" w:cs="方正楷体_GBK"/>
                <w:color w:val="000000"/>
                <w:kern w:val="0"/>
                <w:sz w:val="21"/>
                <w:szCs w:val="21"/>
              </w:rPr>
            </w:pPr>
          </w:p>
          <w:p>
            <w:pPr>
              <w:autoSpaceDE w:val="0"/>
              <w:autoSpaceDN w:val="0"/>
              <w:adjustRightInd w:val="0"/>
              <w:spacing w:line="300" w:lineRule="exact"/>
              <w:jc w:val="left"/>
              <w:rPr>
                <w:rFonts w:hint="eastAsia" w:ascii="方正楷体_GBK" w:hAnsi="方正楷体_GBK" w:eastAsia="方正楷体_GBK" w:cs="方正楷体_GBK"/>
                <w:color w:val="000000"/>
                <w:kern w:val="0"/>
                <w:sz w:val="21"/>
                <w:szCs w:val="21"/>
              </w:rPr>
            </w:pPr>
          </w:p>
          <w:p>
            <w:pPr>
              <w:autoSpaceDE w:val="0"/>
              <w:autoSpaceDN w:val="0"/>
              <w:adjustRightInd w:val="0"/>
              <w:spacing w:line="300" w:lineRule="exact"/>
              <w:jc w:val="left"/>
              <w:rPr>
                <w:rFonts w:ascii="方正楷体_GBK" w:hAnsi="方正楷体_GBK" w:eastAsia="方正楷体_GBK" w:cs="方正楷体_GBK"/>
                <w:color w:val="000000"/>
                <w:kern w:val="0"/>
                <w:sz w:val="21"/>
                <w:szCs w:val="21"/>
              </w:rPr>
            </w:pPr>
          </w:p>
          <w:p>
            <w:pPr>
              <w:autoSpaceDE w:val="0"/>
              <w:autoSpaceDN w:val="0"/>
              <w:adjustRightInd w:val="0"/>
              <w:spacing w:line="300" w:lineRule="exact"/>
              <w:jc w:val="left"/>
              <w:rPr>
                <w:rFonts w:ascii="方正楷体_GBK" w:hAnsi="方正楷体_GBK" w:eastAsia="方正楷体_GBK" w:cs="方正楷体_GBK"/>
                <w:color w:val="000000"/>
                <w:kern w:val="0"/>
                <w:sz w:val="21"/>
                <w:szCs w:val="21"/>
              </w:rPr>
            </w:pPr>
          </w:p>
          <w:p>
            <w:pPr>
              <w:autoSpaceDE w:val="0"/>
              <w:autoSpaceDN w:val="0"/>
              <w:adjustRightInd w:val="0"/>
              <w:spacing w:line="300" w:lineRule="exact"/>
              <w:jc w:val="left"/>
              <w:rPr>
                <w:rFonts w:ascii="方正楷体_GBK" w:hAnsi="方正楷体_GBK" w:eastAsia="方正楷体_GBK" w:cs="方正楷体_GBK"/>
                <w:color w:val="000000"/>
                <w:kern w:val="0"/>
                <w:sz w:val="21"/>
                <w:szCs w:val="21"/>
              </w:rPr>
            </w:pPr>
          </w:p>
          <w:p>
            <w:pPr>
              <w:autoSpaceDE w:val="0"/>
              <w:autoSpaceDN w:val="0"/>
              <w:adjustRightInd w:val="0"/>
              <w:spacing w:line="300" w:lineRule="exact"/>
              <w:jc w:val="left"/>
              <w:rPr>
                <w:rFonts w:ascii="方正楷体_GBK" w:hAnsi="方正楷体_GBK" w:eastAsia="方正楷体_GBK" w:cs="方正楷体_GBK"/>
                <w:color w:val="000000"/>
                <w:kern w:val="0"/>
                <w:sz w:val="21"/>
                <w:szCs w:val="21"/>
              </w:rPr>
            </w:pPr>
          </w:p>
          <w:p>
            <w:pPr>
              <w:autoSpaceDE w:val="0"/>
              <w:autoSpaceDN w:val="0"/>
              <w:adjustRightInd w:val="0"/>
              <w:spacing w:line="300" w:lineRule="exact"/>
              <w:jc w:val="left"/>
              <w:rPr>
                <w:rFonts w:ascii="方正楷体_GBK" w:hAnsi="方正楷体_GBK" w:eastAsia="方正楷体_GBK" w:cs="方正楷体_GBK"/>
                <w:color w:val="000000"/>
                <w:kern w:val="0"/>
                <w:sz w:val="21"/>
                <w:szCs w:val="21"/>
              </w:rPr>
            </w:pPr>
          </w:p>
          <w:p>
            <w:pPr>
              <w:autoSpaceDE w:val="0"/>
              <w:autoSpaceDN w:val="0"/>
              <w:adjustRightInd w:val="0"/>
              <w:spacing w:line="300" w:lineRule="exact"/>
              <w:jc w:val="left"/>
              <w:rPr>
                <w:rFonts w:ascii="方正楷体_GBK" w:hAnsi="方正楷体_GBK" w:eastAsia="方正楷体_GBK" w:cs="方正楷体_GBK"/>
                <w:color w:val="000000"/>
                <w:kern w:val="0"/>
                <w:sz w:val="21"/>
                <w:szCs w:val="21"/>
              </w:rPr>
            </w:pPr>
          </w:p>
          <w:p>
            <w:pPr>
              <w:autoSpaceDE w:val="0"/>
              <w:autoSpaceDN w:val="0"/>
              <w:adjustRightInd w:val="0"/>
              <w:spacing w:line="300" w:lineRule="exact"/>
              <w:jc w:val="left"/>
              <w:rPr>
                <w:rFonts w:ascii="方正楷体_GBK" w:hAnsi="方正楷体_GBK" w:eastAsia="方正楷体_GBK" w:cs="方正楷体_GBK"/>
                <w:color w:val="000000"/>
                <w:kern w:val="0"/>
                <w:sz w:val="21"/>
                <w:szCs w:val="21"/>
              </w:rPr>
            </w:pPr>
          </w:p>
          <w:p>
            <w:pPr>
              <w:autoSpaceDE w:val="0"/>
              <w:autoSpaceDN w:val="0"/>
              <w:adjustRightInd w:val="0"/>
              <w:spacing w:line="300" w:lineRule="exact"/>
              <w:jc w:val="left"/>
              <w:rPr>
                <w:rFonts w:ascii="方正楷体_GBK" w:hAnsi="方正楷体_GBK" w:eastAsia="方正楷体_GBK" w:cs="方正楷体_GBK"/>
                <w:color w:val="000000"/>
                <w:kern w:val="0"/>
                <w:sz w:val="21"/>
                <w:szCs w:val="21"/>
              </w:rPr>
            </w:pPr>
          </w:p>
          <w:p>
            <w:pPr>
              <w:autoSpaceDE w:val="0"/>
              <w:autoSpaceDN w:val="0"/>
              <w:adjustRightInd w:val="0"/>
              <w:spacing w:line="300" w:lineRule="exact"/>
              <w:jc w:val="left"/>
              <w:rPr>
                <w:rFonts w:ascii="方正楷体_GBK" w:hAnsi="方正楷体_GBK" w:eastAsia="方正楷体_GBK" w:cs="方正楷体_GBK"/>
                <w:color w:val="000000"/>
                <w:kern w:val="0"/>
                <w:sz w:val="21"/>
                <w:szCs w:val="21"/>
              </w:rPr>
            </w:pPr>
          </w:p>
          <w:p>
            <w:pPr>
              <w:spacing w:line="300" w:lineRule="exact"/>
              <w:rPr>
                <w:rFonts w:ascii="Calibri" w:hAnsi="Calibri"/>
                <w:sz w:val="21"/>
                <w:szCs w:val="21"/>
              </w:rPr>
            </w:pPr>
          </w:p>
          <w:p>
            <w:pPr>
              <w:autoSpaceDE w:val="0"/>
              <w:autoSpaceDN w:val="0"/>
              <w:adjustRightInd w:val="0"/>
              <w:spacing w:line="300" w:lineRule="exact"/>
              <w:jc w:val="center"/>
              <w:rPr>
                <w:rFonts w:ascii="方正楷体_GBK" w:hAnsi="方正楷体_GBK" w:eastAsia="方正楷体_GBK" w:cs="方正楷体_GBK"/>
                <w:color w:val="000000"/>
                <w:kern w:val="0"/>
                <w:sz w:val="21"/>
                <w:szCs w:val="21"/>
              </w:rPr>
            </w:pPr>
            <w:r>
              <w:rPr>
                <w:rFonts w:hint="eastAsia" w:ascii="方正楷体_GBK" w:hAnsi="方正楷体_GBK" w:eastAsia="方正楷体_GBK" w:cs="方正楷体_GBK"/>
                <w:color w:val="000000"/>
                <w:kern w:val="0"/>
                <w:sz w:val="21"/>
                <w:szCs w:val="21"/>
              </w:rPr>
              <w:t>3</w:t>
            </w:r>
          </w:p>
        </w:tc>
        <w:tc>
          <w:tcPr>
            <w:tcW w:w="1132" w:type="dxa"/>
            <w:vMerge w:val="restart"/>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抓严重点行业领域安全专项整治</w:t>
            </w: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autoSpaceDE w:val="0"/>
              <w:autoSpaceDN w:val="0"/>
              <w:adjustRightInd w:val="0"/>
              <w:spacing w:line="300" w:lineRule="exact"/>
              <w:jc w:val="left"/>
              <w:rPr>
                <w:rFonts w:hint="eastAsia" w:ascii="方正楷体_GBK" w:hAnsi="方正楷体_GBK" w:eastAsia="方正楷体_GBK" w:cs="方正楷体_GBK"/>
                <w:color w:val="000000"/>
                <w:kern w:val="0"/>
                <w:sz w:val="21"/>
                <w:szCs w:val="21"/>
              </w:rPr>
            </w:pPr>
          </w:p>
          <w:p>
            <w:pPr>
              <w:autoSpaceDE w:val="0"/>
              <w:autoSpaceDN w:val="0"/>
              <w:adjustRightInd w:val="0"/>
              <w:spacing w:line="300" w:lineRule="exact"/>
              <w:jc w:val="left"/>
              <w:rPr>
                <w:rFonts w:hint="eastAsia" w:ascii="方正楷体_GBK" w:hAnsi="方正楷体_GBK" w:eastAsia="方正楷体_GBK" w:cs="方正楷体_GBK"/>
                <w:color w:val="000000"/>
                <w:kern w:val="0"/>
                <w:sz w:val="21"/>
                <w:szCs w:val="21"/>
              </w:rPr>
            </w:pPr>
          </w:p>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抓严重点行业领域安全专项整治</w:t>
            </w: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p>
          <w:p>
            <w:pPr>
              <w:autoSpaceDE w:val="0"/>
              <w:autoSpaceDN w:val="0"/>
              <w:adjustRightInd w:val="0"/>
              <w:spacing w:line="300" w:lineRule="exact"/>
              <w:jc w:val="left"/>
              <w:rPr>
                <w:rFonts w:hint="eastAsia" w:ascii="方正楷体_GBK" w:hAnsi="方正楷体_GBK" w:eastAsia="方正楷体_GBK" w:cs="方正楷体_GBK"/>
                <w:color w:val="000000"/>
                <w:kern w:val="0"/>
                <w:sz w:val="21"/>
                <w:szCs w:val="21"/>
              </w:rPr>
            </w:pPr>
          </w:p>
          <w:p>
            <w:pPr>
              <w:autoSpaceDE w:val="0"/>
              <w:autoSpaceDN w:val="0"/>
              <w:adjustRightInd w:val="0"/>
              <w:spacing w:line="300" w:lineRule="exact"/>
              <w:jc w:val="left"/>
              <w:rPr>
                <w:rFonts w:hint="eastAsia" w:ascii="方正楷体_GBK" w:hAnsi="方正楷体_GBK" w:eastAsia="方正楷体_GBK" w:cs="方正楷体_GBK"/>
                <w:color w:val="000000"/>
                <w:kern w:val="0"/>
                <w:sz w:val="21"/>
                <w:szCs w:val="21"/>
              </w:rPr>
            </w:pPr>
          </w:p>
          <w:p>
            <w:pPr>
              <w:autoSpaceDE w:val="0"/>
              <w:autoSpaceDN w:val="0"/>
              <w:adjustRightInd w:val="0"/>
              <w:spacing w:line="300" w:lineRule="exact"/>
              <w:jc w:val="left"/>
              <w:rPr>
                <w:rFonts w:hint="eastAsia" w:ascii="方正楷体_GBK" w:hAnsi="方正楷体_GBK" w:eastAsia="方正楷体_GBK" w:cs="方正楷体_GBK"/>
                <w:color w:val="000000"/>
                <w:kern w:val="0"/>
                <w:sz w:val="21"/>
                <w:szCs w:val="21"/>
              </w:rPr>
            </w:pPr>
          </w:p>
          <w:p>
            <w:pPr>
              <w:spacing w:line="300" w:lineRule="exact"/>
              <w:jc w:val="center"/>
              <w:rPr>
                <w:rFonts w:hint="eastAsia" w:ascii="方正楷体_GBK" w:hAnsi="方正楷体_GBK" w:eastAsia="方正楷体_GBK" w:cs="方正楷体_GBK"/>
                <w:sz w:val="21"/>
                <w:szCs w:val="21"/>
              </w:rPr>
            </w:pPr>
          </w:p>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抓严重点行业领域安全专项整治</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（1）深化燃气安全专项整治。</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区经信委、区应急局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w:t>
            </w:r>
            <w:r>
              <w:rPr>
                <w:rFonts w:eastAsia="方正仿宋_GBK"/>
                <w:color w:val="000000"/>
                <w:sz w:val="21"/>
                <w:szCs w:val="21"/>
              </w:rPr>
              <w:t>教委、</w:t>
            </w:r>
            <w:r>
              <w:rPr>
                <w:rFonts w:hint="eastAsia" w:eastAsia="方正仿宋_GBK"/>
                <w:color w:val="000000"/>
                <w:sz w:val="21"/>
                <w:szCs w:val="21"/>
              </w:rPr>
              <w:t>区</w:t>
            </w:r>
            <w:r>
              <w:rPr>
                <w:rFonts w:eastAsia="方正仿宋_GBK"/>
                <w:color w:val="000000"/>
                <w:sz w:val="21"/>
                <w:szCs w:val="21"/>
              </w:rPr>
              <w:t>公安局、</w:t>
            </w:r>
            <w:r>
              <w:rPr>
                <w:rFonts w:hint="eastAsia" w:eastAsia="方正仿宋_GBK"/>
                <w:color w:val="000000"/>
                <w:sz w:val="21"/>
                <w:szCs w:val="21"/>
              </w:rPr>
              <w:t>区</w:t>
            </w:r>
            <w:r>
              <w:rPr>
                <w:rFonts w:eastAsia="方正仿宋_GBK"/>
                <w:color w:val="000000"/>
                <w:sz w:val="21"/>
                <w:szCs w:val="21"/>
              </w:rPr>
              <w:t>财政局、</w:t>
            </w:r>
            <w:r>
              <w:rPr>
                <w:rFonts w:hint="eastAsia" w:eastAsia="方正仿宋_GBK"/>
                <w:color w:val="000000"/>
                <w:sz w:val="21"/>
                <w:szCs w:val="21"/>
              </w:rPr>
              <w:t>区</w:t>
            </w:r>
            <w:r>
              <w:rPr>
                <w:rFonts w:eastAsia="方正仿宋_GBK"/>
                <w:color w:val="000000"/>
                <w:sz w:val="21"/>
                <w:szCs w:val="21"/>
              </w:rPr>
              <w:t>规划自然资源局、</w:t>
            </w:r>
            <w:r>
              <w:rPr>
                <w:rFonts w:hint="eastAsia" w:eastAsia="方正仿宋_GBK"/>
                <w:color w:val="000000"/>
                <w:sz w:val="21"/>
                <w:szCs w:val="21"/>
              </w:rPr>
              <w:t>区</w:t>
            </w:r>
            <w:r>
              <w:rPr>
                <w:rFonts w:eastAsia="方正仿宋_GBK"/>
                <w:color w:val="000000"/>
                <w:sz w:val="21"/>
                <w:szCs w:val="21"/>
              </w:rPr>
              <w:t>住建委、</w:t>
            </w:r>
            <w:r>
              <w:rPr>
                <w:rFonts w:hint="eastAsia" w:eastAsia="方正仿宋_GBK"/>
                <w:color w:val="000000"/>
                <w:sz w:val="21"/>
                <w:szCs w:val="21"/>
              </w:rPr>
              <w:t>区</w:t>
            </w:r>
            <w:r>
              <w:rPr>
                <w:rFonts w:eastAsia="方正仿宋_GBK"/>
                <w:color w:val="000000"/>
                <w:sz w:val="21"/>
                <w:szCs w:val="21"/>
              </w:rPr>
              <w:t>城管局、</w:t>
            </w:r>
            <w:r>
              <w:rPr>
                <w:rFonts w:hint="eastAsia" w:eastAsia="方正仿宋_GBK"/>
                <w:color w:val="000000"/>
                <w:sz w:val="21"/>
                <w:szCs w:val="21"/>
              </w:rPr>
              <w:t>区</w:t>
            </w:r>
            <w:r>
              <w:rPr>
                <w:rFonts w:eastAsia="方正仿宋_GBK"/>
                <w:color w:val="000000"/>
                <w:sz w:val="21"/>
                <w:szCs w:val="21"/>
              </w:rPr>
              <w:t>交通局、</w:t>
            </w:r>
            <w:r>
              <w:rPr>
                <w:rFonts w:hint="eastAsia" w:eastAsia="方正仿宋_GBK"/>
                <w:color w:val="000000"/>
                <w:sz w:val="21"/>
                <w:szCs w:val="21"/>
              </w:rPr>
              <w:t>区</w:t>
            </w:r>
            <w:r>
              <w:rPr>
                <w:rFonts w:eastAsia="方正仿宋_GBK"/>
                <w:color w:val="000000"/>
                <w:sz w:val="21"/>
                <w:szCs w:val="21"/>
              </w:rPr>
              <w:t>商务委、</w:t>
            </w:r>
            <w:r>
              <w:rPr>
                <w:rFonts w:hint="eastAsia" w:eastAsia="方正仿宋_GBK"/>
                <w:color w:val="000000"/>
                <w:sz w:val="21"/>
                <w:szCs w:val="21"/>
              </w:rPr>
              <w:t>区</w:t>
            </w:r>
            <w:r>
              <w:rPr>
                <w:rFonts w:eastAsia="方正仿宋_GBK"/>
                <w:color w:val="000000"/>
                <w:sz w:val="21"/>
                <w:szCs w:val="21"/>
              </w:rPr>
              <w:t>文旅委、</w:t>
            </w:r>
            <w:r>
              <w:rPr>
                <w:rFonts w:hint="eastAsia" w:eastAsia="方正仿宋_GBK"/>
                <w:color w:val="000000"/>
                <w:sz w:val="21"/>
                <w:szCs w:val="21"/>
              </w:rPr>
              <w:t>区</w:t>
            </w:r>
            <w:r>
              <w:rPr>
                <w:rFonts w:eastAsia="方正仿宋_GBK"/>
                <w:color w:val="000000"/>
                <w:sz w:val="21"/>
                <w:szCs w:val="21"/>
              </w:rPr>
              <w:t>卫健委、</w:t>
            </w:r>
            <w:r>
              <w:rPr>
                <w:rFonts w:hint="eastAsia" w:eastAsia="方正仿宋_GBK"/>
                <w:color w:val="000000"/>
                <w:sz w:val="21"/>
                <w:szCs w:val="21"/>
              </w:rPr>
              <w:t>区</w:t>
            </w:r>
            <w:r>
              <w:rPr>
                <w:rFonts w:eastAsia="方正仿宋_GBK"/>
                <w:color w:val="000000"/>
                <w:sz w:val="21"/>
                <w:szCs w:val="21"/>
              </w:rPr>
              <w:t>应急局、</w:t>
            </w:r>
            <w:r>
              <w:rPr>
                <w:rFonts w:hint="eastAsia" w:eastAsia="方正仿宋_GBK"/>
                <w:color w:val="000000"/>
                <w:sz w:val="21"/>
                <w:szCs w:val="21"/>
              </w:rPr>
              <w:t>区</w:t>
            </w:r>
            <w:r>
              <w:rPr>
                <w:rFonts w:eastAsia="方正仿宋_GBK"/>
                <w:color w:val="000000"/>
                <w:sz w:val="21"/>
                <w:szCs w:val="21"/>
              </w:rPr>
              <w:t>市场监管局、</w:t>
            </w:r>
            <w:r>
              <w:rPr>
                <w:rFonts w:hint="eastAsia" w:eastAsia="方正仿宋_GBK"/>
                <w:color w:val="000000"/>
                <w:sz w:val="21"/>
                <w:szCs w:val="21"/>
              </w:rPr>
              <w:t>区</w:t>
            </w:r>
            <w:r>
              <w:rPr>
                <w:rFonts w:eastAsia="方正仿宋_GBK"/>
                <w:color w:val="000000"/>
                <w:sz w:val="21"/>
                <w:szCs w:val="21"/>
              </w:rPr>
              <w:t>消防救援</w:t>
            </w:r>
            <w:r>
              <w:rPr>
                <w:rFonts w:hint="eastAsia" w:eastAsia="方正仿宋_GBK"/>
                <w:color w:val="000000"/>
                <w:sz w:val="21"/>
                <w:szCs w:val="21"/>
              </w:rPr>
              <w:t>支</w:t>
            </w:r>
            <w:r>
              <w:rPr>
                <w:rFonts w:eastAsia="方正仿宋_GBK"/>
                <w:color w:val="000000"/>
                <w:sz w:val="21"/>
                <w:szCs w:val="21"/>
              </w:rPr>
              <w:t>队</w:t>
            </w:r>
            <w:r>
              <w:rPr>
                <w:rFonts w:hint="eastAsia" w:eastAsia="方正仿宋_GBK"/>
                <w:color w:val="000000"/>
                <w:sz w:val="21"/>
                <w:szCs w:val="21"/>
              </w:rPr>
              <w:t>，各镇街、管委会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2）开展道路交通安全整治行动，深化道路交通“三化六体系”建设和道路隐患整治，严格道路运输“两客一危”车辆动态监管，加强货运装卸场所源头监管，开展公路安全设施和交通管理精细化提升行动，完成单柱墩桥梁安全隐患整治。</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区交巡警支队、区交通局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区委宣传部、区财政局、区教委、区农委、区城管局、区文旅委、各镇街</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（3）巩固变型拖拉机专项整治成果，防止反弹。</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区农委</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相关部门和镇街</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（4）持续开展建设施工“两防”和管理人员到岗履职专项整治，督促建设企业落实安全生产首要责任、施工企业落实安全生产主体责任，全面推广防高坠“安全带—生命线”应用。</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区住建委</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区交通局、区城管局、区农委等相关部门</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（5）强化高层建筑、厂房库房、古镇古寨、地下工程、老旧小区、人员密集场所等消防安全专项整治，推进</w:t>
            </w:r>
            <w:r>
              <w:rPr>
                <w:rFonts w:eastAsia="方正仿宋_GBK"/>
                <w:color w:val="000000"/>
                <w:sz w:val="21"/>
                <w:szCs w:val="21"/>
              </w:rPr>
              <w:t>大型商业综合体</w:t>
            </w:r>
            <w:r>
              <w:rPr>
                <w:rFonts w:hint="eastAsia" w:eastAsia="方正仿宋_GBK"/>
                <w:color w:val="000000"/>
                <w:sz w:val="21"/>
                <w:szCs w:val="21"/>
              </w:rPr>
              <w:t>消防安全达标创建。</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区消防救援支队</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区经信委、区住建委、区商务委、区城管局等相关部门，各镇街、管委会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（6）推进物业小区微型消防站建设。</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区消防救援支队、区住建委</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各镇街</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（7）完成磁器口古镇消防安全提档升级。</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旭辰集团公司</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磁器口街道、区消防救援支队</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（8）持续深化粉尘涉爆、高温熔融等重点企业安全生产专项整治和</w:t>
            </w:r>
            <w:r>
              <w:rPr>
                <w:rFonts w:eastAsia="方正仿宋_GBK"/>
                <w:color w:val="000000"/>
                <w:sz w:val="21"/>
                <w:szCs w:val="21"/>
              </w:rPr>
              <w:t>工贸企业涉危安全专项整治</w:t>
            </w:r>
            <w:r>
              <w:rPr>
                <w:rFonts w:hint="eastAsia" w:eastAsia="方正仿宋_GBK"/>
                <w:color w:val="000000"/>
                <w:sz w:val="21"/>
                <w:szCs w:val="21"/>
              </w:rPr>
              <w:t>，</w:t>
            </w:r>
            <w:r>
              <w:rPr>
                <w:rFonts w:eastAsia="方正仿宋_GBK"/>
                <w:color w:val="000000"/>
                <w:sz w:val="21"/>
                <w:szCs w:val="21"/>
              </w:rPr>
              <w:t>对涉及</w:t>
            </w:r>
            <w:r>
              <w:rPr>
                <w:rFonts w:hint="eastAsia" w:eastAsia="方正仿宋_GBK"/>
                <w:color w:val="000000"/>
                <w:sz w:val="21"/>
                <w:szCs w:val="21"/>
              </w:rPr>
              <w:t>“</w:t>
            </w:r>
            <w:r>
              <w:rPr>
                <w:rFonts w:eastAsia="方正仿宋_GBK"/>
                <w:color w:val="000000"/>
                <w:sz w:val="21"/>
                <w:szCs w:val="21"/>
              </w:rPr>
              <w:t>四涉一有限一使用</w:t>
            </w:r>
            <w:r>
              <w:rPr>
                <w:rFonts w:hint="eastAsia" w:eastAsia="方正仿宋_GBK"/>
                <w:color w:val="000000"/>
                <w:sz w:val="21"/>
                <w:szCs w:val="21"/>
              </w:rPr>
              <w:t>”</w:t>
            </w:r>
            <w:r>
              <w:rPr>
                <w:rFonts w:eastAsia="方正仿宋_GBK"/>
                <w:color w:val="000000"/>
                <w:sz w:val="21"/>
                <w:szCs w:val="21"/>
              </w:rPr>
              <w:t>的设施设备、生产工艺和作业环节实施</w:t>
            </w:r>
            <w:r>
              <w:rPr>
                <w:rFonts w:hint="eastAsia" w:eastAsia="方正仿宋_GBK"/>
                <w:color w:val="000000"/>
                <w:sz w:val="21"/>
                <w:szCs w:val="21"/>
              </w:rPr>
              <w:t>重点</w:t>
            </w:r>
            <w:r>
              <w:rPr>
                <w:rFonts w:eastAsia="方正仿宋_GBK"/>
                <w:color w:val="000000"/>
                <w:sz w:val="21"/>
                <w:szCs w:val="21"/>
              </w:rPr>
              <w:t>整治</w:t>
            </w:r>
            <w:r>
              <w:rPr>
                <w:rFonts w:hint="eastAsia" w:eastAsia="方正仿宋_GBK"/>
                <w:color w:val="000000"/>
                <w:sz w:val="21"/>
                <w:szCs w:val="21"/>
              </w:rPr>
              <w:t>。</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区经信委、有关镇街</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（9）</w:t>
            </w:r>
            <w:r>
              <w:rPr>
                <w:rFonts w:eastAsia="方正仿宋_GBK"/>
                <w:color w:val="000000"/>
                <w:sz w:val="21"/>
                <w:szCs w:val="21"/>
              </w:rPr>
              <w:t>严格安全准入</w:t>
            </w:r>
            <w:r>
              <w:rPr>
                <w:rFonts w:hint="eastAsia" w:eastAsia="方正仿宋_GBK"/>
                <w:color w:val="000000"/>
                <w:sz w:val="21"/>
                <w:szCs w:val="21"/>
              </w:rPr>
              <w:t>，推进“</w:t>
            </w:r>
            <w:r>
              <w:rPr>
                <w:rFonts w:eastAsia="方正仿宋_GBK"/>
                <w:color w:val="000000"/>
                <w:sz w:val="21"/>
                <w:szCs w:val="21"/>
              </w:rPr>
              <w:t>三重一高</w:t>
            </w:r>
            <w:r>
              <w:rPr>
                <w:rFonts w:hint="eastAsia" w:eastAsia="方正仿宋_GBK"/>
                <w:color w:val="000000"/>
                <w:sz w:val="21"/>
                <w:szCs w:val="21"/>
              </w:rPr>
              <w:t>”</w:t>
            </w:r>
            <w:r>
              <w:rPr>
                <w:rFonts w:eastAsia="方正仿宋_GBK"/>
                <w:color w:val="000000"/>
                <w:sz w:val="21"/>
                <w:szCs w:val="21"/>
              </w:rPr>
              <w:t>安全专项整治</w:t>
            </w:r>
            <w:r>
              <w:rPr>
                <w:rFonts w:hint="eastAsia" w:eastAsia="方正仿宋_GBK"/>
                <w:color w:val="000000"/>
                <w:sz w:val="21"/>
                <w:szCs w:val="21"/>
              </w:rPr>
              <w:t>，</w:t>
            </w:r>
            <w:r>
              <w:rPr>
                <w:rFonts w:eastAsia="方正仿宋_GBK"/>
                <w:color w:val="000000"/>
                <w:sz w:val="21"/>
                <w:szCs w:val="21"/>
              </w:rPr>
              <w:t>深化危险货物运输安全专项整治</w:t>
            </w:r>
            <w:r>
              <w:rPr>
                <w:rFonts w:hint="eastAsia" w:eastAsia="方正仿宋_GBK"/>
                <w:color w:val="000000"/>
                <w:sz w:val="21"/>
                <w:szCs w:val="21"/>
              </w:rPr>
              <w:t>和</w:t>
            </w:r>
            <w:r>
              <w:rPr>
                <w:rFonts w:eastAsia="方正仿宋_GBK"/>
                <w:color w:val="000000"/>
                <w:sz w:val="21"/>
                <w:szCs w:val="21"/>
              </w:rPr>
              <w:t>危险废物安全专项整治</w:t>
            </w:r>
            <w:r>
              <w:rPr>
                <w:rFonts w:hint="eastAsia" w:eastAsia="方正仿宋_GBK"/>
                <w:color w:val="000000"/>
                <w:sz w:val="21"/>
                <w:szCs w:val="21"/>
              </w:rPr>
              <w:t>。</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区应急局、区发改委、区经信委、区交通局、区生态环境局、区商务委、区公安分局</w:t>
            </w:r>
          </w:p>
        </w:tc>
        <w:tc>
          <w:tcPr>
            <w:tcW w:w="2045" w:type="dxa"/>
            <w:noWrap w:val="0"/>
            <w:tcMar>
              <w:top w:w="28" w:type="dxa"/>
              <w:left w:w="28" w:type="dxa"/>
              <w:bottom w:w="28" w:type="dxa"/>
              <w:right w:w="28" w:type="dxa"/>
            </w:tcMar>
            <w:vAlign w:val="center"/>
          </w:tcPr>
          <w:p>
            <w:pPr>
              <w:spacing w:line="300" w:lineRule="exact"/>
              <w:rPr>
                <w:rFonts w:eastAsia="方正仿宋_GBK"/>
                <w:color w:val="000000"/>
                <w:sz w:val="21"/>
                <w:szCs w:val="21"/>
              </w:rPr>
            </w:pPr>
            <w:r>
              <w:rPr>
                <w:rFonts w:hint="eastAsia" w:eastAsia="方正仿宋_GBK"/>
                <w:color w:val="000000"/>
                <w:sz w:val="21"/>
                <w:szCs w:val="21"/>
              </w:rPr>
              <w:t>相关部门和镇街</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4</w:t>
            </w:r>
          </w:p>
        </w:tc>
        <w:tc>
          <w:tcPr>
            <w:tcW w:w="1132"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抓实安全生产标准化</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推进企业安全生产标准化建设，实行安全标准化评审与执法检查“一体化”，指导督促企业健全完善风险分级管控和隐患排查治理双重预防机制，提升企业本质安全水平。</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区应急局、区住建委、区交通局、区消防救援支队</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相关行业部门</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restart"/>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5</w:t>
            </w:r>
          </w:p>
        </w:tc>
        <w:tc>
          <w:tcPr>
            <w:tcW w:w="1132" w:type="dxa"/>
            <w:vMerge w:val="restart"/>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抓好灾害防治基础工程建设</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（1）全面推进自然灾害综合风险普查，如期完成“综合+5个单灾种”风险评估报告、风险区划图和防治区划图编制，形成全区普查成果。</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相关行业部门和各镇街、管委会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2）加强下水管网清淤工作，基本完成嘉陵江沿岸及周边地区防洪排涝设施补短板工作，有序推进滨江护岸生态修复、滨江路网体系完善、沿江房屋建筑分类改造等任务，完成梁滩河青凤段、丰文街道段综合治理工程年度目标任务，实施6个镇街水毁工程修复和应急度汛项目，开展苏家桥水库、菁云湖水库、大桥水库等水利工程除险加固和维修养护，采购安装水库水雨情设施，实现水库预警设施全覆盖。</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区住建委、区农委</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相关部门和镇街</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3）继续开展地质灾害排查整治，强化群测群防巡查监测预警，分级实施地质灾害隐患点综合治理，完成46处地灾隐患点专群结合监测预警实验和72处地灾隐患点专群结合智能化监测预警，完成地灾隐患工程治理2处；夯实森林防火基础，建成森林防火标准化检查站2个。</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区规划自然资源局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相关部门和镇街</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6</w:t>
            </w:r>
          </w:p>
        </w:tc>
        <w:tc>
          <w:tcPr>
            <w:tcW w:w="1132"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争创安全发展示范城市</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积极对接市级部门，按照建设标准，推动安全发展示范城市创建工作。</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相关部门和镇街</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071" w:type="dxa"/>
            <w:gridSpan w:val="5"/>
            <w:noWrap w:val="0"/>
            <w:tcMar>
              <w:top w:w="28" w:type="dxa"/>
              <w:left w:w="28" w:type="dxa"/>
              <w:bottom w:w="28" w:type="dxa"/>
              <w:right w:w="28" w:type="dxa"/>
            </w:tcMar>
            <w:vAlign w:val="center"/>
          </w:tcPr>
          <w:p>
            <w:pPr>
              <w:spacing w:line="300" w:lineRule="exact"/>
              <w:jc w:val="center"/>
              <w:rPr>
                <w:rFonts w:hint="eastAsia" w:eastAsia="方正仿宋_GBK"/>
                <w:color w:val="000000"/>
                <w:sz w:val="21"/>
                <w:szCs w:val="21"/>
              </w:rPr>
            </w:pPr>
            <w:r>
              <w:rPr>
                <w:rFonts w:hint="eastAsia" w:ascii="方正楷体_GBK" w:hAnsi="方正楷体_GBK" w:eastAsia="方正楷体_GBK" w:cs="方正楷体_GBK"/>
                <w:sz w:val="21"/>
                <w:szCs w:val="21"/>
              </w:rPr>
              <w:t>二、突出依法治理，加大监管执法力度（3项）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7</w:t>
            </w:r>
          </w:p>
        </w:tc>
        <w:tc>
          <w:tcPr>
            <w:tcW w:w="1132"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坚持执法“清零”和执法强度提升</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围绕“两重大一突出”，严格执法，落实执法“清零”和执法强度提升要求。对重点行业领域监管执法开展月排名、月通报和月考核，切实解决查不出问题、收不到实效等突出问题。推广实施“互联网+执法”，提高执法规范化、精准化和信息化水平。</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区安委办</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负有安全生产监管执法职责的部门和各镇街、管委会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8</w:t>
            </w:r>
          </w:p>
        </w:tc>
        <w:tc>
          <w:tcPr>
            <w:tcW w:w="1132"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坚持“一案双查”和“三责同追”。</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严格落实“有案必查、一案双查、三责同追、四不放过”要求，对生产安全事故必须依法开展调查处理。严格按照分级负责原则，强化自然灾害调查评估，对负有责任的单位和个人依法追责问责。</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区应急局、区市场监管局、区消防救援支队、区交巡警支队、区规划自然资源局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相关部门</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9</w:t>
            </w:r>
          </w:p>
        </w:tc>
        <w:tc>
          <w:tcPr>
            <w:tcW w:w="1132"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坚持联合惩戒和鼓励群众举报</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落实安全生产诚信管理办法，健全诚信管理制度，落实激励约束机制，加大对安全生产失信人的联合惩戒力度。完善落实安全生产有奖举报制度，强化对举报案件的调查处理和奖励兑现。</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区应急局、区市场监管局、区发改委</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负有安全生产监管职责的部门和各镇街、管委会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071" w:type="dxa"/>
            <w:gridSpan w:val="5"/>
            <w:noWrap w:val="0"/>
            <w:tcMar>
              <w:top w:w="28" w:type="dxa"/>
              <w:left w:w="28" w:type="dxa"/>
              <w:bottom w:w="28" w:type="dxa"/>
              <w:right w:w="28" w:type="dxa"/>
            </w:tcMar>
            <w:vAlign w:val="center"/>
          </w:tcPr>
          <w:p>
            <w:pPr>
              <w:spacing w:line="300" w:lineRule="exact"/>
              <w:jc w:val="center"/>
              <w:rPr>
                <w:rFonts w:hint="eastAsia" w:eastAsia="方正仿宋_GBK"/>
                <w:color w:val="000000"/>
                <w:sz w:val="21"/>
                <w:szCs w:val="21"/>
              </w:rPr>
            </w:pPr>
            <w:r>
              <w:rPr>
                <w:rFonts w:hint="eastAsia" w:ascii="方正楷体_GBK" w:hAnsi="方正楷体_GBK" w:eastAsia="方正楷体_GBK" w:cs="方正楷体_GBK"/>
                <w:sz w:val="21"/>
                <w:szCs w:val="21"/>
              </w:rPr>
              <w:t>三、压实各方责任，形成齐抓共管格局（5项）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restart"/>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10</w:t>
            </w:r>
          </w:p>
        </w:tc>
        <w:tc>
          <w:tcPr>
            <w:tcW w:w="1132" w:type="dxa"/>
            <w:vMerge w:val="restart"/>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强化党政领导示范履职</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（1）制定党政领导干部安全生产责任清单和2022年度重点工作清单。</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区安委办</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（2）各级政府和行业部门落实每半年听取1次班子成员安全生产履职情况报告要求。</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负有安全生产监管职责的部门和各镇街、管委会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（3）进一步厘清安全生产监督管理职责，消除监管空白盲区；以发现和解决问题为重点，严格执行“十条措施”。</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区安委办</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负有安全生产监管职责的部门和各镇街、管委会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restart"/>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11</w:t>
            </w:r>
          </w:p>
        </w:tc>
        <w:tc>
          <w:tcPr>
            <w:tcW w:w="1132" w:type="dxa"/>
            <w:vMerge w:val="restart"/>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强化行业部门和属地镇街务实履职</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（1）将业务工作和安全工作同时安排部署、同时推进落实、同时考核奖惩。</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各行业部门</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（2）将“十条措施”各项任务要求明确到人，每季度开展“十条措施”落实情况绩效评估，及时发现和解决问题。</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各行业部门和镇街、管委会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（3）</w:t>
            </w:r>
            <w:r>
              <w:rPr>
                <w:rFonts w:eastAsia="方正仿宋_GBK"/>
                <w:color w:val="000000"/>
                <w:sz w:val="21"/>
                <w:szCs w:val="21"/>
              </w:rPr>
              <w:t>监管人员</w:t>
            </w:r>
            <w:r>
              <w:rPr>
                <w:rFonts w:hint="eastAsia" w:eastAsia="方正仿宋_GBK"/>
                <w:color w:val="000000"/>
                <w:sz w:val="21"/>
                <w:szCs w:val="21"/>
              </w:rPr>
              <w:t>每日</w:t>
            </w:r>
            <w:r>
              <w:rPr>
                <w:rFonts w:eastAsia="方正仿宋_GBK"/>
                <w:color w:val="000000"/>
                <w:sz w:val="21"/>
                <w:szCs w:val="21"/>
              </w:rPr>
              <w:t>开展</w:t>
            </w:r>
            <w:r>
              <w:rPr>
                <w:rFonts w:hint="eastAsia" w:eastAsia="方正仿宋_GBK"/>
                <w:color w:val="000000"/>
                <w:sz w:val="21"/>
                <w:szCs w:val="21"/>
              </w:rPr>
              <w:t>检查</w:t>
            </w:r>
            <w:r>
              <w:rPr>
                <w:rFonts w:eastAsia="方正仿宋_GBK"/>
                <w:color w:val="000000"/>
                <w:sz w:val="21"/>
                <w:szCs w:val="21"/>
              </w:rPr>
              <w:t>执法，分管负责人每周调度推动执法，主要负责人每月开展执法工作检查</w:t>
            </w:r>
            <w:r>
              <w:rPr>
                <w:rFonts w:hint="eastAsia" w:eastAsia="方正仿宋_GBK"/>
                <w:color w:val="000000"/>
                <w:sz w:val="21"/>
                <w:szCs w:val="21"/>
              </w:rPr>
              <w:t>和执法水平评估。</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各行业部门和镇街、管委会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12</w:t>
            </w:r>
          </w:p>
        </w:tc>
        <w:tc>
          <w:tcPr>
            <w:tcW w:w="1132"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强化企业主要负责人依法履职</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指导督促企业建立健全全员安全生产责任制，并长期抓标准化建设，经常抓“日周月”隐患排查，关键环节建立“总工程师”制度。</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各行业部门和镇街、管委会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13</w:t>
            </w:r>
          </w:p>
        </w:tc>
        <w:tc>
          <w:tcPr>
            <w:tcW w:w="1132"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强化“一线责任制”落实</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今年6月底前，全区道路交通、建设施工、危险化学品、工贸、燃气、电力、文化旅游等重点行业领域全面完成“一线责任制”试点工作；9月底前，重点行业及规模以上工业企业、限额以上商贸企业、资质以上建筑企业全面完成“一线责任制”工作；12月底前，实现所有行业领域企业“一线责任制”全覆盖。</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区安委办</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区交通局、区住建委、区应急局、区经信委、区文旅委、区商务委、区卫健委、区农委、区民政局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14</w:t>
            </w:r>
          </w:p>
        </w:tc>
        <w:tc>
          <w:tcPr>
            <w:tcW w:w="1132"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强化督查考核问责问效</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加大对行业部门和镇街的督查考核力度，</w:t>
            </w:r>
            <w:r>
              <w:rPr>
                <w:rFonts w:eastAsia="方正仿宋_GBK"/>
                <w:color w:val="000000"/>
                <w:sz w:val="21"/>
                <w:szCs w:val="21"/>
              </w:rPr>
              <w:t>坚持</w:t>
            </w:r>
            <w:r>
              <w:rPr>
                <w:rFonts w:hint="eastAsia" w:eastAsia="方正仿宋_GBK"/>
                <w:color w:val="000000"/>
                <w:sz w:val="21"/>
                <w:szCs w:val="21"/>
              </w:rPr>
              <w:t>在区政府常务会播放暗访视频片。</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区安委办</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071" w:type="dxa"/>
            <w:gridSpan w:val="5"/>
            <w:noWrap w:val="0"/>
            <w:tcMar>
              <w:top w:w="28" w:type="dxa"/>
              <w:left w:w="28" w:type="dxa"/>
              <w:bottom w:w="28" w:type="dxa"/>
              <w:right w:w="28" w:type="dxa"/>
            </w:tcMar>
            <w:vAlign w:val="center"/>
          </w:tcPr>
          <w:p>
            <w:pPr>
              <w:spacing w:line="300" w:lineRule="exact"/>
              <w:jc w:val="center"/>
              <w:rPr>
                <w:rFonts w:hint="eastAsia" w:eastAsia="方正仿宋_GBK"/>
                <w:color w:val="000000"/>
                <w:sz w:val="21"/>
                <w:szCs w:val="21"/>
              </w:rPr>
            </w:pPr>
            <w:r>
              <w:rPr>
                <w:rFonts w:hint="eastAsia" w:ascii="方正楷体_GBK" w:hAnsi="方正楷体_GBK" w:eastAsia="方正楷体_GBK" w:cs="方正楷体_GBK"/>
                <w:sz w:val="21"/>
                <w:szCs w:val="21"/>
              </w:rPr>
              <w:t>四、聚焦监管效能，提升基层能力素质（3项）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15</w:t>
            </w:r>
          </w:p>
        </w:tc>
        <w:tc>
          <w:tcPr>
            <w:tcW w:w="1132"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推进基层应急治理能力建设</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按照“</w:t>
            </w:r>
            <w:r>
              <w:rPr>
                <w:rFonts w:eastAsia="方正仿宋_GBK"/>
                <w:color w:val="000000"/>
                <w:sz w:val="21"/>
                <w:szCs w:val="21"/>
              </w:rPr>
              <w:t>有机构、有人员、有条件、有能力、有规则</w:t>
            </w:r>
            <w:r>
              <w:rPr>
                <w:rFonts w:hint="eastAsia" w:eastAsia="方正仿宋_GBK"/>
                <w:color w:val="000000"/>
                <w:sz w:val="21"/>
                <w:szCs w:val="21"/>
              </w:rPr>
              <w:t>”5有</w:t>
            </w:r>
            <w:r>
              <w:rPr>
                <w:rFonts w:eastAsia="方正仿宋_GBK"/>
                <w:color w:val="000000"/>
                <w:sz w:val="21"/>
                <w:szCs w:val="21"/>
              </w:rPr>
              <w:t>要求，围绕机构设置、职能职责、人员配备、设施装备、执法检查、监管监控、工作制度、救援队伍等8个方面，</w:t>
            </w:r>
            <w:r>
              <w:rPr>
                <w:rFonts w:hint="eastAsia" w:eastAsia="方正仿宋_GBK"/>
                <w:color w:val="000000"/>
                <w:sz w:val="21"/>
                <w:szCs w:val="21"/>
              </w:rPr>
              <w:t>完成镇街应急管理机构规范化建设。</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16</w:t>
            </w:r>
          </w:p>
        </w:tc>
        <w:tc>
          <w:tcPr>
            <w:tcW w:w="1132"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提升安全监管队伍综合能力</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eastAsia="方正仿宋_GBK"/>
                <w:color w:val="000000"/>
                <w:sz w:val="21"/>
                <w:szCs w:val="21"/>
              </w:rPr>
              <w:t>分级分类对应急管理人员开展安全生产、综合防灾减灾救灾及应急救援等专业知识和技能的培训</w:t>
            </w:r>
            <w:r>
              <w:rPr>
                <w:rFonts w:hint="eastAsia" w:eastAsia="方正仿宋_GBK"/>
                <w:color w:val="000000"/>
                <w:sz w:val="21"/>
                <w:szCs w:val="21"/>
              </w:rPr>
              <w:t>。</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各行业部门和镇街、管委会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restart"/>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17</w:t>
            </w:r>
          </w:p>
        </w:tc>
        <w:tc>
          <w:tcPr>
            <w:tcW w:w="1132" w:type="dxa"/>
            <w:vMerge w:val="restart"/>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提高信息化智能化水平</w:t>
            </w:r>
          </w:p>
        </w:tc>
        <w:tc>
          <w:tcPr>
            <w:tcW w:w="3744" w:type="dxa"/>
            <w:noWrap w:val="0"/>
            <w:tcMar>
              <w:top w:w="28" w:type="dxa"/>
              <w:left w:w="28" w:type="dxa"/>
              <w:bottom w:w="28" w:type="dxa"/>
              <w:right w:w="28" w:type="dxa"/>
            </w:tcMar>
            <w:vAlign w:val="center"/>
          </w:tcPr>
          <w:p>
            <w:pPr>
              <w:spacing w:line="300" w:lineRule="exact"/>
              <w:rPr>
                <w:rFonts w:eastAsia="方正仿宋_GBK"/>
                <w:color w:val="000000"/>
                <w:sz w:val="21"/>
                <w:szCs w:val="21"/>
              </w:rPr>
            </w:pPr>
            <w:r>
              <w:rPr>
                <w:rFonts w:hint="eastAsia" w:eastAsia="方正仿宋_GBK"/>
                <w:color w:val="000000"/>
                <w:sz w:val="21"/>
                <w:szCs w:val="21"/>
              </w:rPr>
              <w:t>（1）升级“</w:t>
            </w:r>
            <w:r>
              <w:rPr>
                <w:rFonts w:eastAsia="方正仿宋_GBK"/>
                <w:color w:val="000000"/>
                <w:sz w:val="21"/>
                <w:szCs w:val="21"/>
              </w:rPr>
              <w:t>安全生产和自然灾害防治隐患排查整治</w:t>
            </w:r>
            <w:r>
              <w:rPr>
                <w:rFonts w:hint="eastAsia" w:eastAsia="方正仿宋_GBK"/>
                <w:color w:val="000000"/>
                <w:sz w:val="21"/>
                <w:szCs w:val="21"/>
              </w:rPr>
              <w:t>”数据系统，</w:t>
            </w:r>
            <w:r>
              <w:rPr>
                <w:rFonts w:eastAsia="方正仿宋_GBK"/>
                <w:color w:val="000000"/>
                <w:sz w:val="21"/>
                <w:szCs w:val="21"/>
              </w:rPr>
              <w:t>完善工贸行业安全生产管理系统</w:t>
            </w:r>
            <w:r>
              <w:rPr>
                <w:rFonts w:hint="eastAsia" w:eastAsia="方正仿宋_GBK"/>
                <w:color w:val="000000"/>
                <w:sz w:val="21"/>
                <w:szCs w:val="21"/>
              </w:rPr>
              <w:t>，</w:t>
            </w:r>
            <w:r>
              <w:rPr>
                <w:rFonts w:eastAsia="方正仿宋_GBK"/>
                <w:color w:val="000000"/>
                <w:sz w:val="21"/>
                <w:szCs w:val="21"/>
              </w:rPr>
              <w:t>开发</w:t>
            </w:r>
            <w:r>
              <w:rPr>
                <w:rFonts w:hint="eastAsia" w:eastAsia="方正仿宋_GBK"/>
                <w:color w:val="000000"/>
                <w:sz w:val="21"/>
                <w:szCs w:val="21"/>
              </w:rPr>
              <w:t>手机端</w:t>
            </w:r>
            <w:r>
              <w:rPr>
                <w:rFonts w:eastAsia="方正仿宋_GBK"/>
                <w:color w:val="000000"/>
                <w:sz w:val="21"/>
                <w:szCs w:val="21"/>
              </w:rPr>
              <w:t>APP</w:t>
            </w:r>
            <w:r>
              <w:rPr>
                <w:rFonts w:hint="eastAsia" w:eastAsia="方正仿宋_GBK"/>
                <w:color w:val="000000"/>
                <w:sz w:val="21"/>
                <w:szCs w:val="21"/>
              </w:rPr>
              <w:t>。优化</w:t>
            </w:r>
            <w:r>
              <w:rPr>
                <w:rFonts w:eastAsia="方正仿宋_GBK"/>
                <w:color w:val="000000"/>
                <w:sz w:val="21"/>
                <w:szCs w:val="21"/>
              </w:rPr>
              <w:t>沙坪坝区应急指挥大数据平台</w:t>
            </w:r>
            <w:r>
              <w:rPr>
                <w:rFonts w:hint="eastAsia" w:eastAsia="方正仿宋_GBK"/>
                <w:color w:val="000000"/>
                <w:sz w:val="21"/>
                <w:szCs w:val="21"/>
              </w:rPr>
              <w:t>和“</w:t>
            </w:r>
            <w:r>
              <w:rPr>
                <w:rFonts w:eastAsia="方正仿宋_GBK"/>
                <w:color w:val="000000"/>
                <w:sz w:val="21"/>
                <w:szCs w:val="21"/>
              </w:rPr>
              <w:t>嘉陵江洪峰过境灾害应急处置指挥系统</w:t>
            </w:r>
            <w:r>
              <w:rPr>
                <w:rFonts w:hint="eastAsia" w:eastAsia="方正仿宋_GBK"/>
                <w:color w:val="000000"/>
                <w:sz w:val="21"/>
                <w:szCs w:val="21"/>
              </w:rPr>
              <w:t>”。</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（2）提升</w:t>
            </w:r>
            <w:r>
              <w:rPr>
                <w:rFonts w:eastAsia="方正仿宋_GBK"/>
                <w:color w:val="000000"/>
                <w:sz w:val="21"/>
                <w:szCs w:val="21"/>
              </w:rPr>
              <w:t>重点部位（场所）、重要装置、重点风险点（隐患点）事故灾害的监测预警水平</w:t>
            </w:r>
            <w:r>
              <w:rPr>
                <w:rFonts w:hint="eastAsia" w:eastAsia="方正仿宋_GBK"/>
                <w:color w:val="000000"/>
                <w:sz w:val="21"/>
                <w:szCs w:val="21"/>
              </w:rPr>
              <w:t>，增强</w:t>
            </w:r>
            <w:r>
              <w:rPr>
                <w:rFonts w:eastAsia="方正仿宋_GBK"/>
                <w:color w:val="000000"/>
                <w:sz w:val="21"/>
                <w:szCs w:val="21"/>
              </w:rPr>
              <w:t>桥梁隧道、地下管廊、</w:t>
            </w:r>
            <w:r>
              <w:rPr>
                <w:rFonts w:hint="eastAsia" w:eastAsia="方正仿宋_GBK"/>
                <w:color w:val="000000"/>
                <w:sz w:val="21"/>
                <w:szCs w:val="21"/>
              </w:rPr>
              <w:t>城镇燃气管网</w:t>
            </w:r>
            <w:r>
              <w:rPr>
                <w:rFonts w:eastAsia="方正仿宋_GBK"/>
                <w:color w:val="000000"/>
                <w:sz w:val="21"/>
                <w:szCs w:val="21"/>
              </w:rPr>
              <w:t>、地质灾害隐患点、防洪薄弱点、森林防火等的在线监测预警能力</w:t>
            </w:r>
            <w:r>
              <w:rPr>
                <w:rFonts w:hint="eastAsia" w:eastAsia="方正仿宋_GBK"/>
                <w:color w:val="000000"/>
                <w:sz w:val="21"/>
                <w:szCs w:val="21"/>
              </w:rPr>
              <w:t>。</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区城管局、区住建委、区农委、区规划自然资源局、区经信委</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相关行业部门、管委会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（3）推进</w:t>
            </w:r>
            <w:r>
              <w:rPr>
                <w:rFonts w:eastAsia="方正仿宋_GBK"/>
                <w:color w:val="000000"/>
                <w:sz w:val="21"/>
                <w:szCs w:val="21"/>
              </w:rPr>
              <w:t>沙坪坝区道路运输货运安全服务平台</w:t>
            </w:r>
            <w:r>
              <w:rPr>
                <w:rFonts w:hint="eastAsia" w:eastAsia="方正仿宋_GBK"/>
                <w:color w:val="000000"/>
                <w:sz w:val="21"/>
                <w:szCs w:val="21"/>
              </w:rPr>
              <w:t>建设。</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区交通局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071" w:type="dxa"/>
            <w:gridSpan w:val="5"/>
            <w:noWrap w:val="0"/>
            <w:tcMar>
              <w:top w:w="28" w:type="dxa"/>
              <w:left w:w="28" w:type="dxa"/>
              <w:bottom w:w="28" w:type="dxa"/>
              <w:right w:w="28" w:type="dxa"/>
            </w:tcMar>
            <w:vAlign w:val="center"/>
          </w:tcPr>
          <w:p>
            <w:pPr>
              <w:spacing w:line="300" w:lineRule="exact"/>
              <w:jc w:val="center"/>
              <w:rPr>
                <w:rFonts w:hint="eastAsia" w:eastAsia="方正仿宋_GBK"/>
                <w:color w:val="000000"/>
                <w:sz w:val="21"/>
                <w:szCs w:val="21"/>
              </w:rPr>
            </w:pPr>
            <w:r>
              <w:rPr>
                <w:rFonts w:hint="eastAsia" w:ascii="方正楷体_GBK" w:hAnsi="方正楷体_GBK" w:eastAsia="方正楷体_GBK" w:cs="方正楷体_GBK"/>
                <w:sz w:val="21"/>
                <w:szCs w:val="21"/>
              </w:rPr>
              <w:t>五、广泛宣传教育，增强全民安全意识（2项）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18</w:t>
            </w:r>
          </w:p>
        </w:tc>
        <w:tc>
          <w:tcPr>
            <w:tcW w:w="1132"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重点做好企业安全培训教育</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以企业主要负责人、安全管理人员为重点，加强“线上+线下”安全教育培训。</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各行业部门</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restart"/>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19</w:t>
            </w:r>
          </w:p>
        </w:tc>
        <w:tc>
          <w:tcPr>
            <w:tcW w:w="1132" w:type="dxa"/>
            <w:vMerge w:val="restart"/>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广泛开展安全宣传教育</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（1）制作《安全小课堂》宣传小视频，利用多种媒体渠道开展安全宣传教育，扎实开展入户安全宣传和警示提示。</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区应急局、区住建委、区教委、区融媒体中心</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相关行业部门和镇街、管委会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（2）开展安全宣传“五进”活动，以安全生产月、森林防火宣传月、“</w:t>
            </w:r>
            <w:r>
              <w:rPr>
                <w:rFonts w:eastAsia="方正仿宋_GBK"/>
                <w:color w:val="000000"/>
                <w:sz w:val="21"/>
                <w:szCs w:val="21"/>
              </w:rPr>
              <w:t>5.12</w:t>
            </w:r>
            <w:r>
              <w:rPr>
                <w:rFonts w:hint="eastAsia" w:eastAsia="方正仿宋_GBK"/>
                <w:color w:val="000000"/>
                <w:sz w:val="21"/>
                <w:szCs w:val="21"/>
              </w:rPr>
              <w:t>”防灾减灾日等为重点，大力开展各类宣传教育专题活动。</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区应急局、区规划自然资源局、区消防救援支队、区交巡警支队等部门</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相关部门和镇街、管委会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（3）加强中小学安全基础教育和防灾避险演练。</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区教委</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071" w:type="dxa"/>
            <w:gridSpan w:val="5"/>
            <w:noWrap w:val="0"/>
            <w:tcMar>
              <w:top w:w="28" w:type="dxa"/>
              <w:left w:w="28" w:type="dxa"/>
              <w:bottom w:w="28" w:type="dxa"/>
              <w:right w:w="28" w:type="dxa"/>
            </w:tcMar>
            <w:vAlign w:val="center"/>
          </w:tcPr>
          <w:p>
            <w:pPr>
              <w:spacing w:line="300" w:lineRule="exact"/>
              <w:jc w:val="center"/>
              <w:rPr>
                <w:rFonts w:hint="eastAsia" w:eastAsia="方正仿宋_GBK"/>
                <w:color w:val="000000"/>
                <w:sz w:val="21"/>
                <w:szCs w:val="21"/>
              </w:rPr>
            </w:pPr>
            <w:r>
              <w:rPr>
                <w:rFonts w:hint="eastAsia" w:ascii="方正楷体_GBK" w:hAnsi="方正楷体_GBK" w:eastAsia="方正楷体_GBK" w:cs="方正楷体_GBK"/>
                <w:sz w:val="21"/>
                <w:szCs w:val="21"/>
              </w:rPr>
              <w:t>六、提高处突能力，全面做好应急准备（4项）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20</w:t>
            </w:r>
          </w:p>
        </w:tc>
        <w:tc>
          <w:tcPr>
            <w:tcW w:w="1132" w:type="dxa"/>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加强应急预案修订和演练</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建立全区应急资源分布图和数据库，针对性修订完善生产安全事故、自然灾害应急预案，开展实战化演练。</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各行业部门</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restart"/>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21</w:t>
            </w:r>
          </w:p>
        </w:tc>
        <w:tc>
          <w:tcPr>
            <w:tcW w:w="1132" w:type="dxa"/>
            <w:vMerge w:val="restart"/>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加强队伍建设和能力建设</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（1）加强镇街、村社区综合应急救援队能力建设，镇街综合救援队伍建设完成率100%。</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各镇街</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（2）社区微型消防站建设完成率100%。</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区消防救援支队</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各镇街</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restart"/>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22</w:t>
            </w:r>
          </w:p>
        </w:tc>
        <w:tc>
          <w:tcPr>
            <w:tcW w:w="1132" w:type="dxa"/>
            <w:vMerge w:val="restart"/>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加强物资保障和救助管理</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（1）建设沙坪坝区事故灾害物资装备储备库。</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（2）加快灾后倒损民房重建工程，确保受灾困难群众“五有”生活保障率达到100%。</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相关镇街</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restart"/>
            <w:noWrap w:val="0"/>
            <w:tcMar>
              <w:top w:w="28" w:type="dxa"/>
              <w:left w:w="28" w:type="dxa"/>
              <w:bottom w:w="28" w:type="dxa"/>
              <w:right w:w="28" w:type="dxa"/>
            </w:tcMar>
            <w:vAlign w:val="center"/>
          </w:tcPr>
          <w:p>
            <w:pPr>
              <w:spacing w:line="300" w:lineRule="exact"/>
              <w:jc w:val="center"/>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23</w:t>
            </w:r>
          </w:p>
        </w:tc>
        <w:tc>
          <w:tcPr>
            <w:tcW w:w="1132" w:type="dxa"/>
            <w:vMerge w:val="restart"/>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加强紧急避险和应急联动</w:t>
            </w: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（1）认真落实</w:t>
            </w:r>
            <w:r>
              <w:rPr>
                <w:rFonts w:eastAsia="方正仿宋_GBK"/>
                <w:color w:val="000000"/>
                <w:sz w:val="21"/>
                <w:szCs w:val="21"/>
              </w:rPr>
              <w:t>《沙坪坝区生产安全事故和自然灾害应急救援联动机制》</w:t>
            </w:r>
            <w:r>
              <w:rPr>
                <w:rFonts w:hint="eastAsia" w:eastAsia="方正仿宋_GBK"/>
                <w:color w:val="000000"/>
                <w:sz w:val="21"/>
                <w:szCs w:val="21"/>
              </w:rPr>
              <w:t>，严格执行应对极端暴雨和过境洪水应急处置规范。</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区应急局</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相关行业部门和镇街、管委会</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75"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1132" w:type="dxa"/>
            <w:vMerge w:val="continue"/>
            <w:noWrap w:val="0"/>
            <w:tcMar>
              <w:top w:w="28" w:type="dxa"/>
              <w:left w:w="28" w:type="dxa"/>
              <w:bottom w:w="28" w:type="dxa"/>
              <w:right w:w="28" w:type="dxa"/>
            </w:tcMar>
            <w:vAlign w:val="center"/>
          </w:tcPr>
          <w:p>
            <w:pPr>
              <w:spacing w:line="300" w:lineRule="exact"/>
              <w:jc w:val="center"/>
              <w:rPr>
                <w:rFonts w:hint="eastAsia" w:ascii="方正楷体_GBK" w:hAnsi="方正楷体_GBK" w:eastAsia="方正楷体_GBK" w:cs="方正楷体_GBK"/>
                <w:sz w:val="21"/>
                <w:szCs w:val="21"/>
              </w:rPr>
            </w:pPr>
          </w:p>
        </w:tc>
        <w:tc>
          <w:tcPr>
            <w:tcW w:w="3744"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（2）分级分类建立各类极端事故灾害响应处置操作细则。</w:t>
            </w:r>
          </w:p>
        </w:tc>
        <w:tc>
          <w:tcPr>
            <w:tcW w:w="157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各行业部门</w:t>
            </w:r>
          </w:p>
        </w:tc>
        <w:tc>
          <w:tcPr>
            <w:tcW w:w="2045" w:type="dxa"/>
            <w:noWrap w:val="0"/>
            <w:tcMar>
              <w:top w:w="28" w:type="dxa"/>
              <w:left w:w="28" w:type="dxa"/>
              <w:bottom w:w="28" w:type="dxa"/>
              <w:right w:w="28" w:type="dxa"/>
            </w:tcMar>
            <w:vAlign w:val="center"/>
          </w:tcPr>
          <w:p>
            <w:pPr>
              <w:spacing w:line="300" w:lineRule="exact"/>
              <w:rPr>
                <w:rFonts w:hint="eastAsia" w:eastAsia="方正仿宋_GBK"/>
                <w:color w:val="000000"/>
                <w:sz w:val="21"/>
                <w:szCs w:val="21"/>
              </w:rPr>
            </w:pPr>
            <w:r>
              <w:rPr>
                <w:rFonts w:hint="eastAsia" w:eastAsia="方正仿宋_GBK"/>
                <w:color w:val="000000"/>
                <w:sz w:val="21"/>
                <w:szCs w:val="21"/>
              </w:rPr>
              <w:t>各镇街、管委会</w:t>
            </w:r>
          </w:p>
        </w:tc>
      </w:tr>
    </w:tbl>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hint="default" w:ascii="Times New Roman" w:hAnsi="Times New Roman" w:eastAsia="方正小标宋_GBK" w:cs="Times New Roman"/>
          <w:b w:val="0"/>
          <w:color w:val="000000"/>
          <w:sz w:val="28"/>
          <w:szCs w:val="28"/>
          <w:lang w:val="zh-CN"/>
        </w:rPr>
      </w:pPr>
      <w:r>
        <w:rPr>
          <w:rFonts w:hint="eastAsia" w:ascii="方正仿宋_GBK" w:eastAsia="方正仿宋_GBK"/>
          <w:sz w:val="32"/>
          <w:szCs w:val="32"/>
        </w:rPr>
        <w:br w:type="page"/>
      </w:r>
    </w:p>
    <w:p>
      <w:pPr>
        <w:spacing w:line="594" w:lineRule="exact"/>
        <w:jc w:val="center"/>
        <w:rPr>
          <w:rFonts w:hint="eastAsia" w:ascii="方正小标宋_GBK" w:hAnsi="宋体" w:eastAsia="方正小标宋_GBK" w:cs="Times New Roman"/>
          <w:bCs/>
          <w:color w:val="000000"/>
          <w:sz w:val="44"/>
          <w:szCs w:val="24"/>
        </w:rPr>
      </w:pPr>
      <w:r>
        <w:rPr>
          <w:rFonts w:hint="eastAsia" w:ascii="方正小标宋_GBK" w:hAnsi="宋体" w:eastAsia="方正小标宋_GBK" w:cs="Times New Roman"/>
          <w:bCs/>
          <w:color w:val="000000"/>
          <w:sz w:val="44"/>
          <w:szCs w:val="24"/>
        </w:rPr>
        <w:t>重庆市沙坪坝区人民政府</w:t>
      </w:r>
    </w:p>
    <w:p>
      <w:pPr>
        <w:spacing w:line="594" w:lineRule="exact"/>
        <w:jc w:val="center"/>
        <w:rPr>
          <w:rFonts w:hint="eastAsia" w:ascii="方正小标宋_GBK" w:hAnsi="宋体" w:eastAsia="方正小标宋_GBK" w:cs="Times New Roman"/>
          <w:bCs/>
          <w:color w:val="000000"/>
          <w:sz w:val="44"/>
          <w:szCs w:val="24"/>
        </w:rPr>
      </w:pPr>
      <w:r>
        <w:rPr>
          <w:rFonts w:hint="eastAsia" w:ascii="方正小标宋_GBK" w:hAnsi="宋体" w:eastAsia="方正小标宋_GBK" w:cs="Times New Roman"/>
          <w:bCs/>
          <w:color w:val="000000"/>
          <w:sz w:val="44"/>
          <w:szCs w:val="24"/>
        </w:rPr>
        <w:t>关于印发重庆市沙坪坝区“十四五”残疾人</w:t>
      </w:r>
    </w:p>
    <w:p>
      <w:pPr>
        <w:spacing w:line="594" w:lineRule="exact"/>
        <w:jc w:val="center"/>
        <w:rPr>
          <w:rFonts w:hint="eastAsia" w:ascii="方正小标宋_GBK" w:hAnsi="宋体" w:eastAsia="方正小标宋_GBK" w:cs="Times New Roman"/>
          <w:bCs/>
          <w:color w:val="000000"/>
          <w:sz w:val="44"/>
          <w:szCs w:val="24"/>
        </w:rPr>
      </w:pPr>
      <w:r>
        <w:rPr>
          <w:rFonts w:hint="eastAsia" w:ascii="方正小标宋_GBK" w:hAnsi="宋体" w:eastAsia="方正小标宋_GBK" w:cs="Times New Roman"/>
          <w:bCs/>
          <w:color w:val="000000"/>
          <w:sz w:val="44"/>
          <w:szCs w:val="24"/>
        </w:rPr>
        <w:t>保障和发展规划（2021—2025）的通知</w:t>
      </w:r>
    </w:p>
    <w:p>
      <w:pPr>
        <w:pStyle w:val="2"/>
        <w:rPr>
          <w:rFonts w:hint="eastAsia"/>
        </w:rPr>
      </w:pPr>
    </w:p>
    <w:p>
      <w:pPr>
        <w:spacing w:line="600" w:lineRule="exact"/>
        <w:jc w:val="center"/>
        <w:rPr>
          <w:rFonts w:hint="eastAsia" w:ascii="Times New Roman" w:hAnsi="Times New Roman" w:eastAsia="方正楷体_GBK" w:cs="Times New Roman"/>
          <w:color w:val="000000"/>
          <w:kern w:val="0"/>
          <w:sz w:val="32"/>
          <w:szCs w:val="32"/>
        </w:rPr>
      </w:pPr>
      <w:r>
        <w:rPr>
          <w:rFonts w:hint="eastAsia" w:ascii="Times New Roman" w:hAnsi="Times New Roman" w:eastAsia="方正楷体_GBK" w:cs="Times New Roman"/>
          <w:color w:val="000000"/>
          <w:kern w:val="0"/>
          <w:sz w:val="32"/>
          <w:szCs w:val="32"/>
        </w:rPr>
        <w:t>沙府发〔2022〕21号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eastAsia="方正仿宋_GBK" w:cs="方正仿宋_GBK"/>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方正仿宋_GBK" w:eastAsia="方正仿宋_GBK"/>
          <w:bCs/>
          <w:snapToGrid w:val="0"/>
          <w:kern w:val="0"/>
          <w:sz w:val="32"/>
          <w:szCs w:val="32"/>
        </w:rPr>
      </w:pPr>
      <w:r>
        <w:rPr>
          <w:rFonts w:hint="eastAsia" w:ascii="方正仿宋_GBK" w:eastAsia="方正仿宋_GBK"/>
          <w:bCs/>
          <w:snapToGrid w:val="0"/>
          <w:kern w:val="0"/>
          <w:sz w:val="32"/>
          <w:szCs w:val="32"/>
        </w:rPr>
        <w:t>各镇人民政府、各街道办事处，区政府各部门，各管委会，有关单位：</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left"/>
        <w:textAlignment w:val="auto"/>
        <w:rPr>
          <w:rFonts w:hint="eastAsia" w:ascii="方正仿宋_GBK" w:eastAsia="方正仿宋_GBK"/>
          <w:sz w:val="32"/>
          <w:szCs w:val="32"/>
        </w:rPr>
      </w:pPr>
      <w:r>
        <w:rPr>
          <w:rFonts w:hint="eastAsia" w:eastAsia="方正仿宋_GBK"/>
          <w:bCs/>
          <w:snapToGrid w:val="0"/>
          <w:kern w:val="0"/>
          <w:sz w:val="32"/>
          <w:szCs w:val="32"/>
        </w:rPr>
        <w:t>现将《重庆市</w:t>
      </w:r>
      <w:r>
        <w:rPr>
          <w:rFonts w:hint="eastAsia" w:ascii="方正仿宋_GBK" w:hAnsi="方正仿宋_GBK" w:eastAsia="方正仿宋_GBK" w:cs="方正仿宋_GBK"/>
          <w:sz w:val="32"/>
          <w:szCs w:val="32"/>
        </w:rPr>
        <w:t>沙坪坝区“十四五”残疾人保障和发展规划（</w:t>
      </w:r>
      <w:r>
        <w:rPr>
          <w:rFonts w:ascii="Times New Roman" w:hAnsi="Times New Roman" w:eastAsia="方正仿宋_GBK"/>
          <w:sz w:val="32"/>
          <w:szCs w:val="32"/>
        </w:rPr>
        <w:t>2021—2025</w:t>
      </w:r>
      <w:r>
        <w:rPr>
          <w:rFonts w:hint="eastAsia" w:ascii="方正仿宋_GBK" w:hAnsi="方正仿宋_GBK" w:eastAsia="方正仿宋_GBK" w:cs="方正仿宋_GBK"/>
          <w:sz w:val="32"/>
          <w:szCs w:val="32"/>
        </w:rPr>
        <w:t>）</w:t>
      </w:r>
      <w:r>
        <w:rPr>
          <w:rFonts w:hint="eastAsia" w:eastAsia="方正仿宋_GBK"/>
          <w:bCs/>
          <w:snapToGrid w:val="0"/>
          <w:kern w:val="0"/>
          <w:sz w:val="32"/>
          <w:szCs w:val="32"/>
        </w:rPr>
        <w:t>》</w:t>
      </w:r>
      <w:r>
        <w:rPr>
          <w:rFonts w:hint="eastAsia" w:ascii="方正仿宋_GBK" w:eastAsia="方正仿宋_GBK"/>
          <w:sz w:val="32"/>
          <w:szCs w:val="32"/>
        </w:rPr>
        <w:t>印发给你们，请认真贯彻执行。</w:t>
      </w:r>
    </w:p>
    <w:p>
      <w:pPr>
        <w:pStyle w:val="2"/>
      </w:pPr>
    </w:p>
    <w:p>
      <w:pPr>
        <w:pStyle w:val="2"/>
      </w:pPr>
    </w:p>
    <w:p>
      <w:pPr>
        <w:keepNext w:val="0"/>
        <w:keepLines w:val="0"/>
        <w:pageBreakBefore w:val="0"/>
        <w:widowControl w:val="0"/>
        <w:kinsoku/>
        <w:wordWrap/>
        <w:overflowPunct/>
        <w:topLinePunct w:val="0"/>
        <w:autoSpaceDE/>
        <w:autoSpaceDN/>
        <w:bidi w:val="0"/>
        <w:adjustRightInd/>
        <w:spacing w:line="570" w:lineRule="exact"/>
        <w:ind w:right="320"/>
        <w:jc w:val="right"/>
        <w:textAlignment w:val="auto"/>
        <w:rPr>
          <w:rFonts w:hint="default" w:ascii="Times New Roman" w:hAnsi="Times New Roman" w:eastAsia="方正仿宋_GBK" w:cs="Times New Roman"/>
          <w:sz w:val="32"/>
          <w:szCs w:val="32"/>
        </w:rPr>
      </w:pPr>
      <w:r>
        <w:rPr>
          <w:rFonts w:hint="eastAsia" w:ascii="方正仿宋_GBK" w:hAnsi="Calibri" w:eastAsia="方正仿宋_GBK" w:cs="Times New Roman"/>
          <w:sz w:val="32"/>
          <w:szCs w:val="32"/>
        </w:rPr>
        <w:t>重庆</w:t>
      </w:r>
      <w:r>
        <w:rPr>
          <w:rFonts w:hint="default" w:ascii="Times New Roman" w:hAnsi="Times New Roman" w:eastAsia="方正仿宋_GBK" w:cs="Times New Roman"/>
          <w:sz w:val="32"/>
          <w:szCs w:val="32"/>
        </w:rPr>
        <w:t>市沙坪坝区人民政府办公室</w:t>
      </w:r>
    </w:p>
    <w:p>
      <w:pPr>
        <w:keepNext w:val="0"/>
        <w:keepLines w:val="0"/>
        <w:pageBreakBefore w:val="0"/>
        <w:widowControl w:val="0"/>
        <w:kinsoku/>
        <w:wordWrap/>
        <w:overflowPunct/>
        <w:topLinePunct w:val="0"/>
        <w:autoSpaceDE/>
        <w:autoSpaceDN/>
        <w:bidi w:val="0"/>
        <w:adjustRightInd/>
        <w:spacing w:line="57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eastAsia="方正仿宋_GBK"/>
          <w:sz w:val="32"/>
          <w:szCs w:val="32"/>
        </w:rPr>
        <w:t>202</w:t>
      </w:r>
      <w:r>
        <w:rPr>
          <w:rFonts w:hint="eastAsia" w:eastAsia="方正仿宋_GBK"/>
          <w:sz w:val="32"/>
          <w:szCs w:val="32"/>
        </w:rPr>
        <w:t>2</w:t>
      </w:r>
      <w:r>
        <w:rPr>
          <w:rFonts w:eastAsia="方正仿宋_GBK"/>
          <w:sz w:val="32"/>
          <w:szCs w:val="32"/>
        </w:rPr>
        <w:t>年</w:t>
      </w:r>
      <w:r>
        <w:rPr>
          <w:rFonts w:hint="eastAsia" w:eastAsia="方正仿宋_GBK"/>
          <w:sz w:val="32"/>
          <w:szCs w:val="32"/>
          <w:lang w:val="en-US" w:eastAsia="zh-CN"/>
        </w:rPr>
        <w:t>5</w:t>
      </w:r>
      <w:r>
        <w:rPr>
          <w:rFonts w:eastAsia="方正仿宋_GBK"/>
          <w:sz w:val="32"/>
          <w:szCs w:val="32"/>
        </w:rPr>
        <w:t>月</w:t>
      </w:r>
      <w:r>
        <w:rPr>
          <w:rFonts w:hint="eastAsia" w:eastAsia="方正仿宋_GBK"/>
          <w:sz w:val="32"/>
          <w:szCs w:val="32"/>
        </w:rPr>
        <w:t>2</w:t>
      </w:r>
      <w:r>
        <w:rPr>
          <w:rFonts w:hint="eastAsia" w:eastAsia="方正仿宋_GBK"/>
          <w:sz w:val="32"/>
          <w:szCs w:val="32"/>
          <w:lang w:val="en-US" w:eastAsia="zh-CN"/>
        </w:rPr>
        <w:t>3</w:t>
      </w:r>
      <w:r>
        <w:rPr>
          <w:rFonts w:eastAsia="方正仿宋_GBK"/>
          <w:sz w:val="32"/>
          <w:szCs w:val="32"/>
        </w:rPr>
        <w:t>日</w:t>
      </w:r>
    </w:p>
    <w:p>
      <w:pPr>
        <w:keepNext w:val="0"/>
        <w:keepLines w:val="0"/>
        <w:pageBreakBefore w:val="0"/>
        <w:widowControl w:val="0"/>
        <w:kinsoku/>
        <w:wordWrap/>
        <w:overflowPunct/>
        <w:topLinePunct w:val="0"/>
        <w:autoSpaceDE/>
        <w:autoSpaceDN/>
        <w:bidi w:val="0"/>
        <w:adjustRightInd/>
        <w:spacing w:line="570" w:lineRule="exact"/>
        <w:ind w:firstLine="632"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Calibri" w:eastAsia="方正小标宋_GBK" w:cs="Times New Roman"/>
          <w:sz w:val="44"/>
          <w:szCs w:val="44"/>
        </w:rPr>
      </w:pPr>
      <w:r>
        <w:rPr>
          <w:rFonts w:ascii="Times New Roman" w:hAnsi="Times New Roman" w:eastAsia="方正仿宋_GBK" w:cs="Times New Roman"/>
          <w:sz w:val="32"/>
          <w:szCs w:val="32"/>
        </w:rPr>
        <w:t xml:space="preserve"> </w:t>
      </w:r>
      <w:r>
        <w:rPr>
          <w:rFonts w:hint="eastAsia" w:ascii="方正小标宋_GBK" w:hAnsi="Calibri" w:eastAsia="方正小标宋_GBK" w:cs="Times New Roman"/>
          <w:sz w:val="44"/>
          <w:szCs w:val="44"/>
        </w:rPr>
        <w:t xml:space="preserve"> </w:t>
      </w:r>
    </w:p>
    <w:p/>
    <w:p>
      <w:pPr>
        <w:pStyle w:val="2"/>
      </w:pPr>
    </w:p>
    <w:p>
      <w:pPr>
        <w:pStyle w:val="2"/>
      </w:pPr>
    </w:p>
    <w:p/>
    <w:p>
      <w:pPr>
        <w:spacing w:line="594" w:lineRule="exact"/>
        <w:jc w:val="center"/>
        <w:rPr>
          <w:rFonts w:hint="default" w:ascii="Times New Roman" w:hAnsi="Times New Roman" w:eastAsia="方正小标宋_GBK" w:cs="Times New Roman"/>
          <w:b w:val="0"/>
          <w:color w:val="000000"/>
          <w:sz w:val="32"/>
          <w:szCs w:val="32"/>
          <w:lang w:val="zh-CN"/>
        </w:rPr>
      </w:pPr>
      <w:r>
        <w:rPr>
          <w:rFonts w:hint="default" w:ascii="Times New Roman" w:hAnsi="Times New Roman" w:eastAsia="方正小标宋_GBK" w:cs="Times New Roman"/>
          <w:b w:val="0"/>
          <w:color w:val="000000"/>
          <w:sz w:val="32"/>
          <w:szCs w:val="32"/>
          <w:lang w:val="zh-CN"/>
        </w:rPr>
        <w:br w:type="page"/>
      </w:r>
    </w:p>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重庆市沙坪坝区“十四五”残疾人保障</w:t>
      </w:r>
    </w:p>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和发展规划（2021—2025年）</w:t>
      </w:r>
    </w:p>
    <w:p>
      <w:pPr>
        <w:pStyle w:val="3"/>
        <w:spacing w:line="594" w:lineRule="exact"/>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习近平总书记关于残疾人事业的重要指示批示精神和党中央、国务院以及重庆市委、市政府决策部署，进一步保障和改善残疾人民生，促进残疾人全面发展和共同富裕，加快推进我区残疾人事业高质量发展，根据《中华人民共和国残疾人保障法》和《国务院关于印发 “十四五”残疾人保障和发展规划的通知》（国发〔</w:t>
      </w:r>
      <w:r>
        <w:rPr>
          <w:rFonts w:ascii="Times New Roman" w:hAnsi="Times New Roman" w:eastAsia="方正仿宋_GBK"/>
          <w:sz w:val="32"/>
          <w:szCs w:val="32"/>
        </w:rPr>
        <w:t>2021〕10</w:t>
      </w:r>
      <w:r>
        <w:rPr>
          <w:rFonts w:hint="eastAsia" w:ascii="方正仿宋_GBK" w:hAnsi="方正仿宋_GBK" w:eastAsia="方正仿宋_GBK" w:cs="方正仿宋_GBK"/>
          <w:sz w:val="32"/>
          <w:szCs w:val="32"/>
        </w:rPr>
        <w:t>号）、《重庆市“十四五”残疾人保障和发展规划（</w:t>
      </w:r>
      <w:r>
        <w:rPr>
          <w:rFonts w:ascii="Times New Roman" w:hAnsi="Times New Roman" w:eastAsia="方正仿宋_GBK"/>
          <w:sz w:val="32"/>
          <w:szCs w:val="32"/>
        </w:rPr>
        <w:t>2021—2025</w:t>
      </w:r>
      <w:r>
        <w:rPr>
          <w:rFonts w:hint="eastAsia" w:ascii="方正仿宋_GBK" w:hAnsi="方正仿宋_GBK" w:eastAsia="方正仿宋_GBK" w:cs="方正仿宋_GBK"/>
          <w:sz w:val="32"/>
          <w:szCs w:val="32"/>
        </w:rPr>
        <w:t>）》（渝府发〔</w:t>
      </w:r>
      <w:r>
        <w:rPr>
          <w:rFonts w:ascii="Times New Roman" w:hAnsi="Times New Roman" w:eastAsia="方正仿宋_GBK"/>
          <w:sz w:val="32"/>
          <w:szCs w:val="32"/>
        </w:rPr>
        <w:t>2021〕43</w:t>
      </w:r>
      <w:r>
        <w:rPr>
          <w:rFonts w:hint="eastAsia" w:ascii="方正仿宋_GBK" w:hAnsi="方正仿宋_GBK" w:eastAsia="方正仿宋_GBK" w:cs="方正仿宋_GBK"/>
          <w:sz w:val="32"/>
          <w:szCs w:val="32"/>
        </w:rPr>
        <w:t>号）、《重庆市沙坪坝区人民政府关于印发重庆市沙坪坝区国民经济和社会发展第十四个五年规划和二○三五年远景目标纲要的通知》（沙府发〔</w:t>
      </w:r>
      <w:r>
        <w:rPr>
          <w:rFonts w:ascii="Times New Roman" w:hAnsi="Times New Roman" w:eastAsia="方正仿宋_GBK"/>
          <w:sz w:val="32"/>
          <w:szCs w:val="32"/>
        </w:rPr>
        <w:t>2021〕12</w:t>
      </w:r>
      <w:r>
        <w:rPr>
          <w:rFonts w:hint="eastAsia" w:ascii="方正仿宋_GBK" w:hAnsi="方正仿宋_GBK" w:eastAsia="方正仿宋_GBK" w:cs="方正仿宋_GBK"/>
          <w:sz w:val="32"/>
          <w:szCs w:val="32"/>
        </w:rPr>
        <w:t>号）精神，结合沙坪坝区第十三次党代会精神，制定本规划。</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第一章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编制背景</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“十三五”期间，沙坪坝区残疾人工作以深化实施“惠残工程”为抓手，完善“两个体系”为核心，实现“三大提升”为目的，累计投入资金</w:t>
      </w:r>
      <w:r>
        <w:rPr>
          <w:rFonts w:ascii="Times New Roman" w:hAnsi="Times New Roman" w:eastAsia="方正仿宋_GBK"/>
          <w:sz w:val="32"/>
          <w:szCs w:val="32"/>
        </w:rPr>
        <w:t>11381万元，惠及残疾人6.3</w:t>
      </w:r>
      <w:r>
        <w:rPr>
          <w:rFonts w:hint="eastAsia" w:ascii="方正仿宋_GBK" w:hAnsi="方正仿宋_GBK" w:eastAsia="方正仿宋_GBK" w:cs="方正仿宋_GBK"/>
          <w:sz w:val="32"/>
          <w:szCs w:val="32"/>
        </w:rPr>
        <w:t>万人次，</w:t>
      </w:r>
      <w:r>
        <w:rPr>
          <w:rFonts w:hint="eastAsia" w:ascii="方正仿宋_GBK" w:hAnsi="方正仿宋_GBK" w:eastAsia="方正仿宋_GBK" w:cs="方正仿宋_GBK"/>
          <w:sz w:val="32"/>
          <w:szCs w:val="32"/>
          <w:lang w:bidi="ar"/>
        </w:rPr>
        <w:t>圆满完成目标任务，</w:t>
      </w:r>
      <w:r>
        <w:rPr>
          <w:rFonts w:hint="eastAsia" w:ascii="方正仿宋_GBK" w:hAnsi="方正仿宋_GBK" w:eastAsia="方正仿宋_GBK" w:cs="方正仿宋_GBK"/>
          <w:sz w:val="32"/>
          <w:szCs w:val="32"/>
        </w:rPr>
        <w:t>残疾人保障和服务体系更加完善，社会公共服务均等化水平进一步提高。</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sz w:val="32"/>
          <w:szCs w:val="32"/>
        </w:rPr>
      </w:pPr>
      <w:r>
        <w:rPr>
          <w:rFonts w:ascii="Times New Roman" w:hAnsi="Times New Roman" w:eastAsia="方正仿宋_GBK"/>
          <w:sz w:val="32"/>
          <w:szCs w:val="32"/>
        </w:rPr>
        <w:t>残疾人社会保障体系更加完善。落实</w:t>
      </w:r>
      <w:r>
        <w:rPr>
          <w:rFonts w:hint="eastAsia" w:ascii="方正仿宋_GBK" w:hAnsi="方正仿宋_GBK" w:eastAsia="方正仿宋_GBK" w:cs="方正仿宋_GBK"/>
          <w:sz w:val="32"/>
          <w:szCs w:val="32"/>
        </w:rPr>
        <w:t>“两项补贴”</w:t>
      </w:r>
      <w:r>
        <w:rPr>
          <w:rFonts w:ascii="Times New Roman" w:hAnsi="Times New Roman" w:eastAsia="方正仿宋_GBK"/>
          <w:sz w:val="32"/>
          <w:szCs w:val="32"/>
        </w:rPr>
        <w:t>制度， 1960名困难残疾人得到生活补贴，4158名重度残疾人得到护理补贴。1.08万名残疾人</w:t>
      </w:r>
      <w:r>
        <w:rPr>
          <w:rFonts w:hint="eastAsia" w:ascii="Times New Roman" w:hAnsi="Times New Roman" w:eastAsia="方正仿宋_GBK"/>
          <w:sz w:val="32"/>
          <w:szCs w:val="32"/>
        </w:rPr>
        <w:t>参加</w:t>
      </w:r>
      <w:r>
        <w:rPr>
          <w:rFonts w:ascii="Times New Roman" w:hAnsi="Times New Roman" w:eastAsia="方正仿宋_GBK"/>
          <w:sz w:val="32"/>
          <w:szCs w:val="32"/>
        </w:rPr>
        <w:t>养老保险，</w:t>
      </w:r>
      <w:r>
        <w:rPr>
          <w:rFonts w:hint="eastAsia" w:ascii="Times New Roman" w:hAnsi="Times New Roman" w:eastAsia="方正仿宋_GBK"/>
          <w:sz w:val="32"/>
          <w:szCs w:val="32"/>
        </w:rPr>
        <w:t>1.6万名残疾人参加医疗保险</w:t>
      </w:r>
      <w:r>
        <w:rPr>
          <w:rFonts w:ascii="Times New Roman" w:hAnsi="Times New Roman" w:eastAsia="方正仿宋_GBK"/>
          <w:sz w:val="32"/>
          <w:szCs w:val="32"/>
        </w:rPr>
        <w:t>。440人次困难残疾人获得住院补贴。4918人次精神患者得到服药救助，250人次重度精神患者得到住院治疗。97名残疾人得到临时救助，5097人次残疾人享受托养服务。</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sz w:val="32"/>
          <w:szCs w:val="32"/>
        </w:rPr>
      </w:pPr>
      <w:r>
        <w:rPr>
          <w:rFonts w:ascii="Times New Roman" w:hAnsi="Times New Roman" w:eastAsia="方正仿宋_GBK"/>
          <w:sz w:val="32"/>
          <w:szCs w:val="32"/>
        </w:rPr>
        <w:t>残疾人基本公共服务水平显著提升。为866名残疾人提供职业技能培训，为941名残疾人提供职业介绍服务、职业指导服务，新增849名残疾人就业，扶持92名残疾人成功创业。</w:t>
      </w:r>
      <w:r>
        <w:rPr>
          <w:rFonts w:hint="eastAsia" w:ascii="Times New Roman" w:hAnsi="Times New Roman" w:eastAsia="方正仿宋_GBK"/>
          <w:sz w:val="32"/>
          <w:szCs w:val="32"/>
        </w:rPr>
        <w:t>制定</w:t>
      </w:r>
      <w:r>
        <w:rPr>
          <w:rFonts w:ascii="Times New Roman" w:hAnsi="Times New Roman" w:eastAsia="方正仿宋_GBK"/>
          <w:sz w:val="32"/>
          <w:szCs w:val="32"/>
        </w:rPr>
        <w:t>出台《沙坪坝区残疾人精准康复服务行动实施方案》，5.8万人次残疾人及亲友享受到康复服务。沙坪坝区残疾儿童少年接受义务教育比例达到100%。建成并投入使用特殊教育资源教室1</w:t>
      </w:r>
      <w:r>
        <w:rPr>
          <w:rFonts w:hint="eastAsia" w:ascii="Times New Roman" w:hAnsi="Times New Roman" w:eastAsia="方正仿宋_GBK"/>
          <w:sz w:val="32"/>
          <w:szCs w:val="32"/>
        </w:rPr>
        <w:t>5</w:t>
      </w:r>
      <w:r>
        <w:rPr>
          <w:rFonts w:ascii="Times New Roman" w:hAnsi="Times New Roman" w:eastAsia="方正仿宋_GBK"/>
          <w:sz w:val="32"/>
          <w:szCs w:val="32"/>
        </w:rPr>
        <w:t>所，797人次残疾儿童、学生及困难残疾人家庭子女得到入学和生活补贴。新建残疾人日间照料站7个，创建残疾人文化体育活动示范点8个。沙坪坝区社会福利护养中心暨困难失能残疾人集中供养中心建成并投入使用。</w:t>
      </w:r>
      <w:r>
        <w:rPr>
          <w:rFonts w:hint="eastAsia" w:ascii="Times New Roman" w:hAnsi="Times New Roman" w:eastAsia="方正仿宋_GBK"/>
          <w:sz w:val="32"/>
          <w:szCs w:val="32"/>
        </w:rPr>
        <w:t>大力</w:t>
      </w:r>
      <w:r>
        <w:rPr>
          <w:rFonts w:ascii="Times New Roman" w:hAnsi="Times New Roman" w:eastAsia="方正仿宋_GBK"/>
          <w:sz w:val="32"/>
          <w:szCs w:val="32"/>
        </w:rPr>
        <w:t>推进残联组织改革和服务创新，三级残联组织更加健全。残疾人事业宣传力度显著增强，理解、尊重、关心、帮助残疾人的社会氛围日益浓厚。</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sz w:val="32"/>
          <w:szCs w:val="32"/>
        </w:rPr>
      </w:pPr>
      <w:r>
        <w:rPr>
          <w:rFonts w:ascii="Times New Roman" w:hAnsi="Times New Roman" w:eastAsia="方正仿宋_GBK"/>
          <w:sz w:val="32"/>
          <w:szCs w:val="32"/>
        </w:rPr>
        <w:t>残疾人合法权益得到有效保障。</w:t>
      </w:r>
      <w:r>
        <w:rPr>
          <w:rFonts w:hint="eastAsia" w:ascii="Times New Roman" w:hAnsi="Times New Roman" w:eastAsia="方正仿宋_GBK"/>
          <w:sz w:val="32"/>
          <w:szCs w:val="32"/>
        </w:rPr>
        <w:t>制定</w:t>
      </w:r>
      <w:r>
        <w:rPr>
          <w:rFonts w:ascii="Times New Roman" w:hAnsi="Times New Roman" w:eastAsia="方正仿宋_GBK"/>
          <w:sz w:val="32"/>
          <w:szCs w:val="32"/>
        </w:rPr>
        <w:t>出台《沙坪坝区残疾儿童康复救助实施细则》，816人次残疾儿童得到训练和生活补贴。完善残疾人法律援助三级服务网络，成立了重庆市沙坪坝区残疾人法律救助工作协调领导小组。开展</w:t>
      </w:r>
      <w:r>
        <w:rPr>
          <w:rFonts w:hint="eastAsia" w:ascii="方正仿宋_GBK" w:hAnsi="方正仿宋_GBK" w:eastAsia="方正仿宋_GBK" w:cs="方正仿宋_GBK"/>
          <w:sz w:val="32"/>
          <w:szCs w:val="32"/>
        </w:rPr>
        <w:t>“德法相伴”和“‘莎姐’大普法·关爱残疾人”等</w:t>
      </w:r>
      <w:r>
        <w:rPr>
          <w:rFonts w:ascii="Times New Roman" w:hAnsi="Times New Roman" w:eastAsia="方正仿宋_GBK"/>
          <w:sz w:val="32"/>
          <w:szCs w:val="32"/>
        </w:rPr>
        <w:t>专项普法教育12场。实施贫困残疾人残疾人家庭危房改造9户、无障碍改造806户。</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Times New Roman" w:hAnsi="Times New Roman" w:eastAsia="方正仿宋_GBK"/>
          <w:sz w:val="32"/>
          <w:szCs w:val="32"/>
        </w:rPr>
      </w:pPr>
      <w:r>
        <w:rPr>
          <w:rFonts w:ascii="Times New Roman" w:hAnsi="Times New Roman" w:eastAsia="方正仿宋_GBK"/>
          <w:sz w:val="32"/>
          <w:szCs w:val="32"/>
        </w:rPr>
        <w:t>当前，我区残疾人事业发展还存在不足。一是残疾人返贫致贫风险较高，相当数量的残疾人家庭生活还比较困难。二是残疾人社会保障水平和就业质量还不高，残疾人家庭人均收入与社会平均收入水平相比还存在不小差距。三是残疾人公共服务总量不足、分布不均衡，质量效益还不高，康复、教育、托养、无障碍等基本公共服务还不能满足残疾人的多样化需求。四是残疾人平等权利还没有得到充分实现，残疾人平等参与社会生活还面临不少困难和障碍。五是城乡残疾人事业发展不平衡、不充分问题较为突出，农村和基层的残疾人服务供给能力尤其薄弱。六是扶残助残社会氛围不够浓厚，助残社会组织数量和服务质量还有待提高。</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第二章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总体要求</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第一节 指导思想</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举中国特色社会主义伟大旗帜，深入贯彻党的十九大和十九届历次全会精神，坚持以习近平新时代中国特色社会主义思想为指导，贯彻落实习近平总书记关于残疾人事业的重要指示批示精神和党中央、国务院决策部署，以及市委五届十次、十一次全会精神和沙坪坝区第十三次党代会精神，立足新发展阶段，完整、准确、全面贯彻新发展理念，积极融入服务新发展格局，坚持弱有所扶，以推动残疾人事业高质量发展为主题，以巩固拓展残疾人脱贫攻坚成果、促进残疾人全面发展和共同富裕为主线，紧紧围绕沙坪坝图新图变图强和全力打造“四个示范区”部署要求，保障残疾人平等权利，增进残疾人民生福祉，增强残疾人自我发展能力，推动残疾人事业向着现代化迈进，不断满足残疾人美好生活需要。</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第二节 基本原则</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坚持加强党的全面领导。健全党委领导、政府负责的残疾人工作领导体制，明确党委、政府有关部门残疾人工作职责，形成统一协同高效的治理体系，为残疾人保障和发展提供坚强的政治保障、组织保障。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坚持以人民为中心。坚持对残疾人格外关心、格外关注，把满足残疾人的美好生活需要作为残疾人工作的根本出发点和落脚点，解决好残疾人急难愁盼问题，持续增强残疾人的获得感、幸福感、安全感。</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坚持保基本、兜底线。着力完善残疾人社会福利制度和关爱服务体系，织密扎牢残疾人民生保障安全网，堵漏洞、补短板、强弱项，改善残疾人生活品质，促进残疾人共享经济社会发展成果。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坚持固根基、提质量。深化残疾人服务供给侧改革，强化残疾人事业人才培养、科技应用、信息化、智能化等基础保障条件，</w:t>
      </w:r>
      <w:r>
        <w:rPr>
          <w:rFonts w:hint="eastAsia" w:ascii="Times New Roman" w:hAnsi="Times New Roman" w:eastAsia="方正仿宋_GBK"/>
          <w:sz w:val="32"/>
          <w:szCs w:val="32"/>
        </w:rPr>
        <w:t>不断提升残疾人服务供给质量，</w:t>
      </w:r>
      <w:r>
        <w:rPr>
          <w:rFonts w:hint="eastAsia" w:ascii="方正仿宋_GBK" w:hAnsi="方正仿宋_GBK" w:eastAsia="方正仿宋_GBK" w:cs="方正仿宋_GBK"/>
          <w:sz w:val="32"/>
          <w:szCs w:val="32"/>
        </w:rPr>
        <w:t>推动残疾人事业高质量发展，满足残疾人多层次、多样化的发展需要。</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注重改革创新。紧紧围绕“强三性、去四化”（增强政治性、先进性、群众性，去除机关化、行政化、贵族化、娱乐化）要求，深入推进基层残联组织改革和服务创新。尊重基层和群众的首创精神，鼓励社会力量和市场主体参与残疾人事业。努力创新服务品牌，强化宏观布局和微观实施，创新推动制定出台一批惠残助残特惠政策，打造“沙磁”系列三大残疾人服务品牌，充分彰显本区特色。</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坚持强统筹、聚合力。发挥政府主导作用和社会力量、市场主体协同作用，集成政策、整合资源、优化服务，促进残疾人事业与经济社会协调发展，推动城乡残疾人事业均衡发展。</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第三节  发展目标</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到</w:t>
      </w:r>
      <w:r>
        <w:rPr>
          <w:rFonts w:ascii="Times New Roman" w:hAnsi="Times New Roman" w:eastAsia="方正仿宋_GBK"/>
          <w:sz w:val="32"/>
          <w:szCs w:val="32"/>
        </w:rPr>
        <w:t>2025</w:t>
      </w:r>
      <w:r>
        <w:rPr>
          <w:rFonts w:hint="eastAsia" w:ascii="方正仿宋_GBK" w:hAnsi="方正仿宋_GBK" w:eastAsia="方正仿宋_GBK" w:cs="方正仿宋_GBK"/>
          <w:sz w:val="32"/>
          <w:szCs w:val="32"/>
        </w:rPr>
        <w:t>年，残疾人脱贫攻坚成果巩固拓展，生活品质得到新改善，民生福祉达到新水平。</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Times New Roman" w:eastAsia="方正仿宋_GBK"/>
          <w:sz w:val="32"/>
          <w:szCs w:val="32"/>
        </w:rPr>
        <w:t>建立起具有沙区特色、体系完备、服务有效、保障有力的</w:t>
      </w:r>
      <w:r>
        <w:rPr>
          <w:rFonts w:hint="eastAsia" w:ascii="方正仿宋_GBK" w:hAnsi="方正仿宋_GBK" w:eastAsia="方正仿宋_GBK" w:cs="方正仿宋_GBK"/>
          <w:sz w:val="32"/>
          <w:szCs w:val="32"/>
        </w:rPr>
        <w:t>多层次残疾人社会保障制度，深化“惠残工程”，织密扎牢残疾人基本民生保障网，困难残疾人基本生活更有保障，重度残疾人得到更好照护。</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——多形式的残疾人就业支持体系基本形成，依托“渝馨家园”，建设新业态、新就业群体服务阵地，拓宽残疾人就业增收渠道，残疾人实现较为充分、较高质量的就业，</w:t>
      </w:r>
      <w:r>
        <w:rPr>
          <w:rFonts w:hint="eastAsia" w:ascii="方正仿宋_GBK" w:hAnsi="Times New Roman" w:eastAsia="方正仿宋_GBK"/>
          <w:sz w:val="32"/>
          <w:szCs w:val="32"/>
        </w:rPr>
        <w:t>残疾人家庭收入增长与经济增长基本同步。</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——均等化的残疾人基本公共服务体系更加健全，</w:t>
      </w:r>
      <w:r>
        <w:rPr>
          <w:rFonts w:ascii="Times New Roman" w:hAnsi="Times New Roman" w:eastAsia="方正仿宋_GBK"/>
          <w:sz w:val="32"/>
          <w:szCs w:val="32"/>
        </w:rPr>
        <w:t>基本公共服务有效供给</w:t>
      </w:r>
      <w:r>
        <w:rPr>
          <w:rFonts w:hint="eastAsia" w:ascii="Times New Roman" w:hAnsi="Times New Roman" w:eastAsia="方正仿宋_GBK"/>
          <w:sz w:val="32"/>
          <w:szCs w:val="32"/>
        </w:rPr>
        <w:t>不断扩大</w:t>
      </w:r>
      <w:r>
        <w:rPr>
          <w:rFonts w:ascii="Times New Roman" w:hAnsi="Times New Roman" w:eastAsia="方正仿宋_GBK"/>
          <w:sz w:val="32"/>
          <w:szCs w:val="32"/>
        </w:rPr>
        <w:t>，</w:t>
      </w:r>
      <w:r>
        <w:rPr>
          <w:rFonts w:hint="eastAsia" w:ascii="Times New Roman" w:hAnsi="Times New Roman" w:eastAsia="方正仿宋_GBK"/>
          <w:sz w:val="32"/>
          <w:szCs w:val="32"/>
        </w:rPr>
        <w:t>服务基础设施不断完善，</w:t>
      </w:r>
      <w:r>
        <w:rPr>
          <w:rFonts w:hint="eastAsia" w:ascii="方正仿宋_GBK" w:hAnsi="方正仿宋_GBK" w:eastAsia="方正仿宋_GBK" w:cs="方正仿宋_GBK"/>
          <w:sz w:val="32"/>
          <w:szCs w:val="32"/>
        </w:rPr>
        <w:t>残疾人受教育水平不断提高，</w:t>
      </w:r>
      <w:r>
        <w:rPr>
          <w:rFonts w:ascii="Times New Roman" w:hAnsi="Times New Roman" w:eastAsia="方正仿宋_GBK"/>
          <w:sz w:val="32"/>
          <w:szCs w:val="32"/>
        </w:rPr>
        <w:t>社会主义核心价值观深入人心，思想道德素质、科学文化素质和身心健康素质明显提高，公共文化服务体系更加健全，</w:t>
      </w:r>
      <w:r>
        <w:rPr>
          <w:rFonts w:hint="eastAsia" w:ascii="Times New Roman" w:hAnsi="Times New Roman" w:eastAsia="方正仿宋_GBK"/>
          <w:sz w:val="32"/>
          <w:szCs w:val="32"/>
        </w:rPr>
        <w:t>残疾人</w:t>
      </w:r>
      <w:r>
        <w:rPr>
          <w:rFonts w:ascii="Times New Roman" w:hAnsi="Times New Roman" w:eastAsia="方正仿宋_GBK"/>
          <w:sz w:val="32"/>
          <w:szCs w:val="32"/>
        </w:rPr>
        <w:t>精神文化生活日益丰富</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——扶残助残社会长效机制日益完善，全社会扶残助残社会氛围更加浓厚，无障碍环境不断优化，残疾人在政治、经济、文化、社会、家庭生活等各方面平等权利得到更好实现，残疾人更加平等、自信融入社会。</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——残疾人事业基础保障条件明显改善，</w:t>
      </w:r>
      <w:r>
        <w:rPr>
          <w:rFonts w:ascii="Times New Roman" w:hAnsi="Times New Roman" w:eastAsia="方正仿宋_GBK"/>
          <w:sz w:val="32"/>
          <w:szCs w:val="32"/>
        </w:rPr>
        <w:t>防范化解重大风险体制机制不断健全，突发公共事件应急能力显著增强，</w:t>
      </w:r>
      <w:r>
        <w:rPr>
          <w:rFonts w:hint="eastAsia" w:ascii="方正仿宋_GBK" w:hAnsi="方正仿宋_GBK" w:eastAsia="方正仿宋_GBK" w:cs="方正仿宋_GBK"/>
          <w:sz w:val="32"/>
          <w:szCs w:val="32"/>
        </w:rPr>
        <w:t>残疾人事业治理体系和治理能力更加优化，质量效益不断提升，</w:t>
      </w:r>
      <w:r>
        <w:rPr>
          <w:rFonts w:ascii="Times New Roman" w:hAnsi="Times New Roman" w:eastAsia="方正仿宋_GBK"/>
          <w:sz w:val="32"/>
          <w:szCs w:val="32"/>
        </w:rPr>
        <w:t>共建共治共享社会发展格局基本形成</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到</w:t>
      </w:r>
      <w:r>
        <w:rPr>
          <w:rFonts w:ascii="Times New Roman" w:hAnsi="Times New Roman" w:eastAsia="方正楷体_GBK"/>
          <w:sz w:val="32"/>
          <w:szCs w:val="32"/>
        </w:rPr>
        <w:t>2035</w:t>
      </w:r>
      <w:r>
        <w:rPr>
          <w:rFonts w:hint="eastAsia" w:ascii="方正仿宋_GBK" w:hAnsi="方正仿宋_GBK" w:eastAsia="方正仿宋_GBK" w:cs="方正仿宋_GBK"/>
          <w:sz w:val="32"/>
          <w:szCs w:val="32"/>
        </w:rPr>
        <w:t>年，残疾人事业与全区经济社会协调发展，残疾人生活水平明显提高，精神文化生活更加丰富，总体生活水平与全区平均水平的差距显著缩小。平等包容的社会氛围更加浓厚，残疾人充分享有平等参与、公平发展的权利，残疾人的全面发展和共同富裕取得更为明显的实质性进展。</w:t>
      </w:r>
    </w:p>
    <w:p>
      <w:pPr>
        <w:spacing w:line="594"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专栏1  “十四五”残疾人保障和发展主要指标</w:t>
      </w:r>
    </w:p>
    <w:tbl>
      <w:tblPr>
        <w:tblStyle w:val="15"/>
        <w:tblW w:w="92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6"/>
        <w:gridCol w:w="5065"/>
        <w:gridCol w:w="2158"/>
        <w:gridCol w:w="11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5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72" w:firstLineChars="20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指标</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目标值</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指标</w:t>
            </w:r>
          </w:p>
          <w:p>
            <w:pPr>
              <w:spacing w:line="44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ascii="Times New Roman" w:hAnsi="Times New Roman" w:eastAsia="方正仿宋_GBK"/>
                <w:sz w:val="24"/>
                <w:szCs w:val="24"/>
              </w:rPr>
            </w:pPr>
            <w:r>
              <w:rPr>
                <w:rFonts w:ascii="Times New Roman" w:hAnsi="Times New Roman" w:eastAsia="方正仿宋_GBK"/>
                <w:sz w:val="24"/>
                <w:szCs w:val="24"/>
              </w:rPr>
              <w:t>1</w:t>
            </w:r>
          </w:p>
        </w:tc>
        <w:tc>
          <w:tcPr>
            <w:tcW w:w="5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eastAsia="方正仿宋_GBK"/>
                <w:sz w:val="24"/>
                <w:szCs w:val="24"/>
              </w:rPr>
            </w:pPr>
            <w:r>
              <w:rPr>
                <w:rFonts w:ascii="Times New Roman" w:hAnsi="Times New Roman" w:eastAsia="方正仿宋_GBK"/>
                <w:sz w:val="24"/>
                <w:szCs w:val="24"/>
              </w:rPr>
              <w:t>残疾人家庭人均收入年均增长（%）</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szCs w:val="24"/>
              </w:rPr>
            </w:pPr>
            <w:r>
              <w:rPr>
                <w:rFonts w:ascii="Times New Roman" w:hAnsi="Times New Roman" w:eastAsia="方正仿宋_GBK"/>
                <w:sz w:val="24"/>
                <w:szCs w:val="24"/>
              </w:rPr>
              <w:t>与</w:t>
            </w:r>
            <w:r>
              <w:rPr>
                <w:rFonts w:hint="eastAsia" w:ascii="Times New Roman" w:hAnsi="Times New Roman" w:eastAsia="方正仿宋_GBK"/>
                <w:sz w:val="24"/>
                <w:szCs w:val="24"/>
              </w:rPr>
              <w:t>本地区生产总值</w:t>
            </w:r>
            <w:r>
              <w:rPr>
                <w:rFonts w:ascii="Times New Roman" w:hAnsi="Times New Roman" w:eastAsia="方正仿宋_GBK"/>
                <w:sz w:val="24"/>
                <w:szCs w:val="24"/>
              </w:rPr>
              <w:t>增长基本同步</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szCs w:val="24"/>
              </w:rPr>
            </w:pPr>
            <w:r>
              <w:rPr>
                <w:rFonts w:ascii="Times New Roman" w:hAnsi="Times New Roman" w:eastAsia="方正仿宋_GBK"/>
                <w:sz w:val="24"/>
                <w:szCs w:val="24"/>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ascii="Times New Roman" w:hAnsi="Times New Roman" w:eastAsia="方正仿宋_GBK"/>
                <w:sz w:val="24"/>
                <w:szCs w:val="24"/>
              </w:rPr>
            </w:pPr>
            <w:r>
              <w:rPr>
                <w:rFonts w:ascii="Times New Roman" w:hAnsi="Times New Roman" w:eastAsia="方正仿宋_GBK"/>
                <w:sz w:val="24"/>
                <w:szCs w:val="24"/>
              </w:rPr>
              <w:t>2</w:t>
            </w:r>
          </w:p>
        </w:tc>
        <w:tc>
          <w:tcPr>
            <w:tcW w:w="5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eastAsia="方正仿宋_GBK"/>
                <w:sz w:val="24"/>
                <w:szCs w:val="24"/>
              </w:rPr>
            </w:pPr>
            <w:r>
              <w:rPr>
                <w:rFonts w:ascii="Times New Roman" w:hAnsi="Times New Roman" w:eastAsia="方正仿宋_GBK"/>
                <w:sz w:val="24"/>
                <w:szCs w:val="24"/>
              </w:rPr>
              <w:t>城乡残疾人职业技能培训人数（人）</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72" w:firstLineChars="200"/>
              <w:rPr>
                <w:rFonts w:ascii="Times New Roman" w:hAnsi="Times New Roman" w:eastAsia="方正仿宋_GBK"/>
                <w:sz w:val="24"/>
                <w:szCs w:val="24"/>
              </w:rPr>
            </w:pPr>
            <w:r>
              <w:rPr>
                <w:rFonts w:ascii="Times New Roman" w:hAnsi="Times New Roman" w:eastAsia="方正仿宋_GBK"/>
                <w:sz w:val="24"/>
                <w:szCs w:val="24"/>
              </w:rPr>
              <w:t>800</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szCs w:val="24"/>
              </w:rPr>
            </w:pPr>
            <w:r>
              <w:rPr>
                <w:rFonts w:ascii="Times New Roman" w:hAnsi="Times New Roman" w:eastAsia="方正仿宋_GBK"/>
                <w:sz w:val="24"/>
                <w:szCs w:val="24"/>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ascii="Times New Roman" w:hAnsi="Times New Roman" w:eastAsia="方正仿宋_GBK"/>
                <w:sz w:val="24"/>
                <w:szCs w:val="24"/>
              </w:rPr>
            </w:pPr>
            <w:r>
              <w:rPr>
                <w:rFonts w:ascii="Times New Roman" w:hAnsi="Times New Roman" w:eastAsia="方正仿宋_GBK"/>
                <w:sz w:val="24"/>
                <w:szCs w:val="24"/>
              </w:rPr>
              <w:t>3</w:t>
            </w:r>
          </w:p>
        </w:tc>
        <w:tc>
          <w:tcPr>
            <w:tcW w:w="5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eastAsia="方正仿宋_GBK"/>
                <w:sz w:val="24"/>
                <w:szCs w:val="24"/>
              </w:rPr>
            </w:pPr>
            <w:r>
              <w:rPr>
                <w:rFonts w:ascii="Times New Roman" w:hAnsi="Times New Roman" w:eastAsia="方正仿宋_GBK"/>
                <w:sz w:val="24"/>
                <w:szCs w:val="24"/>
              </w:rPr>
              <w:t>符合条件的残疾人纳入最低生活保障比例（%）</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72" w:firstLineChars="200"/>
              <w:rPr>
                <w:rFonts w:ascii="Times New Roman" w:hAnsi="Times New Roman" w:eastAsia="方正仿宋_GBK"/>
                <w:sz w:val="24"/>
                <w:szCs w:val="24"/>
              </w:rPr>
            </w:pPr>
            <w:r>
              <w:rPr>
                <w:rFonts w:ascii="Times New Roman" w:hAnsi="Times New Roman" w:eastAsia="方正仿宋_GBK"/>
                <w:sz w:val="24"/>
                <w:szCs w:val="24"/>
              </w:rPr>
              <w:t>100</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szCs w:val="24"/>
              </w:rPr>
            </w:pPr>
            <w:r>
              <w:rPr>
                <w:rFonts w:ascii="Times New Roman" w:hAnsi="Times New Roman" w:eastAsia="方正仿宋_GBK"/>
                <w:sz w:val="24"/>
                <w:szCs w:val="24"/>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ascii="Times New Roman" w:hAnsi="Times New Roman" w:eastAsia="方正仿宋_GBK"/>
                <w:sz w:val="24"/>
                <w:szCs w:val="24"/>
              </w:rPr>
            </w:pPr>
            <w:r>
              <w:rPr>
                <w:rFonts w:ascii="Times New Roman" w:hAnsi="Times New Roman" w:eastAsia="方正仿宋_GBK"/>
                <w:sz w:val="24"/>
                <w:szCs w:val="24"/>
              </w:rPr>
              <w:t>4</w:t>
            </w:r>
          </w:p>
        </w:tc>
        <w:tc>
          <w:tcPr>
            <w:tcW w:w="5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eastAsia="方正仿宋_GBK"/>
                <w:sz w:val="24"/>
                <w:szCs w:val="24"/>
              </w:rPr>
            </w:pPr>
            <w:r>
              <w:rPr>
                <w:rFonts w:ascii="Times New Roman" w:hAnsi="Times New Roman" w:eastAsia="方正仿宋_GBK"/>
                <w:sz w:val="24"/>
                <w:szCs w:val="24"/>
              </w:rPr>
              <w:t>困难残疾人生活补贴覆盖率（%）</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72" w:firstLineChars="200"/>
              <w:rPr>
                <w:rFonts w:ascii="Times New Roman" w:hAnsi="Times New Roman" w:eastAsia="方正仿宋_GBK"/>
                <w:sz w:val="24"/>
                <w:szCs w:val="24"/>
              </w:rPr>
            </w:pPr>
            <w:r>
              <w:rPr>
                <w:rFonts w:ascii="Times New Roman" w:hAnsi="Times New Roman" w:eastAsia="方正仿宋_GBK"/>
                <w:sz w:val="24"/>
                <w:szCs w:val="24"/>
              </w:rPr>
              <w:t>100</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szCs w:val="24"/>
              </w:rPr>
            </w:pPr>
            <w:r>
              <w:rPr>
                <w:rFonts w:ascii="Times New Roman" w:hAnsi="Times New Roman" w:eastAsia="方正仿宋_GBK"/>
                <w:sz w:val="24"/>
                <w:szCs w:val="24"/>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ascii="Times New Roman" w:hAnsi="Times New Roman" w:eastAsia="方正仿宋_GBK"/>
                <w:sz w:val="24"/>
                <w:szCs w:val="24"/>
              </w:rPr>
            </w:pPr>
            <w:r>
              <w:rPr>
                <w:rFonts w:ascii="Times New Roman" w:hAnsi="Times New Roman" w:eastAsia="方正仿宋_GBK"/>
                <w:sz w:val="24"/>
                <w:szCs w:val="24"/>
              </w:rPr>
              <w:t>5</w:t>
            </w:r>
          </w:p>
        </w:tc>
        <w:tc>
          <w:tcPr>
            <w:tcW w:w="5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eastAsia="方正仿宋_GBK"/>
                <w:sz w:val="24"/>
                <w:szCs w:val="24"/>
              </w:rPr>
            </w:pPr>
            <w:r>
              <w:rPr>
                <w:rFonts w:ascii="Times New Roman" w:hAnsi="Times New Roman" w:eastAsia="方正仿宋_GBK"/>
                <w:sz w:val="24"/>
                <w:szCs w:val="24"/>
              </w:rPr>
              <w:t>重度残疾人护理补贴覆盖率（%）</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72" w:firstLineChars="200"/>
              <w:rPr>
                <w:rFonts w:ascii="Times New Roman" w:hAnsi="Times New Roman" w:eastAsia="方正仿宋_GBK"/>
                <w:sz w:val="24"/>
                <w:szCs w:val="24"/>
              </w:rPr>
            </w:pPr>
            <w:r>
              <w:rPr>
                <w:rFonts w:ascii="Times New Roman" w:hAnsi="Times New Roman" w:eastAsia="方正仿宋_GBK"/>
                <w:sz w:val="24"/>
                <w:szCs w:val="24"/>
              </w:rPr>
              <w:t>100</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szCs w:val="24"/>
              </w:rPr>
            </w:pPr>
            <w:r>
              <w:rPr>
                <w:rFonts w:ascii="Times New Roman" w:hAnsi="Times New Roman" w:eastAsia="方正仿宋_GBK"/>
                <w:sz w:val="24"/>
                <w:szCs w:val="24"/>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ascii="Times New Roman" w:hAnsi="Times New Roman" w:eastAsia="方正仿宋_GBK"/>
                <w:sz w:val="24"/>
                <w:szCs w:val="24"/>
              </w:rPr>
            </w:pPr>
            <w:r>
              <w:rPr>
                <w:rFonts w:ascii="Times New Roman" w:hAnsi="Times New Roman" w:eastAsia="方正仿宋_GBK"/>
                <w:sz w:val="24"/>
                <w:szCs w:val="24"/>
              </w:rPr>
              <w:t>6</w:t>
            </w:r>
          </w:p>
        </w:tc>
        <w:tc>
          <w:tcPr>
            <w:tcW w:w="5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eastAsia="方正仿宋_GBK"/>
                <w:sz w:val="24"/>
                <w:szCs w:val="24"/>
              </w:rPr>
            </w:pPr>
            <w:r>
              <w:rPr>
                <w:rFonts w:ascii="Times New Roman" w:hAnsi="Times New Roman" w:eastAsia="方正仿宋_GBK"/>
                <w:sz w:val="24"/>
                <w:szCs w:val="24"/>
              </w:rPr>
              <w:t>残疾人城乡居民基本养老保险参保率（%）</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72" w:firstLineChars="200"/>
              <w:rPr>
                <w:rFonts w:ascii="Times New Roman" w:hAnsi="Times New Roman" w:eastAsia="方正仿宋_GBK"/>
                <w:sz w:val="24"/>
                <w:szCs w:val="24"/>
              </w:rPr>
            </w:pPr>
            <w:r>
              <w:rPr>
                <w:rFonts w:ascii="Times New Roman" w:hAnsi="Times New Roman" w:eastAsia="方正仿宋_GBK"/>
                <w:sz w:val="24"/>
                <w:szCs w:val="24"/>
              </w:rPr>
              <w:t>＞90</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szCs w:val="24"/>
              </w:rPr>
            </w:pPr>
            <w:r>
              <w:rPr>
                <w:rFonts w:ascii="Times New Roman" w:hAnsi="Times New Roman" w:eastAsia="方正仿宋_GBK"/>
                <w:sz w:val="24"/>
                <w:szCs w:val="24"/>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ascii="Times New Roman" w:hAnsi="Times New Roman" w:eastAsia="方正仿宋_GBK"/>
                <w:sz w:val="24"/>
                <w:szCs w:val="24"/>
              </w:rPr>
            </w:pPr>
            <w:r>
              <w:rPr>
                <w:rFonts w:ascii="Times New Roman" w:hAnsi="Times New Roman" w:eastAsia="方正仿宋_GBK"/>
                <w:sz w:val="24"/>
                <w:szCs w:val="24"/>
              </w:rPr>
              <w:t>7</w:t>
            </w:r>
          </w:p>
        </w:tc>
        <w:tc>
          <w:tcPr>
            <w:tcW w:w="5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eastAsia="方正仿宋_GBK"/>
                <w:sz w:val="24"/>
                <w:szCs w:val="24"/>
              </w:rPr>
            </w:pPr>
            <w:r>
              <w:rPr>
                <w:rFonts w:ascii="Times New Roman" w:hAnsi="Times New Roman" w:eastAsia="方正仿宋_GBK"/>
                <w:sz w:val="24"/>
                <w:szCs w:val="24"/>
              </w:rPr>
              <w:t>残疾人城乡居民基本医疗保险参保率（%）</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72" w:firstLineChars="200"/>
              <w:rPr>
                <w:rFonts w:ascii="Times New Roman" w:hAnsi="Times New Roman" w:eastAsia="方正仿宋_GBK"/>
                <w:sz w:val="24"/>
                <w:szCs w:val="24"/>
              </w:rPr>
            </w:pPr>
            <w:r>
              <w:rPr>
                <w:rFonts w:ascii="Times New Roman" w:hAnsi="Times New Roman" w:eastAsia="方正仿宋_GBK"/>
                <w:sz w:val="24"/>
                <w:szCs w:val="24"/>
              </w:rPr>
              <w:t>＞95</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szCs w:val="24"/>
              </w:rPr>
            </w:pPr>
            <w:r>
              <w:rPr>
                <w:rFonts w:ascii="Times New Roman" w:hAnsi="Times New Roman" w:eastAsia="方正仿宋_GBK"/>
                <w:sz w:val="24"/>
                <w:szCs w:val="24"/>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ascii="Times New Roman" w:hAnsi="Times New Roman" w:eastAsia="方正仿宋_GBK"/>
                <w:sz w:val="24"/>
                <w:szCs w:val="24"/>
              </w:rPr>
            </w:pPr>
            <w:r>
              <w:rPr>
                <w:rFonts w:ascii="Times New Roman" w:hAnsi="Times New Roman" w:eastAsia="方正仿宋_GBK"/>
                <w:sz w:val="24"/>
                <w:szCs w:val="24"/>
              </w:rPr>
              <w:t>8</w:t>
            </w:r>
          </w:p>
        </w:tc>
        <w:tc>
          <w:tcPr>
            <w:tcW w:w="5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eastAsia="方正仿宋_GBK"/>
                <w:sz w:val="24"/>
                <w:szCs w:val="24"/>
              </w:rPr>
            </w:pPr>
            <w:r>
              <w:rPr>
                <w:rFonts w:ascii="Times New Roman" w:hAnsi="Times New Roman" w:eastAsia="方正仿宋_GBK"/>
                <w:sz w:val="24"/>
                <w:szCs w:val="24"/>
              </w:rPr>
              <w:t>残疾儿童少年义务教育入学率（%）</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72" w:firstLineChars="200"/>
              <w:rPr>
                <w:rFonts w:ascii="Times New Roman" w:hAnsi="Times New Roman" w:eastAsia="方正仿宋_GBK"/>
                <w:sz w:val="24"/>
                <w:szCs w:val="24"/>
              </w:rPr>
            </w:pPr>
            <w:r>
              <w:rPr>
                <w:rFonts w:ascii="Times New Roman" w:hAnsi="Times New Roman" w:eastAsia="方正仿宋_GBK"/>
                <w:sz w:val="24"/>
                <w:szCs w:val="24"/>
              </w:rPr>
              <w:t>100</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szCs w:val="24"/>
              </w:rPr>
            </w:pPr>
            <w:r>
              <w:rPr>
                <w:rFonts w:ascii="Times New Roman" w:hAnsi="Times New Roman" w:eastAsia="方正仿宋_GBK"/>
                <w:sz w:val="24"/>
                <w:szCs w:val="24"/>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ascii="Times New Roman" w:hAnsi="Times New Roman" w:eastAsia="方正仿宋_GBK"/>
                <w:sz w:val="24"/>
                <w:szCs w:val="24"/>
              </w:rPr>
            </w:pPr>
            <w:r>
              <w:rPr>
                <w:rFonts w:ascii="Times New Roman" w:hAnsi="Times New Roman" w:eastAsia="方正仿宋_GBK"/>
                <w:sz w:val="24"/>
                <w:szCs w:val="24"/>
              </w:rPr>
              <w:t>9</w:t>
            </w:r>
          </w:p>
        </w:tc>
        <w:tc>
          <w:tcPr>
            <w:tcW w:w="5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eastAsia="方正仿宋_GBK"/>
                <w:sz w:val="24"/>
                <w:szCs w:val="24"/>
              </w:rPr>
            </w:pPr>
            <w:r>
              <w:rPr>
                <w:rFonts w:ascii="Times New Roman" w:hAnsi="Times New Roman" w:eastAsia="方正仿宋_GBK"/>
                <w:sz w:val="24"/>
                <w:szCs w:val="24"/>
              </w:rPr>
              <w:t>残疾人基本康复服务覆盖率（%）</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72" w:firstLineChars="200"/>
              <w:rPr>
                <w:rFonts w:ascii="Times New Roman" w:hAnsi="Times New Roman" w:eastAsia="方正仿宋_GBK"/>
                <w:sz w:val="24"/>
                <w:szCs w:val="24"/>
              </w:rPr>
            </w:pPr>
            <w:r>
              <w:rPr>
                <w:rFonts w:ascii="Times New Roman" w:hAnsi="Times New Roman" w:eastAsia="方正仿宋_GBK"/>
                <w:sz w:val="24"/>
                <w:szCs w:val="24"/>
              </w:rPr>
              <w:t>＞90</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szCs w:val="24"/>
              </w:rPr>
            </w:pPr>
            <w:r>
              <w:rPr>
                <w:rFonts w:ascii="Times New Roman" w:hAnsi="Times New Roman" w:eastAsia="方正仿宋_GBK"/>
                <w:sz w:val="24"/>
                <w:szCs w:val="24"/>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ascii="Times New Roman" w:hAnsi="Times New Roman" w:eastAsia="方正仿宋_GBK"/>
                <w:sz w:val="24"/>
                <w:szCs w:val="24"/>
              </w:rPr>
            </w:pPr>
            <w:r>
              <w:rPr>
                <w:rFonts w:ascii="Times New Roman" w:hAnsi="Times New Roman" w:eastAsia="方正仿宋_GBK"/>
                <w:sz w:val="24"/>
                <w:szCs w:val="24"/>
              </w:rPr>
              <w:t>10</w:t>
            </w:r>
          </w:p>
        </w:tc>
        <w:tc>
          <w:tcPr>
            <w:tcW w:w="5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eastAsia="方正仿宋_GBK"/>
                <w:sz w:val="24"/>
                <w:szCs w:val="24"/>
              </w:rPr>
            </w:pPr>
            <w:r>
              <w:rPr>
                <w:rFonts w:ascii="Times New Roman" w:hAnsi="Times New Roman" w:eastAsia="方正仿宋_GBK"/>
                <w:sz w:val="24"/>
                <w:szCs w:val="24"/>
              </w:rPr>
              <w:t>残疾人辅助器具适配率（%）</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72" w:firstLineChars="200"/>
              <w:rPr>
                <w:rFonts w:ascii="Times New Roman" w:hAnsi="Times New Roman" w:eastAsia="方正仿宋_GBK"/>
                <w:sz w:val="24"/>
                <w:szCs w:val="24"/>
              </w:rPr>
            </w:pPr>
            <w:r>
              <w:rPr>
                <w:rFonts w:ascii="Times New Roman" w:hAnsi="Times New Roman" w:eastAsia="方正仿宋_GBK"/>
                <w:sz w:val="24"/>
                <w:szCs w:val="24"/>
              </w:rPr>
              <w:t>＞90</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szCs w:val="24"/>
              </w:rPr>
            </w:pPr>
            <w:r>
              <w:rPr>
                <w:rFonts w:ascii="Times New Roman" w:hAnsi="Times New Roman" w:eastAsia="方正仿宋_GBK"/>
                <w:sz w:val="24"/>
                <w:szCs w:val="24"/>
              </w:rPr>
              <w:t>约束性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ascii="Times New Roman" w:hAnsi="Times New Roman" w:eastAsia="方正仿宋_GBK"/>
                <w:sz w:val="24"/>
                <w:szCs w:val="24"/>
              </w:rPr>
            </w:pPr>
            <w:r>
              <w:rPr>
                <w:rFonts w:ascii="Times New Roman" w:hAnsi="Times New Roman" w:eastAsia="方正仿宋_GBK"/>
                <w:sz w:val="24"/>
                <w:szCs w:val="24"/>
              </w:rPr>
              <w:t>11</w:t>
            </w:r>
          </w:p>
        </w:tc>
        <w:tc>
          <w:tcPr>
            <w:tcW w:w="5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eastAsia="方正仿宋_GBK"/>
                <w:sz w:val="24"/>
                <w:szCs w:val="24"/>
              </w:rPr>
            </w:pPr>
            <w:r>
              <w:rPr>
                <w:rFonts w:ascii="Times New Roman" w:hAnsi="Times New Roman" w:eastAsia="方正仿宋_GBK"/>
                <w:sz w:val="24"/>
                <w:szCs w:val="24"/>
              </w:rPr>
              <w:t>困难重度残疾人家庭无障碍改造覆盖率（%）</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72" w:firstLineChars="200"/>
              <w:rPr>
                <w:rFonts w:ascii="Times New Roman" w:hAnsi="Times New Roman" w:eastAsia="方正仿宋_GBK"/>
                <w:sz w:val="24"/>
                <w:szCs w:val="24"/>
              </w:rPr>
            </w:pPr>
            <w:r>
              <w:rPr>
                <w:rFonts w:ascii="Times New Roman" w:hAnsi="Times New Roman" w:eastAsia="方正仿宋_GBK"/>
                <w:sz w:val="24"/>
                <w:szCs w:val="24"/>
              </w:rPr>
              <w:t>100</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szCs w:val="24"/>
              </w:rPr>
            </w:pPr>
            <w:r>
              <w:rPr>
                <w:rFonts w:ascii="Times New Roman" w:hAnsi="Times New Roman" w:eastAsia="方正仿宋_GBK"/>
                <w:sz w:val="24"/>
                <w:szCs w:val="24"/>
              </w:rPr>
              <w:t>约束性</w:t>
            </w:r>
          </w:p>
        </w:tc>
      </w:tr>
    </w:tbl>
    <w:p>
      <w:pPr>
        <w:spacing w:line="594" w:lineRule="exact"/>
        <w:ind w:firstLine="632" w:firstLineChars="200"/>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第三章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重点任务</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第一节 健全完善残疾人社会保障体系</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巩固拓展残疾人脱贫攻坚成果。健全易返贫致贫人口动态监测预警和帮扶机制，将符合条件的残疾人及时纳入易返贫致贫监测范围，对易返贫致贫残疾人及时给予有效帮扶。对脱贫人口中完全丧失劳动能力或部分丧失劳动能力且无法通过产业就业获得稳定收入的残疾人，按规定纳入农村低保或特困人员救助供养范围，做到应保尽保、应兜尽兜。按照巩固拓展脱贫攻坚成果同乡村振兴有效衔接要求，持续做好农村低收入残疾人家庭的帮扶工作，推动公益性岗位优先安置符合条件的脱贫残疾人。扶持农村残疾人参与乡村富民产业，分享产业链增值收益。加强社会化服务和金融信贷支持，提高农村残疾人技能水平，确保有劳动能力的农村贫困残疾人能参与产业增收项目。将巩固拓展残疾人脱贫攻坚成果与乡村振兴有效衔接，整合农业、经济、科技资源，开展实用技术培训和项目推广。充分发挥基层党组织在扶残助残中的重要作用，综合运用就业、产业、资产收益扶贫措施，进一步帮助残疾人改善相对贫困状况。</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残疾人社会救助保障。为符合条件的残疾人和残疾人家庭提供特困人员救助供养或最低生活保障。健全与经济社会发展水平相适应的社会救助标准动态调整机制，确保各类社会救助保障待遇残疾人“应保尽保”。加强生活无着落的流浪乞讨残疾人的救助安置和寻亲服务。做好符合条件残疾人医疗救助，强化医疗救助与基本医疗保险、大病保险的互补衔接。加强临时救助，在重大疫情等突发公共事件中做好对困难残疾人的急难救助。</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托养服务品质升级。通过政策和资金扶持，动员社会服务组织、志愿服务人员等多方力量，提供多种形式的残疾人居家托养服务。建立健全以家庭为基础、社区为依托、机构为支撑的残疾人托养服务体系。在全区定期开展托养服务需求调查，发展全日制托养服务、日间照料托养服务和庇护性就业托养服务。充分发挥残疾人集中供养服务设施作用，整合社会资源，推动残疾人照护服务工作水平不断提高。通过政府购买服务对社会救助家庭中不能自理的残疾人提供必要的访视、照护服务。落实低收入重度残疾人照护服务指导意见，为符合条件的重度残疾人提供集中照护、日间照料、居家服务、邻里互助等多种形式的社会化照护服务。落实托养服务机构扶持政策，继续实施“阳光家园计划”项目，鼓励引导社会力量参与，采取政府主导、公建民营、民办公助、市场运作、资源共享等形式，提高托养机构规范化、专业化服务水平。加快推进残疾人服务阵地建设，依托阵地为残疾人提供“工疗、娱疗、农疗”等为主的康复、托养、文化体育等服务。运营好沙坪坝区社会福利护养中心暨困难失能残疾人集中供养中心。不断完善托养服务体系和补贴制度，支持养老服务机构完善服务功能，接收符合条件的盲人、聋人等老年残疾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提高残疾人保险覆盖率和待遇水平。落实重度残疾人参加城乡居民养老保险代缴政策，落实符合条件的残疾人参加城乡医疗保险</w:t>
      </w:r>
      <w:r>
        <w:rPr>
          <w:rFonts w:hint="eastAsia" w:ascii="方正仿宋_GBK" w:hAnsi="方正仿宋_GBK" w:eastAsia="方正仿宋_GBK" w:cs="方正仿宋_GBK"/>
          <w:sz w:val="32"/>
          <w:szCs w:val="32"/>
          <w:lang w:eastAsia="zh-CN"/>
        </w:rPr>
        <w:t>交费</w:t>
      </w:r>
      <w:r>
        <w:rPr>
          <w:rFonts w:hint="eastAsia" w:ascii="方正仿宋_GBK" w:hAnsi="方正仿宋_GBK" w:eastAsia="方正仿宋_GBK" w:cs="方正仿宋_GBK"/>
          <w:sz w:val="32"/>
          <w:szCs w:val="32"/>
        </w:rPr>
        <w:t>补贴政策，帮助残疾人按规定参加城乡居民养老保险和城乡医疗保险，实现应保尽保、应补尽补。落实对残疾人个体工商户和安置残疾人就业单位社会保险进行补贴政策。落实企业职工基本养老保险参保人员病残津贴政策。落实好</w:t>
      </w:r>
      <w:r>
        <w:rPr>
          <w:rFonts w:ascii="Times New Roman" w:hAnsi="Times New Roman" w:eastAsia="方正仿宋_GBK"/>
          <w:sz w:val="32"/>
          <w:szCs w:val="32"/>
        </w:rPr>
        <w:t>29</w:t>
      </w:r>
      <w:r>
        <w:rPr>
          <w:rFonts w:hint="eastAsia" w:ascii="方正仿宋_GBK" w:hAnsi="方正仿宋_GBK" w:eastAsia="方正仿宋_GBK" w:cs="方正仿宋_GBK"/>
          <w:sz w:val="32"/>
          <w:szCs w:val="32"/>
        </w:rPr>
        <w:t>项符合条件的残疾人医疗康复项目纳入基本医保支付范围的政策，按规定做好重性精神病药物维持治疗参保患者门诊保障工作。支持就业残疾人依法参加失业保险，享受失业保险待遇。推进用人单位依法参加工伤保险，按规定支付工伤保险待遇，加强工伤预防和工伤职工康复工作。支持商业保险机构对残疾人实施优惠保险费率，鼓励残疾人参加意外伤害、补充养老、补充医疗等商业保险。鼓励商业保险机构开发残疾人商业保险产品、财产信托等服务。</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落实残疾人社会福利制度和社会优待政策。落实困难残疾人生活补贴和重度护理补贴制度。对城乡困难残疾人、重度残疾人基本型辅助器具适配给予补贴，为残疾人携带辅助器具、导盲犬等乘坐公共交通工具、出入公共场所提供便利。逐步探索康复辅具纳入医疗费用支付模式。为大小便失禁重度残疾人提供护理类辅助器具适配服务。落实残疾人机动轮椅车燃油补贴、残疾人参加</w:t>
      </w:r>
      <w:r>
        <w:rPr>
          <w:rFonts w:ascii="Times New Roman" w:hAnsi="Times New Roman" w:eastAsia="方正仿宋_GBK"/>
          <w:sz w:val="32"/>
          <w:szCs w:val="32"/>
        </w:rPr>
        <w:t>C5</w:t>
      </w:r>
      <w:r>
        <w:rPr>
          <w:rFonts w:hint="eastAsia" w:ascii="方正仿宋_GBK" w:hAnsi="方正仿宋_GBK" w:eastAsia="方正仿宋_GBK" w:cs="方正仿宋_GBK"/>
          <w:sz w:val="32"/>
          <w:szCs w:val="32"/>
        </w:rPr>
        <w:t>驾驶证培训补贴、下肢残疾人自用车辆在绕城高速公路规定路段优惠通行政策。对残疾人乘坐市内公共交通给予优待和便利，鼓励高铁、民航等为残疾人提供优质优先优惠服务。落实残疾人专用停车泊位设置管理和下肢残疾人驾驶的专用车辆公共停车场免费停放政策。</w:t>
      </w:r>
      <w:r>
        <w:rPr>
          <w:rFonts w:hint="eastAsia" w:ascii="方正仿宋_GBK" w:hAnsi="方正仿宋_GBK" w:eastAsia="方正仿宋_GBK" w:cs="方正仿宋_GBK"/>
          <w:color w:val="000000"/>
          <w:sz w:val="32"/>
          <w:szCs w:val="32"/>
        </w:rPr>
        <w:t>落实低收入残疾人家庭生活用水、电、气、生活垃圾处置优惠补贴政策和电信业务资费优惠政策。</w:t>
      </w:r>
      <w:r>
        <w:rPr>
          <w:rFonts w:hint="eastAsia" w:ascii="方正仿宋_GBK" w:hAnsi="方正仿宋_GBK" w:eastAsia="方正仿宋_GBK" w:cs="方正仿宋_GBK"/>
          <w:sz w:val="32"/>
          <w:szCs w:val="32"/>
        </w:rPr>
        <w:t>加强残疾孤儿、事实无人抚养残疾儿童医疗、康复、教育等服务，合理确定包括残疾孤儿、事实无人抚养残疾儿童在内的孤儿、事实无人抚养儿童等基本生活费标准，提升儿童福利机构安全管理水平和服务质量。加快建设精神卫生福利服务体系，为特殊困难精神残疾人提供康复、照护等服务。为符合条件的低收入和重度残疾人残疾评定提供补贴和便利服务。落实困难残疾人享受惠民殡葬政策。</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保障残疾人基本住房安全便利。将符合条件的城镇残疾人住房困难家庭纳入城镇住房保障范畴，其中残疾人低收入住房困难家庭通过实物配租或租赁补贴方式实施应保尽保，</w:t>
      </w:r>
      <w:r>
        <w:rPr>
          <w:rFonts w:ascii="方正仿宋_GBK" w:hAnsi="方正仿宋_GBK" w:eastAsia="方正仿宋_GBK" w:cs="方正仿宋_GBK"/>
          <w:color w:val="000000"/>
          <w:sz w:val="32"/>
          <w:szCs w:val="32"/>
          <w:shd w:val="clear" w:color="auto" w:fill="FFFFFF"/>
        </w:rPr>
        <w:t>其他残疾人</w:t>
      </w:r>
      <w:r>
        <w:rPr>
          <w:rFonts w:hint="eastAsia" w:ascii="方正仿宋_GBK" w:hAnsi="方正仿宋_GBK" w:eastAsia="方正仿宋_GBK" w:cs="方正仿宋_GBK"/>
          <w:color w:val="000000"/>
          <w:sz w:val="32"/>
          <w:szCs w:val="32"/>
          <w:shd w:val="clear" w:color="auto" w:fill="FFFFFF"/>
        </w:rPr>
        <w:t>家庭人均住房建筑面积低</w:t>
      </w:r>
      <w:r>
        <w:rPr>
          <w:rFonts w:ascii="Times New Roman" w:hAnsi="Times New Roman" w:eastAsia="方正仿宋_GBK"/>
          <w:color w:val="000000"/>
          <w:sz w:val="32"/>
          <w:szCs w:val="32"/>
          <w:shd w:val="clear" w:color="auto" w:fill="FFFFFF"/>
        </w:rPr>
        <w:t>于13平方米</w:t>
      </w:r>
      <w:r>
        <w:rPr>
          <w:rFonts w:hint="eastAsia" w:ascii="方正仿宋_GBK" w:hAnsi="方正仿宋_GBK" w:eastAsia="方正仿宋_GBK" w:cs="方正仿宋_GBK"/>
          <w:color w:val="000000"/>
          <w:sz w:val="32"/>
          <w:szCs w:val="32"/>
          <w:shd w:val="clear" w:color="auto" w:fill="FFFFFF"/>
        </w:rPr>
        <w:t>的住房困难家庭可申请公共租赁住房</w:t>
      </w:r>
      <w:r>
        <w:rPr>
          <w:rFonts w:hint="eastAsia" w:ascii="方正仿宋_GBK" w:hAnsi="方正仿宋_GBK" w:eastAsia="方正仿宋_GBK" w:cs="方正仿宋_GBK"/>
          <w:color w:val="000000"/>
          <w:sz w:val="32"/>
          <w:szCs w:val="32"/>
        </w:rPr>
        <w:t>。农村危房改造在同等条件下优先安排经济困难的残疾</w:t>
      </w:r>
      <w:r>
        <w:rPr>
          <w:rFonts w:hint="eastAsia" w:ascii="方正仿宋_GBK" w:hAnsi="方正仿宋_GBK" w:eastAsia="方正仿宋_GBK" w:cs="方正仿宋_GBK"/>
          <w:sz w:val="32"/>
          <w:szCs w:val="32"/>
        </w:rPr>
        <w:t>人家庭。对城镇残疾人危旧房进行适度修缮。实施分类补助标准等措施，解决无力自筹资金的残疾人家庭危房改造，确保发现一户消除一户。城镇保障性住房建设、农村危房改造统筹考虑无障碍设施设备建设安装。</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落实残疾军人和伤残民警抚恤优待政策。贯彻落实残疾评鉴、退役安置、收治休养、待遇保障等有关规定，妥善解决伤病残军人生活待遇、子女入学等现实困难。促进残疾军人、伤残民警残疾评定标准与国家残疾人残疾分类和分级标准合理衔接，保证残疾军人、伤残民警优先享受扶残助残政策待遇、普惠性社会保障和公共服务。</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突发公共事件中对残疾人的保护。加大重大疫情、自然灾害、安全事故等突发公共事件中残疾人社会支持和防护保护力度，将残疾人列为优先保护对象。加强残疾人集中场所和残疾人服务机构安全保障、应急服务能力建设。村（社区）探索建立结对帮扶制度，协助残疾人更好应对突发公共事件。开展残疾人应急科普宣传，引导残疾人增强自救互救能力。</w:t>
      </w:r>
    </w:p>
    <w:tbl>
      <w:tblPr>
        <w:tblStyle w:val="15"/>
        <w:tblW w:w="8809" w:type="dxa"/>
        <w:jc w:val="center"/>
        <w:tblLayout w:type="fixed"/>
        <w:tblCellMar>
          <w:top w:w="0" w:type="dxa"/>
          <w:left w:w="0" w:type="dxa"/>
          <w:bottom w:w="0" w:type="dxa"/>
          <w:right w:w="0" w:type="dxa"/>
        </w:tblCellMar>
      </w:tblPr>
      <w:tblGrid>
        <w:gridCol w:w="8809"/>
      </w:tblGrid>
      <w:tr>
        <w:tblPrEx>
          <w:tblCellMar>
            <w:top w:w="0" w:type="dxa"/>
            <w:left w:w="0" w:type="dxa"/>
            <w:bottom w:w="0" w:type="dxa"/>
            <w:right w:w="0" w:type="dxa"/>
          </w:tblCellMar>
        </w:tblPrEx>
        <w:trPr>
          <w:trHeight w:val="90" w:hRule="atLeast"/>
          <w:jc w:val="center"/>
        </w:trPr>
        <w:tc>
          <w:tcPr>
            <w:tcW w:w="8809" w:type="dxa"/>
            <w:tcBorders>
              <w:bottom w:val="single" w:color="000000" w:sz="4" w:space="0"/>
            </w:tcBorders>
            <w:noWrap w:val="0"/>
            <w:tcMar>
              <w:top w:w="0" w:type="dxa"/>
              <w:left w:w="108" w:type="dxa"/>
              <w:bottom w:w="0" w:type="dxa"/>
              <w:right w:w="108" w:type="dxa"/>
            </w:tcMar>
            <w:vAlign w:val="top"/>
          </w:tcPr>
          <w:p>
            <w:pPr>
              <w:spacing w:line="594" w:lineRule="exact"/>
              <w:jc w:val="cente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专栏2　残疾人社会保障重点项目</w:t>
            </w:r>
          </w:p>
        </w:tc>
      </w:tr>
      <w:tr>
        <w:tblPrEx>
          <w:tblCellMar>
            <w:top w:w="0" w:type="dxa"/>
            <w:left w:w="0" w:type="dxa"/>
            <w:bottom w:w="0" w:type="dxa"/>
            <w:right w:w="0" w:type="dxa"/>
          </w:tblCellMar>
        </w:tblPrEx>
        <w:trPr>
          <w:jc w:val="center"/>
        </w:trPr>
        <w:tc>
          <w:tcPr>
            <w:tcW w:w="88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1．</w:t>
            </w:r>
            <w:r>
              <w:rPr>
                <w:rFonts w:hint="eastAsia" w:ascii="方正仿宋_GBK" w:hAnsi="方正仿宋_GBK" w:eastAsia="方正仿宋_GBK" w:cs="方正仿宋_GBK"/>
                <w:b/>
                <w:bCs/>
                <w:sz w:val="24"/>
                <w:szCs w:val="24"/>
              </w:rPr>
              <w:t>最低生活保障。</w:t>
            </w:r>
            <w:r>
              <w:rPr>
                <w:rFonts w:hint="eastAsia" w:ascii="方正仿宋_GBK" w:hAnsi="方正仿宋_GBK" w:eastAsia="方正仿宋_GBK" w:cs="方正仿宋_GBK"/>
                <w:sz w:val="24"/>
                <w:szCs w:val="24"/>
              </w:rPr>
              <w:t>将符合条件的残疾人家庭及时纳入最低生活保障范围。家庭月人均收入在当地最低生活保障标准</w:t>
            </w:r>
            <w:r>
              <w:rPr>
                <w:rFonts w:ascii="Times New Roman" w:hAnsi="Times New Roman" w:eastAsia="方正仿宋_GBK"/>
                <w:sz w:val="24"/>
                <w:szCs w:val="24"/>
              </w:rPr>
              <w:t>5</w:t>
            </w:r>
            <w:r>
              <w:rPr>
                <w:rFonts w:hint="eastAsia" w:ascii="方正仿宋_GBK" w:hAnsi="方正仿宋_GBK" w:eastAsia="方正仿宋_GBK" w:cs="方正仿宋_GBK"/>
                <w:sz w:val="24"/>
                <w:szCs w:val="24"/>
              </w:rPr>
              <w:t>倍以内、已成年且丧失劳动能力的残疾人，可以与其共同生活的父母、兄弟姐妹分户计算，纳入最低生活保障范围。对纳入低保后生活仍有困难的残疾人和残疾人家庭，采取必要措施给予生活保障。</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2．</w:t>
            </w:r>
            <w:r>
              <w:rPr>
                <w:rFonts w:hint="eastAsia" w:ascii="方正仿宋_GBK" w:hAnsi="方正仿宋_GBK" w:eastAsia="方正仿宋_GBK" w:cs="方正仿宋_GBK"/>
                <w:b/>
                <w:bCs/>
                <w:sz w:val="24"/>
                <w:szCs w:val="24"/>
              </w:rPr>
              <w:t>困难残疾人生活补贴和重度残疾人护理补贴</w:t>
            </w:r>
            <w:r>
              <w:rPr>
                <w:rFonts w:hint="eastAsia" w:ascii="方正仿宋_GBK" w:hAnsi="方正仿宋_GBK" w:eastAsia="方正仿宋_GBK" w:cs="方正仿宋_GBK"/>
                <w:sz w:val="24"/>
                <w:szCs w:val="24"/>
              </w:rPr>
              <w:t>。适当提高困难残疾人生活补贴和重度残疾人护理补贴标准。在区财力允许基础上，将困难残疾人生活补贴延伸到低收入家庭中的残疾人；将护理补贴延伸到有护理需求的三、四级智力、精神残疾人。落实两项补贴资格认定申请“跨省通办”，构建主动发现、精准发放、动态监管的智慧管理服务机制。</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3．</w:t>
            </w:r>
            <w:r>
              <w:rPr>
                <w:rFonts w:hint="eastAsia" w:ascii="方正仿宋_GBK" w:hAnsi="方正仿宋_GBK" w:eastAsia="方正仿宋_GBK" w:cs="方正仿宋_GBK"/>
                <w:b/>
                <w:bCs/>
                <w:sz w:val="24"/>
                <w:szCs w:val="24"/>
              </w:rPr>
              <w:t>残疾人基本型辅助器具适配资助</w:t>
            </w:r>
            <w:r>
              <w:rPr>
                <w:rFonts w:hint="eastAsia" w:ascii="方正仿宋_GBK" w:hAnsi="方正仿宋_GBK" w:eastAsia="方正仿宋_GBK" w:cs="方正仿宋_GBK"/>
                <w:sz w:val="24"/>
                <w:szCs w:val="24"/>
              </w:rPr>
              <w:t>。通过政府补贴等方式，对符合条件的残疾人适配辅助器具给予支持。</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4．</w:t>
            </w:r>
            <w:r>
              <w:rPr>
                <w:rFonts w:hint="eastAsia" w:ascii="方正仿宋_GBK" w:hAnsi="方正仿宋_GBK" w:eastAsia="方正仿宋_GBK" w:cs="方正仿宋_GBK"/>
                <w:b/>
                <w:bCs/>
                <w:sz w:val="24"/>
                <w:szCs w:val="24"/>
              </w:rPr>
              <w:t>残疾人电信业务资费优惠</w:t>
            </w:r>
            <w:r>
              <w:rPr>
                <w:rFonts w:hint="eastAsia" w:ascii="方正仿宋_GBK" w:hAnsi="方正仿宋_GBK" w:eastAsia="方正仿宋_GBK" w:cs="方正仿宋_GBK"/>
                <w:sz w:val="24"/>
                <w:szCs w:val="24"/>
              </w:rPr>
              <w:t>。合理降低残疾人使用移动电话、宽带网络等服务费用，减免残疾人使用助残公益类移动互联网应用程序（</w:t>
            </w:r>
            <w:r>
              <w:rPr>
                <w:rFonts w:ascii="Times New Roman" w:hAnsi="Times New Roman" w:eastAsia="方正仿宋_GBK"/>
                <w:sz w:val="24"/>
                <w:szCs w:val="24"/>
              </w:rPr>
              <w:t>APP</w:t>
            </w:r>
            <w:r>
              <w:rPr>
                <w:rFonts w:hint="eastAsia" w:ascii="方正仿宋_GBK" w:hAnsi="方正仿宋_GBK" w:eastAsia="方正仿宋_GBK" w:cs="方正仿宋_GBK"/>
                <w:sz w:val="24"/>
                <w:szCs w:val="24"/>
              </w:rPr>
              <w:t>）流量资费。</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5．</w:t>
            </w:r>
            <w:r>
              <w:rPr>
                <w:rFonts w:hint="eastAsia" w:ascii="方正仿宋_GBK" w:hAnsi="方正仿宋_GBK" w:eastAsia="方正仿宋_GBK" w:cs="方正仿宋_GBK"/>
                <w:b/>
                <w:bCs/>
                <w:sz w:val="24"/>
                <w:szCs w:val="24"/>
              </w:rPr>
              <w:t>残疾评定补贴</w:t>
            </w:r>
            <w:r>
              <w:rPr>
                <w:rFonts w:hint="eastAsia" w:ascii="方正仿宋_GBK" w:hAnsi="方正仿宋_GBK" w:eastAsia="方正仿宋_GBK" w:cs="方正仿宋_GBK"/>
                <w:sz w:val="24"/>
                <w:szCs w:val="24"/>
              </w:rPr>
              <w:t>。为符合条件的低收入和重度残疾人残疾评定提供补贴和便利服务。</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6．</w:t>
            </w:r>
            <w:r>
              <w:rPr>
                <w:rFonts w:hint="eastAsia" w:ascii="方正仿宋_GBK" w:hAnsi="方正仿宋_GBK" w:eastAsia="方正仿宋_GBK" w:cs="方正仿宋_GBK"/>
                <w:b/>
                <w:bCs/>
                <w:sz w:val="24"/>
                <w:szCs w:val="24"/>
              </w:rPr>
              <w:t>困难残疾人走访探视服务</w:t>
            </w:r>
            <w:r>
              <w:rPr>
                <w:rFonts w:hint="eastAsia" w:ascii="方正仿宋_GBK" w:hAnsi="方正仿宋_GBK" w:eastAsia="方正仿宋_GBK" w:cs="方正仿宋_GBK"/>
                <w:sz w:val="24"/>
                <w:szCs w:val="24"/>
              </w:rPr>
              <w:t>。村（居）委会和残疾人协会对困难残疾人开展经常性走访探视，发现问题及时报告，协助予以解决。</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7．</w:t>
            </w:r>
            <w:r>
              <w:rPr>
                <w:rFonts w:hint="eastAsia" w:ascii="方正仿宋_GBK" w:hAnsi="方正仿宋_GBK" w:eastAsia="方正仿宋_GBK" w:cs="方正仿宋_GBK"/>
                <w:b/>
                <w:bCs/>
                <w:sz w:val="24"/>
                <w:szCs w:val="24"/>
              </w:rPr>
              <w:t>低收入家庭重度残疾人照护服务</w:t>
            </w:r>
            <w:r>
              <w:rPr>
                <w:rFonts w:hint="eastAsia" w:ascii="方正仿宋_GBK" w:hAnsi="方正仿宋_GBK" w:eastAsia="方正仿宋_GBK" w:cs="方正仿宋_GBK"/>
                <w:sz w:val="24"/>
                <w:szCs w:val="24"/>
              </w:rPr>
              <w:t>。通过集中照护服务机构、公共服务设施，为符合条件的重度残疾人提供集中照护、日间照料、居家服务、邻里互助等多种形式的社会化照护服务。</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8．</w:t>
            </w:r>
            <w:r>
              <w:rPr>
                <w:rFonts w:hint="eastAsia" w:ascii="方正仿宋_GBK" w:hAnsi="方正仿宋_GBK" w:eastAsia="方正仿宋_GBK" w:cs="方正仿宋_GBK"/>
                <w:b/>
                <w:bCs/>
                <w:sz w:val="24"/>
                <w:szCs w:val="24"/>
              </w:rPr>
              <w:t>就业年龄段残疾人托养服务</w:t>
            </w:r>
            <w:r>
              <w:rPr>
                <w:rFonts w:hint="eastAsia" w:ascii="方正仿宋_GBK" w:hAnsi="方正仿宋_GBK" w:eastAsia="方正仿宋_GBK" w:cs="方正仿宋_GBK"/>
                <w:sz w:val="24"/>
                <w:szCs w:val="24"/>
              </w:rPr>
              <w:t>。乡镇（街道）根据需要建立残疾人托养服务机构，或依托党群服务中心、社区服务中心、社会福利机构、社会组织、企业等为就业年龄段智力、精神和重度肢体残疾人等提供生活照料和护理、生活自理能力训练、社会适应能力训练、运动能力训练、职业康复与劳动技能训练、辅助性就业等服务。政府投资建设的残疾人托养服务机构要发挥示范作用。</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9．</w:t>
            </w:r>
            <w:r>
              <w:rPr>
                <w:rFonts w:hint="eastAsia" w:ascii="方正仿宋_GBK" w:hAnsi="方正仿宋_GBK" w:eastAsia="方正仿宋_GBK" w:cs="方正仿宋_GBK"/>
                <w:b/>
                <w:bCs/>
                <w:sz w:val="24"/>
                <w:szCs w:val="24"/>
              </w:rPr>
              <w:t>残疾人社会工作和家庭支持服务</w:t>
            </w:r>
            <w:r>
              <w:rPr>
                <w:rFonts w:hint="eastAsia" w:ascii="方正仿宋_GBK" w:hAnsi="方正仿宋_GBK" w:eastAsia="方正仿宋_GBK" w:cs="方正仿宋_GBK"/>
                <w:sz w:val="24"/>
                <w:szCs w:val="24"/>
              </w:rPr>
              <w:t>。开展残疾人社会工作服务，为残疾人建立社会支持网络，让残疾人有“微信群”、“朋友圈”。为残疾人家庭提供临时照护“喘息服务”、心理辅导和康复、教育等专业指导。逐步在残疾人服务机构中设置社会工作岗位。</w:t>
            </w:r>
          </w:p>
          <w:p>
            <w:pPr>
              <w:spacing w:line="440" w:lineRule="exact"/>
              <w:ind w:firstLine="472" w:firstLineChars="200"/>
              <w:rPr>
                <w:rFonts w:ascii="方正仿宋_GBK" w:hAnsi="方正仿宋_GBK" w:eastAsia="方正仿宋_GBK" w:cs="方正仿宋_GBK"/>
                <w:sz w:val="32"/>
                <w:szCs w:val="32"/>
              </w:rPr>
            </w:pPr>
            <w:r>
              <w:rPr>
                <w:rFonts w:ascii="Times New Roman" w:hAnsi="Times New Roman" w:eastAsia="方正仿宋_GBK"/>
                <w:sz w:val="24"/>
                <w:szCs w:val="24"/>
              </w:rPr>
              <w:t>10．</w:t>
            </w:r>
            <w:r>
              <w:rPr>
                <w:rFonts w:hint="eastAsia" w:ascii="方正仿宋_GBK" w:hAnsi="方正仿宋_GBK" w:eastAsia="方正仿宋_GBK" w:cs="方正仿宋_GBK"/>
                <w:b/>
                <w:bCs/>
                <w:sz w:val="24"/>
                <w:szCs w:val="24"/>
              </w:rPr>
              <w:t>突发公共事件中困难残疾人急难救助</w:t>
            </w:r>
            <w:r>
              <w:rPr>
                <w:rFonts w:hint="eastAsia" w:ascii="方正仿宋_GBK" w:hAnsi="方正仿宋_GBK" w:eastAsia="方正仿宋_GBK" w:cs="方正仿宋_GBK"/>
                <w:sz w:val="24"/>
                <w:szCs w:val="24"/>
              </w:rPr>
              <w:t>。对因疫情防控在家隔离的残疾人，加强走访探视，及时提供必要帮助。因突发事件等紧急情况，监护人暂时无法履行监护职责、被监护人处于无人照料状态的，被监护人住所地的村（居）委会或相关部门应当为被监护人提供必要的临时生活照护。</w:t>
            </w:r>
          </w:p>
        </w:tc>
      </w:tr>
    </w:tbl>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第二节 大力促进残疾人及其家庭就业创业增收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多渠道促进残疾人充分就业。贯彻落实《残疾人就业条例》统筹残疾人按比例就业、灵活就业、自主创业等相关就业政策，推进社会保障和就业政策衔接，发挥政策综合效应，最大限度促进残疾人就业。落实残疾人就业促进政策与社会保险政策的衔接，纳入低保范围的已就业残疾人可按规定在核算其家庭收入时扣减必要的就业成本，并在其家庭成员人均收入超过沙区低保标准后给予一定时间的渐退期。加大对残疾人集中就业单位税收减免力度，扶持安置、带动残疾人就业能力强的残疾人集中就业龙头企业，打造残疾人集中就业知名品牌。鼓励残疾人通过新就业形态实现灵活就业，加大对“互联网+”就业、居家就业、社区就业、灵活就业等适合残疾人的新就业形态的扶持力度，开发和推广适合残疾人就业的新职业。加大对残疾人辅助性就业机构的支持保障力度，组织智力、精神和重度肢体残疾人等就业更为困难的残疾人就近就便参加生产劳动、进行职业康复、实现社会融合。充分发挥残疾人就业服务平台等引领作用，对残疾人自主创业、灵活就业、创办小微企业和为残疾人提供就业岗位的个体工商户给予相应的政策扶持。拓宽残疾人特别是盲人在文化艺术、心理卫生和互联网服务等领域就业渠道。为残疾人特别是聋人参加职业技能培训、就业创业提供无障碍支持服务。支持手工制作等残疾妇女就业创业项目，鼓励残疾人参与文化产业。扶持残疾人亲属就业创业，实现零就业残疾人家庭至少有一人就业。在沙坪坝区社会福利护养中心暨困难失能残疾人集中供养中心探索开展入住残疾人家属随同就业新模式，护养中心工作人员中，优先考虑招募残疾人亲属为护工或志愿者，既帮助残疾人家庭实现增收，又解决残疾人亲属担心残疾人集中供养思想顾虑问题。</w:t>
      </w:r>
    </w:p>
    <w:tbl>
      <w:tblPr>
        <w:tblStyle w:val="15"/>
        <w:tblW w:w="8809" w:type="dxa"/>
        <w:jc w:val="center"/>
        <w:tblLayout w:type="fixed"/>
        <w:tblCellMar>
          <w:top w:w="0" w:type="dxa"/>
          <w:left w:w="0" w:type="dxa"/>
          <w:bottom w:w="0" w:type="dxa"/>
          <w:right w:w="0" w:type="dxa"/>
        </w:tblCellMar>
      </w:tblPr>
      <w:tblGrid>
        <w:gridCol w:w="8809"/>
      </w:tblGrid>
      <w:tr>
        <w:tblPrEx>
          <w:tblCellMar>
            <w:top w:w="0" w:type="dxa"/>
            <w:left w:w="0" w:type="dxa"/>
            <w:bottom w:w="0" w:type="dxa"/>
            <w:right w:w="0" w:type="dxa"/>
          </w:tblCellMar>
        </w:tblPrEx>
        <w:trPr>
          <w:jc w:val="center"/>
        </w:trPr>
        <w:tc>
          <w:tcPr>
            <w:tcW w:w="8809" w:type="dxa"/>
            <w:tcBorders>
              <w:bottom w:val="single" w:color="000000" w:sz="4" w:space="0"/>
            </w:tcBorders>
            <w:noWrap w:val="0"/>
            <w:tcMar>
              <w:top w:w="0" w:type="dxa"/>
              <w:left w:w="108" w:type="dxa"/>
              <w:bottom w:w="0" w:type="dxa"/>
              <w:right w:w="108" w:type="dxa"/>
            </w:tcMar>
            <w:vAlign w:val="top"/>
          </w:tcPr>
          <w:p>
            <w:pPr>
              <w:spacing w:line="594" w:lineRule="exact"/>
              <w:jc w:val="cente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专栏3 残疾人就业补贴奖励重点项目</w:t>
            </w:r>
          </w:p>
        </w:tc>
      </w:tr>
      <w:tr>
        <w:tblPrEx>
          <w:tblCellMar>
            <w:top w:w="0" w:type="dxa"/>
            <w:left w:w="0" w:type="dxa"/>
            <w:bottom w:w="0" w:type="dxa"/>
            <w:right w:w="0" w:type="dxa"/>
          </w:tblCellMar>
        </w:tblPrEx>
        <w:trPr>
          <w:jc w:val="center"/>
        </w:trPr>
        <w:tc>
          <w:tcPr>
            <w:tcW w:w="88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1．</w:t>
            </w:r>
            <w:r>
              <w:rPr>
                <w:rFonts w:hint="eastAsia" w:ascii="方正仿宋_GBK" w:hAnsi="方正仿宋_GBK" w:eastAsia="方正仿宋_GBK" w:cs="方正仿宋_GBK"/>
                <w:b/>
                <w:bCs/>
                <w:sz w:val="24"/>
                <w:szCs w:val="24"/>
              </w:rPr>
              <w:t>残疾人自主就业创业补贴。</w:t>
            </w:r>
            <w:r>
              <w:rPr>
                <w:rFonts w:hint="eastAsia" w:ascii="方正仿宋_GBK" w:hAnsi="方正仿宋_GBK" w:eastAsia="方正仿宋_GBK" w:cs="方正仿宋_GBK"/>
                <w:sz w:val="24"/>
                <w:szCs w:val="24"/>
              </w:rPr>
              <w:t>对自主创业、灵活就业的残疾人，按规定给予经营场所租赁补贴、社会保险补贴、职业培训和创业培训补贴、设施设备购置补贴、网络资费补贴、一次性创业补贴；对求职创业的应届高校残疾人毕业生给予补贴。</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2．</w:t>
            </w:r>
            <w:r>
              <w:rPr>
                <w:rFonts w:hint="eastAsia" w:ascii="方正仿宋_GBK" w:hAnsi="方正仿宋_GBK" w:eastAsia="方正仿宋_GBK" w:cs="方正仿宋_GBK"/>
                <w:b/>
                <w:bCs/>
                <w:sz w:val="24"/>
                <w:szCs w:val="24"/>
              </w:rPr>
              <w:t>残疾学生见习补贴</w:t>
            </w:r>
            <w:r>
              <w:rPr>
                <w:rFonts w:hint="eastAsia" w:ascii="方正仿宋_GBK" w:hAnsi="方正仿宋_GBK" w:eastAsia="方正仿宋_GBK" w:cs="方正仿宋_GBK"/>
                <w:sz w:val="24"/>
                <w:szCs w:val="24"/>
              </w:rPr>
              <w:t>。对符合条件的残疾学生在见习期间给予一定标准的补贴。</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3．</w:t>
            </w:r>
            <w:r>
              <w:rPr>
                <w:rFonts w:hint="eastAsia" w:ascii="方正仿宋_GBK" w:hAnsi="方正仿宋_GBK" w:eastAsia="方正仿宋_GBK" w:cs="方正仿宋_GBK"/>
                <w:b/>
                <w:bCs/>
                <w:sz w:val="24"/>
                <w:szCs w:val="24"/>
              </w:rPr>
              <w:t>招录（聘）残疾人的用人单位补贴</w:t>
            </w:r>
            <w:r>
              <w:rPr>
                <w:rFonts w:hint="eastAsia" w:ascii="方正仿宋_GBK" w:hAnsi="方正仿宋_GBK" w:eastAsia="方正仿宋_GBK" w:cs="方正仿宋_GBK"/>
                <w:sz w:val="24"/>
                <w:szCs w:val="24"/>
              </w:rPr>
              <w:t>。对正式招录（聘）残疾人的用人单位，按规定给予岗位补贴、社会保险补贴、职业培训补贴、设施设备购置改造补贴、职业技能鉴定补贴；对安排残疾人见习的用人单位给予一次性补贴。</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4．</w:t>
            </w:r>
            <w:r>
              <w:rPr>
                <w:rFonts w:hint="eastAsia" w:ascii="方正仿宋_GBK" w:hAnsi="方正仿宋_GBK" w:eastAsia="方正仿宋_GBK" w:cs="方正仿宋_GBK"/>
                <w:b/>
                <w:bCs/>
                <w:sz w:val="24"/>
                <w:szCs w:val="24"/>
              </w:rPr>
              <w:t>辅助性就业机构补贴</w:t>
            </w:r>
            <w:r>
              <w:rPr>
                <w:rFonts w:hint="eastAsia" w:ascii="方正仿宋_GBK" w:hAnsi="方正仿宋_GBK" w:eastAsia="方正仿宋_GBK" w:cs="方正仿宋_GBK"/>
                <w:sz w:val="24"/>
                <w:szCs w:val="24"/>
              </w:rPr>
              <w:t>。对残疾人辅助性就业机构给予一次性建设、场地租金、机构运行、无障碍改造、生产设备和辅助器具购置等补贴。</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5．</w:t>
            </w:r>
            <w:r>
              <w:rPr>
                <w:rFonts w:hint="eastAsia" w:ascii="方正仿宋_GBK" w:hAnsi="方正仿宋_GBK" w:eastAsia="方正仿宋_GBK" w:cs="方正仿宋_GBK"/>
                <w:b/>
                <w:bCs/>
                <w:sz w:val="24"/>
                <w:szCs w:val="24"/>
              </w:rPr>
              <w:t>通过公益性岗位安排残疾人就业的用人单位补贴</w:t>
            </w:r>
            <w:r>
              <w:rPr>
                <w:rFonts w:hint="eastAsia" w:ascii="方正仿宋_GBK" w:hAnsi="方正仿宋_GBK" w:eastAsia="方正仿宋_GBK" w:cs="方正仿宋_GBK"/>
                <w:sz w:val="24"/>
                <w:szCs w:val="24"/>
              </w:rPr>
              <w:t>。对通过公益性岗位安排残疾人就业并</w:t>
            </w:r>
            <w:r>
              <w:rPr>
                <w:rFonts w:hint="eastAsia" w:ascii="方正仿宋_GBK" w:hAnsi="方正仿宋_GBK" w:eastAsia="方正仿宋_GBK" w:cs="方正仿宋_GBK"/>
                <w:sz w:val="24"/>
                <w:szCs w:val="24"/>
                <w:lang w:eastAsia="zh-CN"/>
              </w:rPr>
              <w:t>交</w:t>
            </w:r>
            <w:r>
              <w:rPr>
                <w:rFonts w:hint="eastAsia" w:ascii="方正仿宋_GBK" w:hAnsi="方正仿宋_GBK" w:eastAsia="方正仿宋_GBK" w:cs="方正仿宋_GBK"/>
                <w:sz w:val="24"/>
                <w:szCs w:val="24"/>
              </w:rPr>
              <w:t>纳社会保险费的用人单位给予社会保险补贴。</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6．</w:t>
            </w:r>
            <w:r>
              <w:rPr>
                <w:rFonts w:hint="eastAsia" w:ascii="方正仿宋_GBK" w:hAnsi="方正仿宋_GBK" w:eastAsia="方正仿宋_GBK" w:cs="方正仿宋_GBK"/>
                <w:b/>
                <w:bCs/>
                <w:sz w:val="24"/>
                <w:szCs w:val="24"/>
              </w:rPr>
              <w:t>超比例安排残疾人就业奖励</w:t>
            </w:r>
            <w:r>
              <w:rPr>
                <w:rFonts w:hint="eastAsia" w:ascii="方正仿宋_GBK" w:hAnsi="方正仿宋_GBK" w:eastAsia="方正仿宋_GBK" w:cs="方正仿宋_GBK"/>
                <w:sz w:val="24"/>
                <w:szCs w:val="24"/>
              </w:rPr>
              <w:t>。对超比例安排残疾人就业的用人单位给予奖励。</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7．</w:t>
            </w:r>
            <w:r>
              <w:rPr>
                <w:rFonts w:hint="eastAsia" w:ascii="方正仿宋_GBK" w:hAnsi="方正仿宋_GBK" w:eastAsia="方正仿宋_GBK" w:cs="方正仿宋_GBK"/>
                <w:b/>
                <w:bCs/>
                <w:sz w:val="24"/>
                <w:szCs w:val="24"/>
              </w:rPr>
              <w:t>残疾人就业服务奖励</w:t>
            </w:r>
            <w:r>
              <w:rPr>
                <w:rFonts w:hint="eastAsia" w:ascii="方正仿宋_GBK" w:hAnsi="方正仿宋_GBK" w:eastAsia="方正仿宋_GBK" w:cs="方正仿宋_GBK"/>
                <w:sz w:val="24"/>
                <w:szCs w:val="24"/>
              </w:rPr>
              <w:t>。充分发挥残疾人就业服务中心、公共就业服务机构、劳务派遣公司、经营性人力资源服务机构在残疾人就业供需对接方面的作用，对推荐残疾人稳定就业一年以上的单位，按就业人数给予奖励。</w:t>
            </w:r>
          </w:p>
          <w:p>
            <w:pPr>
              <w:spacing w:line="440" w:lineRule="exact"/>
              <w:ind w:firstLine="472" w:firstLineChars="200"/>
              <w:rPr>
                <w:rFonts w:ascii="方正仿宋_GBK" w:hAnsi="方正仿宋_GBK" w:eastAsia="方正仿宋_GBK" w:cs="方正仿宋_GBK"/>
                <w:sz w:val="32"/>
                <w:szCs w:val="32"/>
              </w:rPr>
            </w:pPr>
            <w:r>
              <w:rPr>
                <w:rFonts w:ascii="Times New Roman" w:hAnsi="Times New Roman" w:eastAsia="方正仿宋_GBK"/>
                <w:sz w:val="24"/>
                <w:szCs w:val="24"/>
              </w:rPr>
              <w:t>8．</w:t>
            </w:r>
            <w:r>
              <w:rPr>
                <w:rFonts w:hint="eastAsia" w:ascii="方正仿宋_GBK" w:hAnsi="方正仿宋_GBK" w:eastAsia="方正仿宋_GBK" w:cs="方正仿宋_GBK"/>
                <w:b/>
                <w:bCs/>
                <w:sz w:val="24"/>
                <w:szCs w:val="24"/>
              </w:rPr>
              <w:t>残疾人技能人才奖励</w:t>
            </w:r>
            <w:r>
              <w:rPr>
                <w:rFonts w:hint="eastAsia" w:ascii="方正仿宋_GBK" w:hAnsi="方正仿宋_GBK" w:eastAsia="方正仿宋_GBK" w:cs="方正仿宋_GBK"/>
                <w:sz w:val="24"/>
                <w:szCs w:val="24"/>
              </w:rPr>
              <w:t>。对参加各类残疾人职业技能竞赛获奖选手，按照有关规定给予奖励。</w:t>
            </w:r>
          </w:p>
        </w:tc>
      </w:tr>
    </w:tbl>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打造特色残疾人就业创业基地。打造残疾人文创基地，壮大文创队伍，推进残疾人文创产品创作及展销，帮助残疾人实现就业。举办手工艺培训班，鼓励民办技能培训机构参与残疾人技能培训工作，规范示范点运行，丰富示范点活动内容，鼓励残疾人就近就便参加各类活动，丰富残疾人精神文化生活。</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断提高残疾人公共就业服务水平。健全残疾人就业服务体系，为残疾人和用人单位提供全链条、专业化、精准化服务。建立残疾人就业辅导员制度，扩大就业辅导员队伍。以实施“一企一场，点对面”残疾人专场招聘会为重点，采取线上线下相结合方式，广泛收集企业用工信息，拓宽残疾人就业渠道。公共就业服务机构服务窗口优先为残疾人提供“一窗式”服务，免费为残疾人提供就业信息发布、职业指导、职业介绍、职业适应评估、职业技能鉴定、技能竞赛、就业和失业登记等就业服务和针对性就业援助。加大就业资金和残疾人就业保障金对残疾人职业培训的投入，完善职业培训补贴和职业技能鉴定补贴制度。落实《残疾人职业技能提升计划（</w:t>
      </w:r>
      <w:r>
        <w:rPr>
          <w:rFonts w:ascii="Times New Roman" w:hAnsi="Times New Roman" w:eastAsia="方正仿宋_GBK"/>
          <w:sz w:val="32"/>
          <w:szCs w:val="32"/>
        </w:rPr>
        <w:t>2021—2025</w:t>
      </w:r>
      <w:r>
        <w:rPr>
          <w:rFonts w:hint="eastAsia" w:ascii="方正仿宋_GBK" w:hAnsi="方正仿宋_GBK" w:eastAsia="方正仿宋_GBK" w:cs="方正仿宋_GBK"/>
          <w:sz w:val="32"/>
          <w:szCs w:val="32"/>
        </w:rPr>
        <w:t>年）》，帮助有就业愿望和培训需求的残疾人普遍得到相应的职业素质培训、就业技能培训、岗位技能培训和创业培训。打造残疾人就业培训基地。密切关注残疾人大中专毕业生就业创业服务，建立就业帮扶工作台账，准确掌握每一名毕业生基本情况和需求，实行“一生一策”、“一对一”就业创业服务，协助毕业生开展职业生涯规划。将符合条件的就业困难残疾人纳入就业援助范围，持续开展“就业援助月”等专项就业服务活动。加强就业服务机构规范化建设，落实保障条件、专业人员配备等要求。通过政府购买服务等方式开展残疾人就业服务，拓宽服务渠道，提高服务质量。</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维护残疾人就业权益。合理确定残疾人取得职业资格和公务员、事业单位人员等入职体检条件，依法保障具有正常履行职责的身体条件和心理素质残疾人的平等就业权益。用人单位应当为残疾职工提供适合身心特点的劳动条件、劳动保护、无障碍环境及合理便利，在晋职、晋级、职称评定、社会保险、生活福利等方面给予其平等待遇。加强残疾人就业劳动监察，坚决防范和打击侵害残疾人就业权益的行为。</w:t>
      </w:r>
    </w:p>
    <w:tbl>
      <w:tblPr>
        <w:tblStyle w:val="15"/>
        <w:tblpPr w:leftFromText="180" w:rightFromText="180" w:vertAnchor="text" w:horzAnchor="page" w:tblpX="1777" w:tblpY="199"/>
        <w:tblOverlap w:val="never"/>
        <w:tblW w:w="8755" w:type="dxa"/>
        <w:tblInd w:w="0" w:type="dxa"/>
        <w:tblLayout w:type="fixed"/>
        <w:tblCellMar>
          <w:top w:w="0" w:type="dxa"/>
          <w:left w:w="0" w:type="dxa"/>
          <w:bottom w:w="0" w:type="dxa"/>
          <w:right w:w="0" w:type="dxa"/>
        </w:tblCellMar>
      </w:tblPr>
      <w:tblGrid>
        <w:gridCol w:w="8755"/>
      </w:tblGrid>
      <w:tr>
        <w:tblPrEx>
          <w:tblCellMar>
            <w:top w:w="0" w:type="dxa"/>
            <w:left w:w="0" w:type="dxa"/>
            <w:bottom w:w="0" w:type="dxa"/>
            <w:right w:w="0" w:type="dxa"/>
          </w:tblCellMar>
        </w:tblPrEx>
        <w:trPr>
          <w:trHeight w:val="90" w:hRule="atLeast"/>
        </w:trPr>
        <w:tc>
          <w:tcPr>
            <w:tcW w:w="8755" w:type="dxa"/>
            <w:tcBorders>
              <w:bottom w:val="single" w:color="000000" w:sz="4" w:space="0"/>
            </w:tcBorders>
            <w:noWrap w:val="0"/>
            <w:tcMar>
              <w:top w:w="0" w:type="dxa"/>
              <w:left w:w="108" w:type="dxa"/>
              <w:bottom w:w="0" w:type="dxa"/>
              <w:right w:w="108" w:type="dxa"/>
            </w:tcMar>
            <w:vAlign w:val="top"/>
          </w:tcPr>
          <w:p>
            <w:pPr>
              <w:spacing w:line="594" w:lineRule="exact"/>
              <w:jc w:val="cente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专栏4　残疾人就业服务重点项目</w:t>
            </w:r>
          </w:p>
        </w:tc>
      </w:tr>
      <w:tr>
        <w:tblPrEx>
          <w:tblCellMar>
            <w:top w:w="0" w:type="dxa"/>
            <w:left w:w="0" w:type="dxa"/>
            <w:bottom w:w="0" w:type="dxa"/>
            <w:right w:w="0" w:type="dxa"/>
          </w:tblCellMar>
        </w:tblPrEx>
        <w:tc>
          <w:tcPr>
            <w:tcW w:w="87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 xml:space="preserve">1. </w:t>
            </w:r>
            <w:r>
              <w:rPr>
                <w:rFonts w:hint="eastAsia" w:ascii="方正仿宋_GBK" w:hAnsi="方正仿宋_GBK" w:eastAsia="方正仿宋_GBK" w:cs="方正仿宋_GBK"/>
                <w:b/>
                <w:bCs/>
                <w:sz w:val="24"/>
                <w:szCs w:val="24"/>
              </w:rPr>
              <w:t>党政机关、事业单位按比例安排残疾人就业项目</w:t>
            </w:r>
            <w:r>
              <w:rPr>
                <w:rFonts w:hint="eastAsia" w:ascii="方正仿宋_GBK" w:hAnsi="方正仿宋_GBK" w:eastAsia="方正仿宋_GBK" w:cs="方正仿宋_GBK"/>
                <w:sz w:val="24"/>
                <w:szCs w:val="24"/>
              </w:rPr>
              <w:t>。区内编制</w:t>
            </w:r>
            <w:r>
              <w:rPr>
                <w:rFonts w:ascii="Times New Roman" w:hAnsi="Times New Roman" w:eastAsia="方正仿宋_GBK"/>
                <w:sz w:val="24"/>
                <w:szCs w:val="24"/>
              </w:rPr>
              <w:t>50</w:t>
            </w:r>
            <w:r>
              <w:rPr>
                <w:rFonts w:hint="eastAsia" w:ascii="方正仿宋_GBK" w:hAnsi="方正仿宋_GBK" w:eastAsia="方正仿宋_GBK" w:cs="方正仿宋_GBK"/>
                <w:sz w:val="24"/>
                <w:szCs w:val="24"/>
              </w:rPr>
              <w:t>人以上（含</w:t>
            </w:r>
            <w:r>
              <w:rPr>
                <w:rFonts w:ascii="Times New Roman" w:hAnsi="Times New Roman" w:eastAsia="方正仿宋_GBK"/>
                <w:sz w:val="24"/>
                <w:szCs w:val="24"/>
              </w:rPr>
              <w:t>50</w:t>
            </w:r>
            <w:r>
              <w:rPr>
                <w:rFonts w:hint="eastAsia" w:ascii="方正仿宋_GBK" w:hAnsi="方正仿宋_GBK" w:eastAsia="方正仿宋_GBK" w:cs="方正仿宋_GBK"/>
                <w:sz w:val="24"/>
                <w:szCs w:val="24"/>
              </w:rPr>
              <w:t>人）的党政机关，编制</w:t>
            </w:r>
            <w:r>
              <w:rPr>
                <w:rFonts w:ascii="Times New Roman" w:hAnsi="Times New Roman" w:eastAsia="方正仿宋_GBK"/>
                <w:sz w:val="24"/>
                <w:szCs w:val="24"/>
              </w:rPr>
              <w:t>67</w:t>
            </w:r>
            <w:r>
              <w:rPr>
                <w:rFonts w:hint="eastAsia" w:ascii="方正仿宋_GBK" w:hAnsi="方正仿宋_GBK" w:eastAsia="方正仿宋_GBK" w:cs="方正仿宋_GBK"/>
                <w:sz w:val="24"/>
                <w:szCs w:val="24"/>
              </w:rPr>
              <w:t>人以上（含</w:t>
            </w:r>
            <w:r>
              <w:rPr>
                <w:rFonts w:ascii="Times New Roman" w:hAnsi="Times New Roman" w:eastAsia="方正仿宋_GBK"/>
                <w:sz w:val="24"/>
                <w:szCs w:val="24"/>
              </w:rPr>
              <w:t>67</w:t>
            </w:r>
            <w:r>
              <w:rPr>
                <w:rFonts w:hint="eastAsia" w:ascii="方正仿宋_GBK" w:hAnsi="方正仿宋_GBK" w:eastAsia="方正仿宋_GBK" w:cs="方正仿宋_GBK"/>
                <w:sz w:val="24"/>
                <w:szCs w:val="24"/>
              </w:rPr>
              <w:t>人）的事业单位（中小学、幼儿园除外），安排残疾人就业未达到规定比例的，</w:t>
            </w:r>
            <w:r>
              <w:rPr>
                <w:rFonts w:ascii="Times New Roman" w:hAnsi="Times New Roman" w:eastAsia="方正仿宋_GBK"/>
                <w:sz w:val="24"/>
                <w:szCs w:val="24"/>
              </w:rPr>
              <w:t>2025</w:t>
            </w:r>
            <w:r>
              <w:rPr>
                <w:rFonts w:hint="eastAsia" w:ascii="方正仿宋_GBK" w:hAnsi="方正仿宋_GBK" w:eastAsia="方正仿宋_GBK" w:cs="方正仿宋_GBK"/>
                <w:sz w:val="24"/>
                <w:szCs w:val="24"/>
              </w:rPr>
              <w:t>年前至少安排</w:t>
            </w:r>
            <w:r>
              <w:rPr>
                <w:rFonts w:ascii="Times New Roman" w:hAnsi="Times New Roman" w:eastAsia="方正仿宋_GBK"/>
                <w:sz w:val="24"/>
                <w:szCs w:val="24"/>
              </w:rPr>
              <w:t>1</w:t>
            </w:r>
            <w:r>
              <w:rPr>
                <w:rFonts w:hint="eastAsia" w:ascii="方正仿宋_GBK" w:hAnsi="方正仿宋_GBK" w:eastAsia="方正仿宋_GBK" w:cs="方正仿宋_GBK"/>
                <w:sz w:val="24"/>
                <w:szCs w:val="24"/>
              </w:rPr>
              <w:t>名残疾人就业。区残联机关干部队伍中要有</w:t>
            </w:r>
            <w:r>
              <w:rPr>
                <w:rFonts w:ascii="Times New Roman" w:hAnsi="Times New Roman" w:eastAsia="方正仿宋_GBK"/>
                <w:sz w:val="24"/>
                <w:szCs w:val="24"/>
              </w:rPr>
              <w:t>15%</w:t>
            </w:r>
            <w:r>
              <w:rPr>
                <w:rFonts w:hint="eastAsia" w:ascii="方正仿宋_GBK" w:hAnsi="方正仿宋_GBK" w:eastAsia="方正仿宋_GBK" w:cs="方正仿宋_GBK"/>
                <w:sz w:val="24"/>
                <w:szCs w:val="24"/>
              </w:rPr>
              <w:t>以上（含</w:t>
            </w:r>
            <w:r>
              <w:rPr>
                <w:rFonts w:ascii="Times New Roman" w:hAnsi="Times New Roman" w:eastAsia="方正仿宋_GBK"/>
                <w:sz w:val="24"/>
                <w:szCs w:val="24"/>
              </w:rPr>
              <w:t>15%</w:t>
            </w:r>
            <w:r>
              <w:rPr>
                <w:rFonts w:hint="eastAsia" w:ascii="方正仿宋_GBK" w:hAnsi="方正仿宋_GBK" w:eastAsia="方正仿宋_GBK" w:cs="方正仿宋_GBK"/>
                <w:sz w:val="24"/>
                <w:szCs w:val="24"/>
              </w:rPr>
              <w:t>）的残疾人。</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 xml:space="preserve">2. </w:t>
            </w:r>
            <w:r>
              <w:rPr>
                <w:rFonts w:hint="eastAsia" w:ascii="方正仿宋_GBK" w:hAnsi="方正仿宋_GBK" w:eastAsia="方正仿宋_GBK" w:cs="方正仿宋_GBK"/>
                <w:b/>
                <w:bCs/>
                <w:sz w:val="24"/>
                <w:szCs w:val="24"/>
              </w:rPr>
              <w:t>农村残疾人就业帮扶基地建设项目</w:t>
            </w:r>
            <w:r>
              <w:rPr>
                <w:rFonts w:hint="eastAsia" w:ascii="方正仿宋_GBK" w:hAnsi="方正仿宋_GBK" w:eastAsia="方正仿宋_GBK" w:cs="方正仿宋_GBK"/>
                <w:sz w:val="24"/>
                <w:szCs w:val="24"/>
              </w:rPr>
              <w:t>。依托农村创业创新孵化实训基地和家庭农场、农民合作社、农业社会化服务组织等新型农业经营主体，扶持一批辐射带动能力强、经营管理规范、具有一定规模的残疾人就业帮扶基地和残疾人种养业大户，带动残疾人稳定就业、生产增收。</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3.</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b/>
                <w:bCs/>
                <w:sz w:val="24"/>
                <w:szCs w:val="24"/>
              </w:rPr>
              <w:t>残疾人职业技能培训和创业孵化示范基地建设项目</w:t>
            </w:r>
            <w:r>
              <w:rPr>
                <w:rFonts w:hint="eastAsia" w:ascii="方正仿宋_GBK" w:hAnsi="方正仿宋_GBK" w:eastAsia="方正仿宋_GBK" w:cs="方正仿宋_GBK"/>
                <w:sz w:val="24"/>
                <w:szCs w:val="24"/>
              </w:rPr>
              <w:t>。依托企业、职业院校、社会培训机构等，建设残疾人职业技能培训基地和残疾人创业孵化示范基地，打造残疾人职业技能培训、实习见习和就业创业示范服务平台，为残疾人创业者提供低成本、便利化、全要素、开放式的综合服务平台和发展空间。探索建立残疾人文化创意产业基地。</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4.</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b/>
                <w:bCs/>
                <w:sz w:val="24"/>
                <w:szCs w:val="24"/>
              </w:rPr>
              <w:t>残疾人辅助性就业示范机构建设项目</w:t>
            </w:r>
            <w:r>
              <w:rPr>
                <w:rFonts w:hint="eastAsia" w:ascii="方正仿宋_GBK" w:hAnsi="方正仿宋_GBK" w:eastAsia="方正仿宋_GBK" w:cs="方正仿宋_GBK"/>
                <w:sz w:val="24"/>
                <w:szCs w:val="24"/>
              </w:rPr>
              <w:t>。扶持残疾人辅助性就业示范机构，鼓励引导市场主体和社会力量提供辅助性就业服务。</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 xml:space="preserve">5. </w:t>
            </w:r>
            <w:r>
              <w:rPr>
                <w:rFonts w:hint="eastAsia" w:ascii="方正仿宋_GBK" w:hAnsi="方正仿宋_GBK" w:eastAsia="方正仿宋_GBK" w:cs="方正仿宋_GBK"/>
                <w:b/>
                <w:bCs/>
                <w:sz w:val="24"/>
                <w:szCs w:val="24"/>
              </w:rPr>
              <w:t>支持性就业推广项目</w:t>
            </w:r>
            <w:r>
              <w:rPr>
                <w:rFonts w:hint="eastAsia" w:ascii="方正仿宋_GBK" w:hAnsi="方正仿宋_GBK" w:eastAsia="方正仿宋_GBK" w:cs="方正仿宋_GBK"/>
                <w:sz w:val="24"/>
                <w:szCs w:val="24"/>
              </w:rPr>
              <w:t>。扶持建设残疾人就业辅导员培训专业机构，培训就业辅导员，帮助更多智力、精神残疾人实现支持性就业。</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6.</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b/>
                <w:bCs/>
                <w:sz w:val="24"/>
                <w:szCs w:val="24"/>
              </w:rPr>
              <w:t>盲人按摩提升项目</w:t>
            </w:r>
            <w:r>
              <w:rPr>
                <w:rFonts w:hint="eastAsia" w:ascii="方正仿宋_GBK" w:hAnsi="方正仿宋_GBK" w:eastAsia="方正仿宋_GBK" w:cs="方正仿宋_GBK"/>
                <w:sz w:val="24"/>
                <w:szCs w:val="24"/>
              </w:rPr>
              <w:t>。大力推进盲人医疗按摩人员在医院、社区卫生服务机构等就业执业，完善职称评定有关规定。促进盲人保健按摩行业规范化、标准化、专业化、品牌化发展。</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 xml:space="preserve">7. </w:t>
            </w:r>
            <w:r>
              <w:rPr>
                <w:rFonts w:hint="eastAsia" w:ascii="方正仿宋_GBK" w:hAnsi="方正仿宋_GBK" w:eastAsia="方正仿宋_GBK" w:cs="方正仿宋_GBK"/>
                <w:b/>
                <w:bCs/>
                <w:sz w:val="24"/>
                <w:szCs w:val="24"/>
              </w:rPr>
              <w:t>残疾人新就业形态扶持项目</w:t>
            </w:r>
            <w:r>
              <w:rPr>
                <w:rFonts w:hint="eastAsia" w:ascii="方正仿宋_GBK" w:hAnsi="方正仿宋_GBK" w:eastAsia="方正仿宋_GBK" w:cs="方正仿宋_GBK"/>
                <w:sz w:val="24"/>
                <w:szCs w:val="24"/>
              </w:rPr>
              <w:t>。鼓励互联网平台企业、中介服务机构等帮助残疾人参与网络零售、云客服、直播带货、物流快递、小店经济等新就业形态。</w:t>
            </w:r>
          </w:p>
          <w:p>
            <w:pPr>
              <w:spacing w:line="440" w:lineRule="exact"/>
              <w:ind w:firstLine="472" w:firstLineChars="200"/>
              <w:rPr>
                <w:rFonts w:ascii="方正仿宋_GBK" w:hAnsi="方正仿宋_GBK" w:eastAsia="方正仿宋_GBK" w:cs="方正仿宋_GBK"/>
                <w:sz w:val="32"/>
                <w:szCs w:val="32"/>
              </w:rPr>
            </w:pPr>
            <w:r>
              <w:rPr>
                <w:rFonts w:ascii="Times New Roman" w:hAnsi="Times New Roman" w:eastAsia="方正仿宋_GBK"/>
                <w:sz w:val="24"/>
                <w:szCs w:val="24"/>
              </w:rPr>
              <w:t>8.</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b/>
                <w:bCs/>
                <w:sz w:val="24"/>
                <w:szCs w:val="24"/>
              </w:rPr>
              <w:t>残疾人公益性岗位项目</w:t>
            </w:r>
            <w:r>
              <w:rPr>
                <w:rFonts w:hint="eastAsia" w:ascii="方正仿宋_GBK" w:hAnsi="方正仿宋_GBK" w:eastAsia="方正仿宋_GBK" w:cs="方正仿宋_GBK"/>
                <w:sz w:val="24"/>
                <w:szCs w:val="24"/>
              </w:rPr>
              <w:t>。促进乡村保洁员、水管员、护路员、生态护林员、社会救助协理员、农家书屋管理员、社区服务人员等公益性岗位优先安排残疾人。</w:t>
            </w:r>
          </w:p>
        </w:tc>
      </w:tr>
    </w:tbl>
    <w:p>
      <w:pPr>
        <w:spacing w:line="594" w:lineRule="exact"/>
        <w:ind w:firstLine="632" w:firstLineChars="200"/>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第三节  提升残疾人公共服务质量</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强化残疾预防。落实残疾预防行动计划，完善残疾预防网络，提升全社会残疾风险综合防控能力。完善常态化筛查评估工作机制，持续开展残疾儿童信息监测和残疾预防服务。完善全人群、全生命周期的残疾预防机制，建设筛查、诊断、随报、评估一体化信息平台，建立“互联网+残疾报告”机制。加强出生缺陷综合防治，构建覆盖城乡居民，涵盖孕前、孕期、新生儿各阶段的出生缺陷筛查和干预服务，有效控制出生缺陷和发育障碍致残。继续针对唇腭裂等先天性结构畸形疾病实施干预项目，开展“关爱·未来”育龄段智力、精神残疾妇女及残疾儿童母亲遗传咨询、基因检测和生育指导服务，减少出生缺陷、发育障碍致残。实施慢性病预防干预措施，开展重大慢性病早诊早治，减少慢性病致残；开展社会心理服务和社区心理干预，预防和减少精神残疾发生；开展防盲治盲、防聋治聋工作，加强麻风病等传染病和碘缺乏病、克山病等地方病防控。强化卫生、安全生产、劳动保护和交通安全等领域的执法监察，加强道路交通执法和安全防护设施建设，加快公共场所急救设备配备，提高自然灾害和火灾现场应急处置能力、突发事件紧急医学救援能力和院前急救能力，有效控制因遗传、疾病、意外伤害、环境及其他因素导致的残疾发生和发展。结合残疾预防日、预防出生缺陷日、爱眼日、爱耳日、全国防灾减灾日等节点，广泛开展残疾预防宣传教育，增强全人群、全生命周期的残疾预防意识。</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残疾人健康服务。全面推进残疾人家庭医生签约服务，支持保障签约医生为残疾人提供基本医疗、公共卫生和健康管理等个性化服务。做好全国残疾人家庭医生签约服务重点联系点工作。加强和改善残疾人医疗服务，为残疾人提供就医便利，维护残疾人平等就医权利。加强残疾人心理健康服务。关注残疾妇女健康，开展生殖健康服务。将残疾人健康状况、卫生服务需求与利用等纳入全区卫生服务调查，加强残疾人健康状况评估。</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高残疾儿童康复救助服务水平。推进建立儿童残疾筛查、诊断、康复救助衔接机制，加强区妇幼保健机构能力建设，夯实区、镇（街道）、村（社区）儿童保健服务网络，开展残疾儿童早期干预试点项目，不断提升儿童致残性疾病早发现、早诊断、早干预、早康复能力和效果。落实残疾儿童康复救助制度，增加康复服务供给，确保残疾儿童得到及时有效的康复服务。强化残疾儿童康复救助定点服务机构服务流程、服务内容、服务评价规范化管理，提升定点服务机构康复人员专业水平，提高残疾儿童康复质量和效果。支持儿童福利机构增加和完善康复功能，配备相应的康复设备和专业技术人员，与医疗机构加强合作，提高康复医疗服务能力。</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升康复服务质量。进一步完善以专业机构为依托、社区为基础、家庭为核心的残疾人精准康复服务模式，织密村（社区）康复工作网络。完善残疾人基本康复服务目录，继续实施精准康复服务行动，提升个性化精准康复质量，满足残疾人基本康复服务需求。加强精神卫生综合管理服务，开展精神障碍社区康复。依托区内公立医院和社会专业医疗机构，健全康复服务体系，针对性开展康复服务，提升康复服务精准度和实效性。加强社区康复，推广残疾人自助、互助康复，促进康复服务市场化发展。</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快发展康复辅助器具服务。推广安全适用的基本型康复辅助器具，加快康复辅助器具创新产品研发生产，增强优质康复辅助器具供给能力，推动康复辅助器具服务提质升级。深化个性化辅助器具适配服务，提高助听器、助视器、假肢、轮椅、拐杖等残疾人急需的辅助器具普及率，促进便利、经济、实用、舒适、环保、智能辅助器具的推广。鼓励实施公益性康复辅助器具适配项目。完善康复辅助器具适配服务网络，加强各级康复辅助器具适配服务机构建设，支持社会力量及医疗、康复、养老机构和残疾人教育、就业、托养机构开展康复辅助器具适配服务。探索开展康复辅助器具社区租赁服务试点，促进智能康复辅助器具技术开发及产品配置应用。充分发挥标准对康复辅助器具产业的引领作用，推动康复辅具特色产业健康发展。</w:t>
      </w:r>
    </w:p>
    <w:tbl>
      <w:tblPr>
        <w:tblStyle w:val="15"/>
        <w:tblW w:w="8925" w:type="dxa"/>
        <w:jc w:val="center"/>
        <w:tblLayout w:type="fixed"/>
        <w:tblCellMar>
          <w:top w:w="0" w:type="dxa"/>
          <w:left w:w="0" w:type="dxa"/>
          <w:bottom w:w="0" w:type="dxa"/>
          <w:right w:w="0" w:type="dxa"/>
        </w:tblCellMar>
      </w:tblPr>
      <w:tblGrid>
        <w:gridCol w:w="8925"/>
      </w:tblGrid>
      <w:tr>
        <w:tblPrEx>
          <w:tblCellMar>
            <w:top w:w="0" w:type="dxa"/>
            <w:left w:w="0" w:type="dxa"/>
            <w:bottom w:w="0" w:type="dxa"/>
            <w:right w:w="0" w:type="dxa"/>
          </w:tblCellMar>
        </w:tblPrEx>
        <w:trPr>
          <w:trHeight w:val="90" w:hRule="atLeast"/>
          <w:jc w:val="center"/>
        </w:trPr>
        <w:tc>
          <w:tcPr>
            <w:tcW w:w="8925" w:type="dxa"/>
            <w:tcBorders>
              <w:bottom w:val="single" w:color="auto" w:sz="4" w:space="0"/>
            </w:tcBorders>
            <w:noWrap w:val="0"/>
            <w:tcMar>
              <w:top w:w="0" w:type="dxa"/>
              <w:left w:w="108" w:type="dxa"/>
              <w:bottom w:w="0" w:type="dxa"/>
              <w:right w:w="108" w:type="dxa"/>
            </w:tcMar>
            <w:vAlign w:val="top"/>
          </w:tcPr>
          <w:p>
            <w:pPr>
              <w:spacing w:line="594" w:lineRule="exact"/>
              <w:jc w:val="cente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专栏5　残疾人健康与康复重点项目</w:t>
            </w:r>
          </w:p>
        </w:tc>
      </w:tr>
      <w:tr>
        <w:tblPrEx>
          <w:tblCellMar>
            <w:top w:w="0" w:type="dxa"/>
            <w:left w:w="0" w:type="dxa"/>
            <w:bottom w:w="0" w:type="dxa"/>
            <w:right w:w="0" w:type="dxa"/>
          </w:tblCellMar>
        </w:tblPrEx>
        <w:trPr>
          <w:trHeight w:val="540" w:hRule="atLeast"/>
          <w:jc w:val="center"/>
        </w:trPr>
        <w:tc>
          <w:tcPr>
            <w:tcW w:w="89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1．</w:t>
            </w:r>
            <w:r>
              <w:rPr>
                <w:rFonts w:hint="eastAsia" w:ascii="方正仿宋_GBK" w:hAnsi="方正仿宋_GBK" w:eastAsia="方正仿宋_GBK" w:cs="方正仿宋_GBK"/>
                <w:b/>
                <w:bCs/>
                <w:sz w:val="24"/>
                <w:szCs w:val="24"/>
              </w:rPr>
              <w:t>残疾人精准康复服务行动</w:t>
            </w:r>
            <w:r>
              <w:rPr>
                <w:rFonts w:hint="eastAsia" w:ascii="方正仿宋_GBK" w:hAnsi="方正仿宋_GBK" w:eastAsia="方正仿宋_GBK" w:cs="方正仿宋_GBK"/>
                <w:sz w:val="24"/>
                <w:szCs w:val="24"/>
              </w:rPr>
              <w:t>。开展残疾人康复需求调查评估，为残疾人普遍提供基本康复服务，为家庭照护者提供居家康复、照护技能培训和支持服务。为特困、低保对象中的残疾人和低保边缘家庭范围残疾人、孤残儿童等提供康复服务。</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2．</w:t>
            </w:r>
            <w:r>
              <w:rPr>
                <w:rFonts w:hint="eastAsia" w:ascii="方正仿宋_GBK" w:hAnsi="方正仿宋_GBK" w:eastAsia="方正仿宋_GBK" w:cs="方正仿宋_GBK"/>
                <w:b/>
                <w:bCs/>
                <w:sz w:val="24"/>
                <w:szCs w:val="24"/>
              </w:rPr>
              <w:t>残疾儿童康复救助项目</w:t>
            </w:r>
            <w:r>
              <w:rPr>
                <w:rFonts w:hint="eastAsia" w:ascii="方正仿宋_GBK" w:hAnsi="方正仿宋_GBK" w:eastAsia="方正仿宋_GBK" w:cs="方正仿宋_GBK"/>
                <w:sz w:val="24"/>
                <w:szCs w:val="24"/>
              </w:rPr>
              <w:t>。为符合条件的残疾儿童提供手术、辅助器具适配、康复训练等服务。</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3．</w:t>
            </w:r>
            <w:r>
              <w:rPr>
                <w:rFonts w:hint="eastAsia" w:ascii="方正仿宋_GBK" w:hAnsi="方正仿宋_GBK" w:eastAsia="方正仿宋_GBK" w:cs="方正仿宋_GBK"/>
                <w:b/>
                <w:bCs/>
                <w:sz w:val="24"/>
                <w:szCs w:val="24"/>
              </w:rPr>
              <w:t>精神卫生综合管理服务</w:t>
            </w:r>
            <w:r>
              <w:rPr>
                <w:rFonts w:hint="eastAsia" w:ascii="方正仿宋_GBK" w:hAnsi="方正仿宋_GBK" w:eastAsia="方正仿宋_GBK" w:cs="方正仿宋_GBK"/>
                <w:sz w:val="24"/>
                <w:szCs w:val="24"/>
              </w:rPr>
              <w:t>。开展严重精神障碍患者日常发现、登记报告、随访管理、服药指导、社区康复、心理支持和疏导等服务，为家庭照护者提供技能培训、心理支持和疏导等服务。开展精神障碍社区康复服务。</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4．</w:t>
            </w:r>
            <w:r>
              <w:rPr>
                <w:rFonts w:hint="eastAsia" w:ascii="方正仿宋_GBK" w:hAnsi="方正仿宋_GBK" w:eastAsia="方正仿宋_GBK" w:cs="方正仿宋_GBK"/>
                <w:b/>
                <w:bCs/>
                <w:sz w:val="24"/>
                <w:szCs w:val="24"/>
              </w:rPr>
              <w:t>残疾人互助康复项目</w:t>
            </w:r>
            <w:r>
              <w:rPr>
                <w:rFonts w:hint="eastAsia" w:ascii="方正仿宋_GBK" w:hAnsi="方正仿宋_GBK" w:eastAsia="方正仿宋_GBK" w:cs="方正仿宋_GBK"/>
                <w:sz w:val="24"/>
                <w:szCs w:val="24"/>
              </w:rPr>
              <w:t>。推广脊髓损伤者“希望之家”、中途失明者“光明之家”、精神障碍患者家属专家交流互助等残疾人互助康复项目。</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5．</w:t>
            </w:r>
            <w:r>
              <w:rPr>
                <w:rFonts w:hint="eastAsia" w:ascii="方正仿宋_GBK" w:hAnsi="方正仿宋_GBK" w:eastAsia="方正仿宋_GBK" w:cs="方正仿宋_GBK"/>
                <w:b/>
                <w:bCs/>
                <w:sz w:val="24"/>
                <w:szCs w:val="24"/>
              </w:rPr>
              <w:t>康复辅助器具产业培育项目</w:t>
            </w:r>
            <w:r>
              <w:rPr>
                <w:rFonts w:hint="eastAsia" w:ascii="方正仿宋_GBK" w:hAnsi="方正仿宋_GBK" w:eastAsia="方正仿宋_GBK" w:cs="方正仿宋_GBK"/>
                <w:sz w:val="24"/>
                <w:szCs w:val="24"/>
              </w:rPr>
              <w:t>。扶持康复辅助器具产业发展。</w:t>
            </w:r>
          </w:p>
          <w:p>
            <w:pPr>
              <w:spacing w:line="440" w:lineRule="exact"/>
              <w:ind w:firstLine="472" w:firstLineChars="200"/>
              <w:rPr>
                <w:rFonts w:ascii="方正仿宋_GBK" w:hAnsi="方正仿宋_GBK" w:eastAsia="方正仿宋_GBK" w:cs="方正仿宋_GBK"/>
                <w:sz w:val="32"/>
                <w:szCs w:val="32"/>
              </w:rPr>
            </w:pPr>
            <w:r>
              <w:rPr>
                <w:rFonts w:ascii="Times New Roman" w:hAnsi="Times New Roman" w:eastAsia="方正仿宋_GBK"/>
                <w:sz w:val="24"/>
                <w:szCs w:val="24"/>
              </w:rPr>
              <w:t>6．</w:t>
            </w:r>
            <w:r>
              <w:rPr>
                <w:rFonts w:hint="eastAsia" w:ascii="方正仿宋_GBK" w:hAnsi="方正仿宋_GBK" w:eastAsia="方正仿宋_GBK" w:cs="方正仿宋_GBK"/>
                <w:b/>
                <w:bCs/>
                <w:sz w:val="24"/>
                <w:szCs w:val="24"/>
              </w:rPr>
              <w:t>康复专业人才培养项目</w:t>
            </w:r>
            <w:r>
              <w:rPr>
                <w:rFonts w:hint="eastAsia" w:ascii="方正仿宋_GBK" w:hAnsi="方正仿宋_GBK" w:eastAsia="方正仿宋_GBK" w:cs="方正仿宋_GBK"/>
                <w:sz w:val="24"/>
                <w:szCs w:val="24"/>
              </w:rPr>
              <w:t>。加强康复医疗人才队伍建设，开展残疾人康复专业技术人员规范化培训。将康复专业纳入全科医疗、家庭医生、村医等培养培训内容。</w:t>
            </w:r>
          </w:p>
        </w:tc>
      </w:tr>
    </w:tbl>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健全残疾人教育体系。坚持立德树人，促进残疾儿童少年德智体美劳全面发展。严格落实《残疾人教育条例》、《重庆市第三期特殊教育提升计划（</w:t>
      </w:r>
      <w:r>
        <w:rPr>
          <w:rFonts w:ascii="Times New Roman" w:hAnsi="Times New Roman" w:eastAsia="方正仿宋_GBK"/>
          <w:sz w:val="32"/>
          <w:szCs w:val="32"/>
        </w:rPr>
        <w:t>2021-2025</w:t>
      </w:r>
      <w:r>
        <w:rPr>
          <w:rFonts w:hint="eastAsia" w:ascii="方正仿宋_GBK" w:hAnsi="方正仿宋_GBK" w:eastAsia="方正仿宋_GBK" w:cs="方正仿宋_GBK"/>
          <w:sz w:val="32"/>
          <w:szCs w:val="32"/>
        </w:rPr>
        <w:t>年）》，充分发挥沙坪坝区人文教育优势，打造良好文教环境。构建开放包容、和谐共生的残疾人教育发展新模式，积极培育特色鲜明、效益显著的残疾人培训新产业。优化适龄残疾儿童少年“一人一案”科学教育安置。加快发展医教、康教相结合的残疾儿童学前教育。鼓励符合条件的康复机构和儿童福利机构接收残疾儿童并按标准提供教育康复服务。进一步提升融合教育质量，逐步建立随班就读支持保障体系，招收残疾学生较多的学校要建立特殊教育资源教室、配备专职资源教师。规范送教上门工作，探索医教结合的送教上门新形式。着力发展以职业教育为重点的残疾人高中阶段教育，使完成义务教育且有意愿的残疾青少年都能接受适宜的职业教育。大力推进残疾人高等教育，实施残疾大学生个性化就业支持和跟踪服务为主要内容的残疾人高等教育资源服务项目。建立健全从学前到研究生教育全覆盖的学生资助政策，对家庭经济困难的残疾学生予以资助。为残疾学生提供辅助器具、特殊学习用品、康复训练和无障碍等支持服务，为残疾考生参加各级各类考试提供合理便利。</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善特殊教育保障机制。逐步建立健全布局合理、学段衔接、普职融通的特殊教育体系。逐步将听力、言语、视力、智力残疾儿童教育向学前教育及以下延伸，支持符合条件的儿童福利机构单独设立特教班、特教幼儿园、特教学校开展特殊教育。积极探索以随班就读为主体、以特殊教育学校为骨干、以特殊教育资源中心为支撑、以送教上门和社区教育为补充的特殊教育格局，为各类残疾儿童提供教育、康复和保健服务。改善特殊教育学校办学条件，加强对普通学校实施融合教育的指导和支持。鼓励有条件的高校师范类专业开设特教课程，加强特教老师定向培养。支持各级各类网络学校和网络课程面向残疾人服务，提高特殊教育信息化水平。加强特殊教育教师队伍建设，配齐配足特教教师，加大对特殊教育学校教师、承担残疾学生教学和管理工作的普通学校教师的培训力度。实施《第二期国家手语和盲文规范化行动计划（</w:t>
      </w:r>
      <w:r>
        <w:rPr>
          <w:rFonts w:ascii="Times New Roman" w:hAnsi="Times New Roman" w:eastAsia="方正仿宋_GBK"/>
          <w:sz w:val="32"/>
          <w:szCs w:val="32"/>
        </w:rPr>
        <w:t>2021-2025</w:t>
      </w:r>
      <w:r>
        <w:rPr>
          <w:rFonts w:hint="eastAsia" w:ascii="方正仿宋_GBK" w:hAnsi="方正仿宋_GBK" w:eastAsia="方正仿宋_GBK" w:cs="方正仿宋_GBK"/>
          <w:sz w:val="32"/>
          <w:szCs w:val="32"/>
        </w:rPr>
        <w:t>年）》，加快推广国家通用手语和国家通用盲文。</w:t>
      </w:r>
    </w:p>
    <w:tbl>
      <w:tblPr>
        <w:tblStyle w:val="15"/>
        <w:tblW w:w="8925" w:type="dxa"/>
        <w:jc w:val="center"/>
        <w:tblLayout w:type="fixed"/>
        <w:tblCellMar>
          <w:top w:w="0" w:type="dxa"/>
          <w:left w:w="0" w:type="dxa"/>
          <w:bottom w:w="0" w:type="dxa"/>
          <w:right w:w="0" w:type="dxa"/>
        </w:tblCellMar>
      </w:tblPr>
      <w:tblGrid>
        <w:gridCol w:w="8925"/>
      </w:tblGrid>
      <w:tr>
        <w:tblPrEx>
          <w:tblCellMar>
            <w:top w:w="0" w:type="dxa"/>
            <w:left w:w="0" w:type="dxa"/>
            <w:bottom w:w="0" w:type="dxa"/>
            <w:right w:w="0" w:type="dxa"/>
          </w:tblCellMar>
        </w:tblPrEx>
        <w:trPr>
          <w:trHeight w:val="90" w:hRule="atLeast"/>
          <w:jc w:val="center"/>
        </w:trPr>
        <w:tc>
          <w:tcPr>
            <w:tcW w:w="8925" w:type="dxa"/>
            <w:tcBorders>
              <w:bottom w:val="single" w:color="auto" w:sz="4" w:space="0"/>
            </w:tcBorders>
            <w:noWrap w:val="0"/>
            <w:tcMar>
              <w:top w:w="0" w:type="dxa"/>
              <w:left w:w="108" w:type="dxa"/>
              <w:bottom w:w="0" w:type="dxa"/>
              <w:right w:w="108" w:type="dxa"/>
            </w:tcMar>
            <w:vAlign w:val="top"/>
          </w:tcPr>
          <w:p>
            <w:pPr>
              <w:spacing w:line="594" w:lineRule="exact"/>
              <w:jc w:val="cente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专栏6　残疾人教育重点项目</w:t>
            </w:r>
          </w:p>
        </w:tc>
      </w:tr>
      <w:tr>
        <w:tblPrEx>
          <w:tblCellMar>
            <w:top w:w="0" w:type="dxa"/>
            <w:left w:w="0" w:type="dxa"/>
            <w:bottom w:w="0" w:type="dxa"/>
            <w:right w:w="0" w:type="dxa"/>
          </w:tblCellMar>
        </w:tblPrEx>
        <w:trPr>
          <w:trHeight w:val="540" w:hRule="atLeast"/>
          <w:jc w:val="center"/>
        </w:trPr>
        <w:tc>
          <w:tcPr>
            <w:tcW w:w="89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1．</w:t>
            </w:r>
            <w:r>
              <w:rPr>
                <w:rFonts w:hint="eastAsia" w:ascii="方正仿宋_GBK" w:hAnsi="方正仿宋_GBK" w:eastAsia="方正仿宋_GBK" w:cs="方正仿宋_GBK"/>
                <w:b/>
                <w:bCs/>
                <w:sz w:val="24"/>
                <w:szCs w:val="24"/>
              </w:rPr>
              <w:t>残疾儿童少年义务教育巩固提高项目</w:t>
            </w:r>
            <w:r>
              <w:rPr>
                <w:rFonts w:hint="eastAsia" w:ascii="方正仿宋_GBK" w:hAnsi="方正仿宋_GBK" w:eastAsia="方正仿宋_GBK" w:cs="方正仿宋_GBK"/>
                <w:sz w:val="24"/>
                <w:szCs w:val="24"/>
              </w:rPr>
              <w:t>。规范设立残疾人教育专家委员会，对适龄残疾儿童少年入学需求进行排查和评估，给予科学的教育安置。规范送教上门工作。</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2．</w:t>
            </w:r>
            <w:r>
              <w:rPr>
                <w:rFonts w:hint="eastAsia" w:ascii="方正仿宋_GBK" w:hAnsi="方正仿宋_GBK" w:eastAsia="方正仿宋_GBK" w:cs="方正仿宋_GBK"/>
                <w:b/>
                <w:bCs/>
                <w:sz w:val="24"/>
                <w:szCs w:val="24"/>
              </w:rPr>
              <w:t>残疾幼儿学前康复教育发展项目</w:t>
            </w:r>
            <w:r>
              <w:rPr>
                <w:rFonts w:hint="eastAsia" w:ascii="方正仿宋_GBK" w:hAnsi="方正仿宋_GBK" w:eastAsia="方正仿宋_GBK" w:cs="方正仿宋_GBK"/>
                <w:sz w:val="24"/>
                <w:szCs w:val="24"/>
              </w:rPr>
              <w:t>。鼓励普通幼儿园招收具有接受普通教育能力的残疾幼儿。支持特殊教育学校和残疾儿童康复机构、儿童福利机构开展学前康复教育，建立残疾儿童学前康复教育机构，加强公办残疾儿童学前教育康复机构建设，支持视力、听力、智力残疾儿童和孤独症儿童接受学前康复教育。</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3．</w:t>
            </w:r>
            <w:r>
              <w:rPr>
                <w:rFonts w:hint="eastAsia" w:ascii="方正仿宋_GBK" w:hAnsi="方正仿宋_GBK" w:eastAsia="方正仿宋_GBK" w:cs="方正仿宋_GBK"/>
                <w:b/>
                <w:bCs/>
                <w:sz w:val="24"/>
                <w:szCs w:val="24"/>
              </w:rPr>
              <w:t>残疾人职业教育提升项目</w:t>
            </w:r>
            <w:r>
              <w:rPr>
                <w:rFonts w:hint="eastAsia" w:ascii="方正仿宋_GBK" w:hAnsi="方正仿宋_GBK" w:eastAsia="方正仿宋_GBK" w:cs="方正仿宋_GBK"/>
                <w:sz w:val="24"/>
                <w:szCs w:val="24"/>
              </w:rPr>
              <w:t>。鼓励残疾人接受中高等职业教育。支持普通职业院校招收具有接受普通教育能力的残疾学生，支持特殊教育学校与普通职业院校联合开展残疾人职业教育。支持中高等职业院校（含特教学校中职部）加强实训基地建设，为残疾学生实习实训提供保障和便利。</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4．</w:t>
            </w:r>
            <w:r>
              <w:rPr>
                <w:rFonts w:hint="eastAsia" w:ascii="方正仿宋_GBK" w:hAnsi="方正仿宋_GBK" w:eastAsia="方正仿宋_GBK" w:cs="方正仿宋_GBK"/>
                <w:b/>
                <w:bCs/>
                <w:sz w:val="24"/>
                <w:szCs w:val="24"/>
              </w:rPr>
              <w:t>融合教育推广项目</w:t>
            </w:r>
            <w:r>
              <w:rPr>
                <w:rFonts w:hint="eastAsia" w:ascii="方正仿宋_GBK" w:hAnsi="方正仿宋_GBK" w:eastAsia="方正仿宋_GBK" w:cs="方正仿宋_GBK"/>
                <w:sz w:val="24"/>
                <w:szCs w:val="24"/>
              </w:rPr>
              <w:t>。鼓励普通学校招收残疾儿童少年，同等条件下在招生片区内就近就便优先安排残疾儿童少年入学。设置随班就读区域资源中心或资源教室，配备必要的教育教学、康复训练设施设备和专业人员。</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5．</w:t>
            </w:r>
            <w:r>
              <w:rPr>
                <w:rFonts w:hint="eastAsia" w:ascii="方正仿宋_GBK" w:hAnsi="方正仿宋_GBK" w:eastAsia="方正仿宋_GBK" w:cs="方正仿宋_GBK"/>
                <w:b/>
                <w:bCs/>
                <w:sz w:val="24"/>
                <w:szCs w:val="24"/>
              </w:rPr>
              <w:t>特殊教育师资培养项目</w:t>
            </w:r>
            <w:r>
              <w:rPr>
                <w:rFonts w:hint="eastAsia" w:ascii="方正仿宋_GBK" w:hAnsi="方正仿宋_GBK" w:eastAsia="方正仿宋_GBK" w:cs="方正仿宋_GBK"/>
                <w:sz w:val="24"/>
                <w:szCs w:val="24"/>
              </w:rPr>
              <w:t>。提高师范类特殊教育专业质量和水平，支持高校残疾人毕业生从事特殊教育。</w:t>
            </w:r>
          </w:p>
          <w:p>
            <w:pPr>
              <w:spacing w:line="440" w:lineRule="exact"/>
              <w:ind w:firstLine="472" w:firstLineChars="200"/>
              <w:rPr>
                <w:rFonts w:ascii="方正仿宋_GBK" w:hAnsi="方正仿宋_GBK" w:eastAsia="方正仿宋_GBK" w:cs="方正仿宋_GBK"/>
                <w:sz w:val="32"/>
                <w:szCs w:val="32"/>
              </w:rPr>
            </w:pPr>
            <w:r>
              <w:rPr>
                <w:rFonts w:ascii="Times New Roman" w:hAnsi="Times New Roman" w:eastAsia="方正仿宋_GBK"/>
                <w:sz w:val="24"/>
                <w:szCs w:val="24"/>
              </w:rPr>
              <w:t>6．</w:t>
            </w:r>
            <w:r>
              <w:rPr>
                <w:rFonts w:hint="eastAsia" w:ascii="方正仿宋_GBK" w:hAnsi="方正仿宋_GBK" w:eastAsia="方正仿宋_GBK" w:cs="方正仿宋_GBK"/>
                <w:b/>
                <w:bCs/>
                <w:sz w:val="24"/>
                <w:szCs w:val="24"/>
              </w:rPr>
              <w:t>手语盲文推广项目</w:t>
            </w:r>
            <w:r>
              <w:rPr>
                <w:rFonts w:hint="eastAsia" w:ascii="方正仿宋_GBK" w:hAnsi="方正仿宋_GBK" w:eastAsia="方正仿宋_GBK" w:cs="方正仿宋_GBK"/>
                <w:sz w:val="24"/>
                <w:szCs w:val="24"/>
              </w:rPr>
              <w:t>。加强国家通用手语和盲文推广，开展面向公共服务行业的国家通用手语推广。加强手语、盲文研究推广人才培养。</w:t>
            </w:r>
          </w:p>
        </w:tc>
      </w:tr>
    </w:tbl>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促进残疾人文化服务高质量发展。坚持以社会主义核心价值观为引领，推动残疾人文化事业和文化产业繁荣发展。以基层残疾群众文化需求为导向，扩大“文体进社区”项目覆盖面，持续开展“残疾人文化周”“五个一”文化进家庭、进社区等残疾人群众性文化活动。鼓励残疾人参加“书香中国·阅读有我”“书香有爱·阅读无碍”等公共文化活动。扶持残疾人特殊艺术种类的挖掘和培育工作，加强重度残疾人文化服务，为盲人、聋人提供无障碍文化服务。扶持盲文读物、有声读物、残疾人题材图书和音像制品出版，开发视听读物。鼓励和支持区内公共图书馆设立盲文读物、盲人有声读物图书室，增加盲文、有声和大字读物的种类、数量。争取公共媒体无偿刊登、播放宣传残疾人事业的公益广告。挖掘培育残疾人特殊艺术种类，鼓励公共文化服务机构创作更多适合残疾人的优秀文艺作品，鼓励扶持残疾人参与文学、工艺手工、书法美术、表演艺术等创作。大力发展残疾人文化创意产业。打造残疾人文化产业品牌，活跃残疾人文化产业市场。发展残疾人特殊艺术，加强残疾人特殊艺术人才培养，鼓励残疾人参与文化艺术创作和非物质文化遗产传承。组织开展残疾人特殊艺术巡演，组织残疾人参加第七届全市残疾人艺术汇演。扶持残疾人艺术团体建设和发展。</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推动残疾人体育事业全面发展。加强公共文化体育设施建设，实施“残疾人体育健身计划”，推动残疾人康复体育和健身体育广泛开展，推动残疾人体育进社区、进家庭。</w:t>
      </w:r>
      <w:r>
        <w:rPr>
          <w:rFonts w:hint="eastAsia" w:ascii="方正仿宋_GBK" w:hAnsi="方正仿宋_GBK" w:eastAsia="方正仿宋_GBK" w:cs="方正仿宋_GBK"/>
          <w:color w:val="000000"/>
          <w:sz w:val="32"/>
          <w:szCs w:val="32"/>
        </w:rPr>
        <w:t>区内公共文化体育设施和公园等公共场所应当对残疾人免费或优惠开放，</w:t>
      </w:r>
      <w:r>
        <w:rPr>
          <w:rFonts w:hint="eastAsia" w:ascii="方正仿宋_GBK" w:hAnsi="方正仿宋_GBK" w:eastAsia="方正仿宋_GBK" w:cs="方正仿宋_GBK"/>
          <w:sz w:val="32"/>
          <w:szCs w:val="32"/>
        </w:rPr>
        <w:t>区内体育场（馆）等公共活动场所应当为残疾人开展的特定文化体育活动提供方便并减免相关费用。实施残疾人康复体育关爱家庭计划，建成一批残疾人运动员训练基地，一批残疾人体育健身示范点，普及一批适合残疾人的体育健身项目。开展残疾人锦标赛和各残疾类别的赛事活动，选拔推荐优秀残疾人运动员参加国际国内赛事。实施残疾人康复健身体育行动，将残疾人作为重点人群纳入全民健身公共服务体系建设，组织残疾人参加各级各类全民健身活动，推动残疾人康复健身体育身边化服务。探索残健体育融合发展机制，探索举办残健体育融合赛事。</w:t>
      </w:r>
    </w:p>
    <w:tbl>
      <w:tblPr>
        <w:tblStyle w:val="15"/>
        <w:tblW w:w="8925" w:type="dxa"/>
        <w:jc w:val="center"/>
        <w:tblLayout w:type="fixed"/>
        <w:tblCellMar>
          <w:top w:w="0" w:type="dxa"/>
          <w:left w:w="0" w:type="dxa"/>
          <w:bottom w:w="0" w:type="dxa"/>
          <w:right w:w="0" w:type="dxa"/>
        </w:tblCellMar>
      </w:tblPr>
      <w:tblGrid>
        <w:gridCol w:w="8925"/>
      </w:tblGrid>
      <w:tr>
        <w:tblPrEx>
          <w:tblCellMar>
            <w:top w:w="0" w:type="dxa"/>
            <w:left w:w="0" w:type="dxa"/>
            <w:bottom w:w="0" w:type="dxa"/>
            <w:right w:w="0" w:type="dxa"/>
          </w:tblCellMar>
        </w:tblPrEx>
        <w:trPr>
          <w:trHeight w:val="90" w:hRule="atLeast"/>
          <w:jc w:val="center"/>
        </w:trPr>
        <w:tc>
          <w:tcPr>
            <w:tcW w:w="8925" w:type="dxa"/>
            <w:tcBorders>
              <w:bottom w:val="single" w:color="auto" w:sz="4" w:space="0"/>
            </w:tcBorders>
            <w:noWrap w:val="0"/>
            <w:tcMar>
              <w:top w:w="0" w:type="dxa"/>
              <w:left w:w="108" w:type="dxa"/>
              <w:bottom w:w="0" w:type="dxa"/>
              <w:right w:w="108" w:type="dxa"/>
            </w:tcMar>
            <w:vAlign w:val="top"/>
          </w:tcPr>
          <w:p>
            <w:pPr>
              <w:spacing w:line="594" w:lineRule="exact"/>
              <w:jc w:val="cente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专栏7　残疾人文化、体育服务重点项目</w:t>
            </w:r>
          </w:p>
        </w:tc>
      </w:tr>
      <w:tr>
        <w:tblPrEx>
          <w:tblCellMar>
            <w:top w:w="0" w:type="dxa"/>
            <w:left w:w="0" w:type="dxa"/>
            <w:bottom w:w="0" w:type="dxa"/>
            <w:right w:w="0" w:type="dxa"/>
          </w:tblCellMar>
        </w:tblPrEx>
        <w:trPr>
          <w:trHeight w:val="540" w:hRule="atLeast"/>
          <w:jc w:val="center"/>
        </w:trPr>
        <w:tc>
          <w:tcPr>
            <w:tcW w:w="89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1．</w:t>
            </w:r>
            <w:r>
              <w:rPr>
                <w:rFonts w:hint="eastAsia" w:ascii="方正仿宋_GBK" w:hAnsi="方正仿宋_GBK" w:eastAsia="方正仿宋_GBK" w:cs="方正仿宋_GBK"/>
                <w:b/>
                <w:bCs/>
                <w:sz w:val="24"/>
                <w:szCs w:val="24"/>
              </w:rPr>
              <w:t>“五个一”文化进家庭、进社区项目。</w:t>
            </w:r>
            <w:r>
              <w:rPr>
                <w:rFonts w:hint="eastAsia" w:ascii="方正仿宋_GBK" w:hAnsi="方正仿宋_GBK" w:eastAsia="方正仿宋_GBK" w:cs="方正仿宋_GBK"/>
                <w:sz w:val="24"/>
                <w:szCs w:val="24"/>
              </w:rPr>
              <w:t>为重度残疾人家庭开展“五个一”（读一本书、看一场电影、游一次园、参观一次展览、参加一次文体活动）文化服务。依托党群服务中心、养老服务中心和基层文化设施，增添必要的文化设备，创建一批残健融合文化服务示范中心（站、点）。</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2．</w:t>
            </w:r>
            <w:r>
              <w:rPr>
                <w:rFonts w:hint="eastAsia" w:ascii="方正仿宋_GBK" w:hAnsi="方正仿宋_GBK" w:eastAsia="方正仿宋_GBK" w:cs="方正仿宋_GBK"/>
                <w:b/>
                <w:bCs/>
                <w:sz w:val="24"/>
                <w:szCs w:val="24"/>
              </w:rPr>
              <w:t>盲人文化服务项目。</w:t>
            </w:r>
            <w:r>
              <w:rPr>
                <w:rFonts w:hint="eastAsia" w:ascii="方正仿宋_GBK" w:hAnsi="方正仿宋_GBK" w:eastAsia="方正仿宋_GBK" w:cs="方正仿宋_GBK"/>
                <w:sz w:val="24"/>
                <w:szCs w:val="24"/>
              </w:rPr>
              <w:t>为盲人提供盲文读物、有声读物、大字读物、数字阅读等产品和服务。继续开展盲人数字阅读推广工程。推动公共图书馆盲人阅览室（区）建设，增加公共图书馆盲文图书和视听文献资源。</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3．</w:t>
            </w:r>
            <w:r>
              <w:rPr>
                <w:rFonts w:hint="eastAsia" w:ascii="方正仿宋_GBK" w:hAnsi="方正仿宋_GBK" w:eastAsia="方正仿宋_GBK" w:cs="方正仿宋_GBK"/>
                <w:b/>
                <w:bCs/>
                <w:sz w:val="24"/>
                <w:szCs w:val="24"/>
              </w:rPr>
              <w:t>聋人文化服务项目</w:t>
            </w:r>
            <w:r>
              <w:rPr>
                <w:rFonts w:hint="eastAsia" w:ascii="方正仿宋_GBK" w:hAnsi="方正仿宋_GBK" w:eastAsia="方正仿宋_GBK" w:cs="方正仿宋_GBK"/>
                <w:sz w:val="24"/>
                <w:szCs w:val="24"/>
              </w:rPr>
              <w:t>。推动区电视台提供实时字幕或开播国家通用手语的节目。</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4．</w:t>
            </w:r>
            <w:r>
              <w:rPr>
                <w:rFonts w:hint="eastAsia" w:ascii="方正仿宋_GBK" w:hAnsi="方正仿宋_GBK" w:eastAsia="方正仿宋_GBK" w:cs="方正仿宋_GBK"/>
                <w:b/>
                <w:bCs/>
                <w:sz w:val="24"/>
                <w:szCs w:val="24"/>
              </w:rPr>
              <w:t>特殊艺术推广项目</w:t>
            </w:r>
            <w:r>
              <w:rPr>
                <w:rFonts w:hint="eastAsia" w:ascii="方正仿宋_GBK" w:hAnsi="方正仿宋_GBK" w:eastAsia="方正仿宋_GBK" w:cs="方正仿宋_GBK"/>
                <w:sz w:val="24"/>
                <w:szCs w:val="24"/>
              </w:rPr>
              <w:t>。建立残疾人特殊艺术基地。鼓励残疾人参与文化艺术创作，支持残疾儿童少年艺术教育。</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5．</w:t>
            </w:r>
            <w:r>
              <w:rPr>
                <w:rFonts w:hint="eastAsia" w:ascii="方正仿宋_GBK" w:hAnsi="方正仿宋_GBK" w:eastAsia="方正仿宋_GBK" w:cs="方正仿宋_GBK"/>
                <w:b/>
                <w:bCs/>
                <w:sz w:val="24"/>
                <w:szCs w:val="24"/>
              </w:rPr>
              <w:t>残疾人文化产业发展项目</w:t>
            </w:r>
            <w:r>
              <w:rPr>
                <w:rFonts w:hint="eastAsia" w:ascii="方正仿宋_GBK" w:hAnsi="方正仿宋_GBK" w:eastAsia="方正仿宋_GBK" w:cs="方正仿宋_GBK"/>
                <w:sz w:val="24"/>
                <w:szCs w:val="24"/>
              </w:rPr>
              <w:t>。支持重点文化产业基地发展。</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6．</w:t>
            </w:r>
            <w:r>
              <w:rPr>
                <w:rFonts w:hint="eastAsia" w:ascii="方正仿宋_GBK" w:hAnsi="方正仿宋_GBK" w:eastAsia="方正仿宋_GBK" w:cs="方正仿宋_GBK"/>
                <w:b/>
                <w:bCs/>
                <w:sz w:val="24"/>
                <w:szCs w:val="24"/>
              </w:rPr>
              <w:t>残疾人竞技体育提升行动</w:t>
            </w:r>
            <w:r>
              <w:rPr>
                <w:rFonts w:hint="eastAsia" w:ascii="方正仿宋_GBK" w:hAnsi="方正仿宋_GBK" w:eastAsia="方正仿宋_GBK" w:cs="方正仿宋_GBK"/>
                <w:sz w:val="24"/>
                <w:szCs w:val="24"/>
              </w:rPr>
              <w:t>。为参加训练的残疾运动员提供保障和服务，组队参加各类残疾人运动会和残疾人专项体育活动，不断提升残疾人运动员竞技体育水平。</w:t>
            </w:r>
          </w:p>
          <w:p>
            <w:pPr>
              <w:spacing w:line="440" w:lineRule="exact"/>
              <w:ind w:firstLine="472" w:firstLineChars="200"/>
              <w:rPr>
                <w:rFonts w:ascii="方正仿宋_GBK" w:hAnsi="方正仿宋_GBK" w:eastAsia="方正仿宋_GBK" w:cs="方正仿宋_GBK"/>
                <w:sz w:val="32"/>
                <w:szCs w:val="32"/>
              </w:rPr>
            </w:pPr>
            <w:r>
              <w:rPr>
                <w:rFonts w:ascii="Times New Roman" w:hAnsi="Times New Roman" w:eastAsia="方正仿宋_GBK"/>
                <w:sz w:val="24"/>
                <w:szCs w:val="24"/>
              </w:rPr>
              <w:t>7.</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b/>
                <w:bCs/>
                <w:sz w:val="24"/>
                <w:szCs w:val="24"/>
              </w:rPr>
              <w:t>残疾人康复健身体育行动</w:t>
            </w:r>
            <w:r>
              <w:rPr>
                <w:rFonts w:hint="eastAsia" w:ascii="方正仿宋_GBK" w:hAnsi="方正仿宋_GBK" w:eastAsia="方正仿宋_GBK" w:cs="方正仿宋_GBK"/>
                <w:sz w:val="24"/>
                <w:szCs w:val="24"/>
              </w:rPr>
              <w:t>。推广适合残疾人的康复健身体育项目、方法。设立残疾人文体示范点，培养残疾人康复健身社会体育指导员。为重度残疾人提供康复体育进家庭服务。组织残疾人参加“残疾人冰雪运动季”“残疾人健身周”“全国特奥日”等群众性体育品牌活动。</w:t>
            </w:r>
          </w:p>
        </w:tc>
      </w:tr>
    </w:tbl>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残疾人服务标准化和行业管理。扶持各类残疾人服务机构发展，优先扶持公益性、普惠性残疾人服务机构，支持残疾人服务机构连锁化、品牌化运营。大力发展残疾人服务中小企业，扶持一批残疾人服务龙头企业，培育推广残疾人服务品牌和先进技术。着力推动残疾人辅助器具、康复护理、托养照料、生活服务、无障碍产品服务等产业发展，使残疾人康复护理、托养照料和生活服务产业形成一定规模。针对残疾人面临的意外伤害、康复护理、托养等问题，鼓励信托、保险公司开发符合残疾人需求的金融产品。加强残疾人服务行业管理，推进残疾人公共服务标准化建设，加强各类残疾人服务机构规范化建设，强化质量控制和绩效评价。</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进基础设施和信息化建设。推进残疾人综合服务设施建设，实现区级残疾人服务设施全覆盖。统筹规划城乡残疾人服务设施配套建设，实现合理布局，扩大覆盖范围，加强规范运营管理，镇（街道）、村（社区）为残疾人服务提供场地保障。加强特色教育学校、残疾人服务设施和基层残疾人组织的信息基础设施建设。争取残疾人等专业服务设施建设在立项、规划和建设用地等方面获得优先安排。倡导社会力量兴办以残疾人为服务对象的公益性医疗、康复、特殊教育、托养照料、社会工作服务等机构和设施。推动残疾人公共服务项目纳入“渝快办”政务服务平台、社会保障卡等加载残疾人服务功能。完善残疾人人口基础数据库，开展持证残疾人基本状况调查，改进残疾人服务需求和服务供给调查统计，加强残疾人服务数据资源建设。</w:t>
      </w:r>
    </w:p>
    <w:tbl>
      <w:tblPr>
        <w:tblStyle w:val="15"/>
        <w:tblW w:w="8925" w:type="dxa"/>
        <w:jc w:val="center"/>
        <w:tblLayout w:type="fixed"/>
        <w:tblCellMar>
          <w:top w:w="0" w:type="dxa"/>
          <w:left w:w="0" w:type="dxa"/>
          <w:bottom w:w="0" w:type="dxa"/>
          <w:right w:w="0" w:type="dxa"/>
        </w:tblCellMar>
      </w:tblPr>
      <w:tblGrid>
        <w:gridCol w:w="8925"/>
      </w:tblGrid>
      <w:tr>
        <w:tblPrEx>
          <w:tblCellMar>
            <w:top w:w="0" w:type="dxa"/>
            <w:left w:w="0" w:type="dxa"/>
            <w:bottom w:w="0" w:type="dxa"/>
            <w:right w:w="0" w:type="dxa"/>
          </w:tblCellMar>
        </w:tblPrEx>
        <w:trPr>
          <w:trHeight w:val="90" w:hRule="atLeast"/>
          <w:jc w:val="center"/>
        </w:trPr>
        <w:tc>
          <w:tcPr>
            <w:tcW w:w="8925" w:type="dxa"/>
            <w:tcBorders>
              <w:bottom w:val="single" w:color="auto" w:sz="4" w:space="0"/>
            </w:tcBorders>
            <w:noWrap w:val="0"/>
            <w:tcMar>
              <w:top w:w="0" w:type="dxa"/>
              <w:left w:w="108" w:type="dxa"/>
              <w:bottom w:w="0" w:type="dxa"/>
              <w:right w:w="108" w:type="dxa"/>
            </w:tcMar>
            <w:vAlign w:val="top"/>
          </w:tcPr>
          <w:p>
            <w:pPr>
              <w:spacing w:line="594" w:lineRule="exact"/>
              <w:jc w:val="cente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专栏8　基础设施和信息化重点项目</w:t>
            </w:r>
          </w:p>
        </w:tc>
      </w:tr>
      <w:tr>
        <w:tblPrEx>
          <w:tblCellMar>
            <w:top w:w="0" w:type="dxa"/>
            <w:left w:w="0" w:type="dxa"/>
            <w:bottom w:w="0" w:type="dxa"/>
            <w:right w:w="0" w:type="dxa"/>
          </w:tblCellMar>
        </w:tblPrEx>
        <w:trPr>
          <w:trHeight w:val="540" w:hRule="atLeast"/>
          <w:jc w:val="center"/>
        </w:trPr>
        <w:tc>
          <w:tcPr>
            <w:tcW w:w="89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1</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残疾人服务设施建设项目</w:t>
            </w:r>
            <w:r>
              <w:rPr>
                <w:rFonts w:hint="eastAsia" w:ascii="方正仿宋_GBK" w:hAnsi="方正仿宋_GBK" w:eastAsia="方正仿宋_GBK" w:cs="方正仿宋_GBK"/>
                <w:sz w:val="24"/>
                <w:szCs w:val="24"/>
              </w:rPr>
              <w:t>。积极推进区级残疾人康复中心建设，运营好困难失能残疾人集中供养中心，配备专业设备和器材。</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2</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精神卫生福利设施建设项目</w:t>
            </w:r>
            <w:r>
              <w:rPr>
                <w:rFonts w:hint="eastAsia" w:ascii="方正仿宋_GBK" w:hAnsi="方正仿宋_GBK" w:eastAsia="方正仿宋_GBK" w:cs="方正仿宋_GBK"/>
                <w:sz w:val="24"/>
                <w:szCs w:val="24"/>
              </w:rPr>
              <w:t>。优化精神卫生社会福利机构布局，改善现有设施条件，为特殊困难精神障碍患者提供集中照护、康复服务。</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3</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互联网康复项目</w:t>
            </w:r>
            <w:r>
              <w:rPr>
                <w:rFonts w:hint="eastAsia" w:ascii="方正仿宋_GBK" w:hAnsi="方正仿宋_GBK" w:eastAsia="方正仿宋_GBK" w:cs="方正仿宋_GBK"/>
                <w:sz w:val="24"/>
                <w:szCs w:val="24"/>
              </w:rPr>
              <w:t>。探索建立线上线下相结合的康复服务平台。</w:t>
            </w:r>
          </w:p>
          <w:p>
            <w:pPr>
              <w:spacing w:line="44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4</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残疾人就业创业信息化服务平台项目</w:t>
            </w:r>
            <w:r>
              <w:rPr>
                <w:rFonts w:hint="eastAsia" w:ascii="方正仿宋_GBK" w:hAnsi="方正仿宋_GBK" w:eastAsia="方正仿宋_GBK" w:cs="方正仿宋_GBK"/>
                <w:sz w:val="24"/>
                <w:szCs w:val="24"/>
              </w:rPr>
              <w:t>。运行好残疾人职业技能培训管理系统、就业服务管理系统、按比例就业年审系统和盲人医疗按摩人员管理系统，加强系统管理维护应用。</w:t>
            </w:r>
          </w:p>
          <w:p>
            <w:pPr>
              <w:spacing w:line="440" w:lineRule="exact"/>
              <w:ind w:firstLine="472" w:firstLineChars="200"/>
              <w:rPr>
                <w:rFonts w:ascii="方正仿宋_GBK" w:hAnsi="方正仿宋_GBK" w:eastAsia="方正仿宋_GBK" w:cs="方正仿宋_GBK"/>
                <w:sz w:val="32"/>
                <w:szCs w:val="32"/>
              </w:rPr>
            </w:pPr>
            <w:r>
              <w:rPr>
                <w:rFonts w:ascii="Times New Roman" w:hAnsi="Times New Roman" w:eastAsia="方正仿宋_GBK"/>
                <w:sz w:val="24"/>
                <w:szCs w:val="24"/>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残疾人服务大数据建设项目</w:t>
            </w:r>
            <w:r>
              <w:rPr>
                <w:rFonts w:hint="eastAsia" w:ascii="方正仿宋_GBK" w:hAnsi="方正仿宋_GBK" w:eastAsia="方正仿宋_GBK" w:cs="方正仿宋_GBK"/>
                <w:sz w:val="24"/>
                <w:szCs w:val="24"/>
              </w:rPr>
              <w:t>。协助完善重庆市残疾人综合信息管理系统功能，改进残疾人服务需求和服务供给统计调查，推动精准化服务和精细化管理。</w:t>
            </w:r>
          </w:p>
        </w:tc>
      </w:tr>
    </w:tbl>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成渝地区双城经济圈残疾人事业协同发展。与成都市青白江区残联建立常态化交流与合作机制，加强总体设计，促进战略协同、政策衔接和工作对接。充分发挥两地残联系统在残疾人信息数据资源、康复服务、就业服务、文化体育活动、助残社会组织培育、权益保障等方面的比较优势，促进残疾人事业发展各类资源要素合理流动和高效聚集。落实残疾人公共服务事项“川渝通办”。</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快推进残疾人事业高质量发展示范区建设。加快沙坪坝区残疾人事业高质量发展示范区建设，以打造“沙磁”系列服务品牌为重点，加强政策、资金支持力度，创新推动出台一批惠残助残特惠政策，打造在全国有影响力的残疾人服务品牌。</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第四节 深化残联群团改革</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巩固残联组织建设。残联组织履行好“代表、服务、管理”职能，发挥好桥梁纽带作用，为残疾人解难，为党和政府分忧，把残疾人紧紧凝聚在党的周围，听党话、跟党走。深化残联改革建设，加强残联组织建设和服务创新，增强工作活力。强化镇（街道）残联建设，加强和改进残疾人专门协会建设，实现村（社区）残疾人协会全覆盖，逐步提高规范化水平。区残联和镇（街道）要准确掌握残疾人基本服务状况和需求，积极反映残疾人的呼声愿望，协助做好有关法规、政策、规划、标准的宣传和行业管理工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服务能力建设。将残疾人公共服务纳入区、镇（街道）政府公共服务事项清单和村（居）委会承担的社区工作事项清单及协助政府的社区工作事项清单。完备区、镇（街道）、村（社区）三级联动互补的基层残疾人服务网络。镇（街道）普遍建立“阳光家园”“残疾人之家”，推动“渝馨家园”建设，开展集中照护、日间照料、社区康复、辅助性就业等服务。村（居）委会将残疾人作为重点服务对象，开展走访探视、社区照顾、邻里互助等服务，实现“乡乡有设施（机构）、村村有服务内容”。严格规范残疾评定、第三代残疾人证（智能化）换发和残疾人电子证照工作，推进残疾人证“跨省通办”，为残疾人办证提供便利服务。</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加强人才队伍建设。通过专兼挂等多种方式增强残疾人工作力量。重视各级残联残疾人干部、年轻干部、基层干部培养选拔。加强各级残联党风廉政建设和反腐败斗争。区残联机关争取配备</w:t>
      </w:r>
      <w:r>
        <w:rPr>
          <w:rFonts w:ascii="Times New Roman" w:hAnsi="Times New Roman" w:eastAsia="方正仿宋_GBK"/>
          <w:sz w:val="32"/>
          <w:szCs w:val="32"/>
        </w:rPr>
        <w:t>1</w:t>
      </w:r>
      <w:r>
        <w:rPr>
          <w:rFonts w:hint="eastAsia" w:ascii="方正仿宋_GBK" w:hAnsi="方正仿宋_GBK" w:eastAsia="方正仿宋_GBK" w:cs="方正仿宋_GBK"/>
          <w:sz w:val="32"/>
          <w:szCs w:val="32"/>
        </w:rPr>
        <w:t>名残疾人干部。改善镇（街道）残联、村（社区）残协专职委员待遇，加大培训力度，提高工作能力。强化干部教育培训，定期举办优秀残疾人干部和残疾人工作者培训班。加强残疾人服务从业人员在职培训和职业技能培训，加快培养残疾人康复、教育、就业、托养照护、文化体育、社会工作等专业队伍。</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第五节 依法维护残疾人合法权益</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善残疾人权益保障制度体系。严格落实法律法规关于保障残疾人权益的规定，健全残疾人权益保障制度体系，推动残疾人保障法等法律法规有效实施。加大无障碍环境建设力度，推动《重庆市无障碍环境建设与管理规定》全面落实。提高涉及残疾人事业的建议提案办理质量，配合各级人大、政协开展残疾人保障法等法律法规执法检查、视察和调研，促进残疾人平等权利实现。</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残疾人法律服务和权益维护。开展残疾人尊法学法守法用法专项行动。将民法典、残疾人保障法等涉及残疾人权益保障的法律法规宣传教育作为“八五”普法重点内容，利用互联网和新媒体加强普法宣传。将残疾人作为公共法律服务的重点对象，大力推进残疾人法律援助，进一步降低残疾人享受法律援助门槛，扩大残疾人享受法律援助的覆盖面。切实强化残疾人法律救助工作协调机制，建立以各级司法行政部门、法律援助机构提供的法律服务和法律援助为主导，以各级残联、社会力量等提供的法律援助为补充的残疾人法律援助体系。依托各镇（街道）司法所加强残疾人法律救助站建设，完善公共法律服务平台无障碍建设，充分发挥残疾人法律救助工作协调机制作用，为残疾人提供及时有效的法律救助服务。加强对残疾人的司法保护，方便残疾人诉讼。落实残疾人出行相关政策，切实保障残疾人的出行权益。坚决打击侵犯残疾人合法权益的违法犯罪行为。不断拓宽残疾人和残疾人组织民主参与、民主协商渠道，有效保障残疾人的知情权、参与权、表达权、监督权，支持更多残疾人、残疾人亲友和残疾人工作者进入各级人大、政协并提供履职便利。</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善信访工作机制。贯彻落实《重庆市信访条例》，建立“大维权、大接访、大稳定”工作机制，提高信访工作规范化、法治化、专业化水平。坚持发展“枫桥经验”，畅通残疾人信访服务渠道，把握信访工作的主动权，收集和督查解决残疾人反映的合法合理诉求，完善矛盾预警机制、利益表达机制、协商沟通机制，多形式、多渠道准确掌握残疾人思想动态，做好宣传引导、化解矛盾工作，确保残疾群体总体稳定。健全以区残联为骨干，以镇（街道）残联、村（社区）残协为依托的残疾人信访工作网络。发挥“</w:t>
      </w:r>
      <w:r>
        <w:rPr>
          <w:rFonts w:ascii="Times New Roman" w:hAnsi="Times New Roman" w:eastAsia="方正仿宋_GBK"/>
          <w:sz w:val="32"/>
          <w:szCs w:val="32"/>
        </w:rPr>
        <w:t>12385</w:t>
      </w:r>
      <w:r>
        <w:rPr>
          <w:rFonts w:hint="eastAsia" w:ascii="方正仿宋_GBK" w:hAnsi="方正仿宋_GBK" w:eastAsia="方正仿宋_GBK" w:cs="方正仿宋_GBK"/>
          <w:sz w:val="32"/>
          <w:szCs w:val="32"/>
        </w:rPr>
        <w:t>”残疾人服务热线作用，用好残疾人网上信访工作平台，建立健全残疾人权益维护应急处置机制。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升无障碍环境建设管理水平。新建设施严格执行无障碍相关标准规定，在乡村建设行动、城市更新行动、城镇老旧小区改造和居住社区建设中统筹推进无障碍设施建设和改造。推动城市道路、公共交通、社区服务设施、公共服务设施和残疾人服务设施、残疾人集中就业企业等加快开展无障碍设施建设和改造。加快推广无障碍公共厕所。摸清困难重度残疾人家庭无障碍改造需求底数，实施好家庭无障碍改造。加强残疾人无障碍应急救助服务。加强无障碍监督，提高全社会无障碍意识，保障残疾人、老年人等通行安全和使用便利。</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助力残疾人共享数字生活。提升信息交流无障碍水平，推广便利普惠的电信服务，加快政府政务、公共服务、电子商务等信息无障碍建设，加快普及互联网网站、移动互联网应用程序和自助公共服务设备无障碍。优化网上咨询、政策解答、网上办理相关业务等便民服务。加强残联公众信息网站的维护和管理，充分发挥公众信息网站宣传和服务功能。探索完善手机或手持终端信息采集途径，推进信息整合共享，运用大数据促进残疾人保障和民生改善。创新推进科技助残，借助移动运营商服务平台，创新残疾人远程服务，借鉴疫情下各行业的远程服务技术，探索为出行不便的残疾人进行远程服务的实践创新。大力发展以互联网为载体、线上线下互动的“互联网+残疾人服务”，丰富现有残联网站、微博、微信等网络平台服务内容，加快发展基于互联网的残疾人需求调查、医疗、康复、养老、教育、就业、社会保障、扶残济困、文化创意等新兴服务。支持研发生产科技水平高、性价比优的信息无障碍终端产品。</w:t>
      </w:r>
    </w:p>
    <w:tbl>
      <w:tblPr>
        <w:tblStyle w:val="15"/>
        <w:tblW w:w="8925" w:type="dxa"/>
        <w:jc w:val="center"/>
        <w:tblLayout w:type="fixed"/>
        <w:tblCellMar>
          <w:top w:w="0" w:type="dxa"/>
          <w:left w:w="0" w:type="dxa"/>
          <w:bottom w:w="0" w:type="dxa"/>
          <w:right w:w="0" w:type="dxa"/>
        </w:tblCellMar>
      </w:tblPr>
      <w:tblGrid>
        <w:gridCol w:w="8925"/>
      </w:tblGrid>
      <w:tr>
        <w:tblPrEx>
          <w:tblCellMar>
            <w:top w:w="0" w:type="dxa"/>
            <w:left w:w="0" w:type="dxa"/>
            <w:bottom w:w="0" w:type="dxa"/>
            <w:right w:w="0" w:type="dxa"/>
          </w:tblCellMar>
        </w:tblPrEx>
        <w:trPr>
          <w:trHeight w:val="90" w:hRule="atLeast"/>
          <w:jc w:val="center"/>
        </w:trPr>
        <w:tc>
          <w:tcPr>
            <w:tcW w:w="8925" w:type="dxa"/>
            <w:tcBorders>
              <w:bottom w:val="single" w:color="auto" w:sz="4" w:space="0"/>
            </w:tcBorders>
            <w:noWrap w:val="0"/>
            <w:tcMar>
              <w:top w:w="0" w:type="dxa"/>
              <w:left w:w="108" w:type="dxa"/>
              <w:bottom w:w="0" w:type="dxa"/>
              <w:right w:w="108" w:type="dxa"/>
            </w:tcMar>
            <w:vAlign w:val="top"/>
          </w:tcPr>
          <w:p>
            <w:pPr>
              <w:spacing w:line="594" w:lineRule="exact"/>
              <w:jc w:val="cente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专栏9　无障碍重点项目</w:t>
            </w:r>
          </w:p>
        </w:tc>
      </w:tr>
      <w:tr>
        <w:tblPrEx>
          <w:tblCellMar>
            <w:top w:w="0" w:type="dxa"/>
            <w:left w:w="0" w:type="dxa"/>
            <w:bottom w:w="0" w:type="dxa"/>
            <w:right w:w="0" w:type="dxa"/>
          </w:tblCellMar>
        </w:tblPrEx>
        <w:trPr>
          <w:trHeight w:val="540" w:hRule="atLeast"/>
          <w:jc w:val="center"/>
        </w:trPr>
        <w:tc>
          <w:tcPr>
            <w:tcW w:w="89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spacing w:line="42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1</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道路交通无障碍</w:t>
            </w:r>
            <w:r>
              <w:rPr>
                <w:rFonts w:hint="eastAsia" w:ascii="方正仿宋_GBK" w:hAnsi="方正仿宋_GBK" w:eastAsia="方正仿宋_GBK" w:cs="方正仿宋_GBK"/>
                <w:sz w:val="24"/>
                <w:szCs w:val="24"/>
              </w:rPr>
              <w:t>。城市主要道路、主要商业区和大型居住区的人行天桥和人行地下通道配备无障碍设施，人行横道交通信号灯逐步完善无障碍服务功能。公共停车场和大型居住区的停车场设置并标明无障碍停车位。民用航空器、客运列车、客运船舶、公共汽车电车、城市轨道交通车辆等公共交通工具逐步配备无障碍设备。</w:t>
            </w:r>
          </w:p>
          <w:p>
            <w:pPr>
              <w:spacing w:line="42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2</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公共服务设施无障碍</w:t>
            </w:r>
            <w:r>
              <w:rPr>
                <w:rFonts w:hint="eastAsia" w:ascii="方正仿宋_GBK" w:hAnsi="方正仿宋_GBK" w:eastAsia="方正仿宋_GBK" w:cs="方正仿宋_GBK"/>
                <w:sz w:val="24"/>
                <w:szCs w:val="24"/>
              </w:rPr>
              <w:t>。加快推动医疗、教育、文化、体育、交通、金融、邮政、商业、旅游、餐饮等公共服务设施和特殊教育、康复、托养、社会福利等残疾人服务设施、残疾人集中就业单位无障碍改造。</w:t>
            </w:r>
          </w:p>
          <w:p>
            <w:pPr>
              <w:spacing w:line="42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3</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社区和家庭无障碍</w:t>
            </w:r>
            <w:r>
              <w:rPr>
                <w:rFonts w:hint="eastAsia" w:ascii="方正仿宋_GBK" w:hAnsi="方正仿宋_GBK" w:eastAsia="方正仿宋_GBK" w:cs="方正仿宋_GBK"/>
                <w:sz w:val="24"/>
                <w:szCs w:val="24"/>
              </w:rPr>
              <w:t>。居住建筑、居住社区建设无障碍设施。为困难重度残疾人家庭实施无障碍改造。</w:t>
            </w:r>
          </w:p>
          <w:p>
            <w:pPr>
              <w:spacing w:line="42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4</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无障碍公共厕所</w:t>
            </w:r>
            <w:r>
              <w:rPr>
                <w:rFonts w:hint="eastAsia" w:ascii="方正仿宋_GBK" w:hAnsi="方正仿宋_GBK" w:eastAsia="方正仿宋_GBK" w:cs="方正仿宋_GBK"/>
                <w:sz w:val="24"/>
                <w:szCs w:val="24"/>
              </w:rPr>
              <w:t>。加快推进公共服务设施、交通设施、旅游景区等无障碍公共厕所建设。</w:t>
            </w:r>
          </w:p>
          <w:p>
            <w:pPr>
              <w:spacing w:line="42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互联网网站和移动互联网应用程序信息无障碍</w:t>
            </w:r>
            <w:r>
              <w:rPr>
                <w:rFonts w:hint="eastAsia" w:ascii="方正仿宋_GBK" w:hAnsi="方正仿宋_GBK" w:eastAsia="方正仿宋_GBK" w:cs="方正仿宋_GBK"/>
                <w:sz w:val="24"/>
                <w:szCs w:val="24"/>
              </w:rPr>
              <w:t>。加快政府门户网站、政务服务平台和网上办事大厅信息无障碍建设。推动新闻资讯、社交通讯、生活购物、医疗健康、金融服务、学习教育、旅游出行等互联网网站、移动互联网应用程序（</w:t>
            </w:r>
            <w:r>
              <w:rPr>
                <w:rFonts w:ascii="Times New Roman" w:hAnsi="Times New Roman" w:eastAsia="方正仿宋_GBK"/>
                <w:sz w:val="24"/>
                <w:szCs w:val="24"/>
              </w:rPr>
              <w:t>APP</w:t>
            </w:r>
            <w:r>
              <w:rPr>
                <w:rFonts w:hint="eastAsia" w:ascii="方正仿宋_GBK" w:hAnsi="方正仿宋_GBK" w:eastAsia="方正仿宋_GBK" w:cs="方正仿宋_GBK"/>
                <w:sz w:val="24"/>
                <w:szCs w:val="24"/>
              </w:rPr>
              <w:t>）的无障碍改造。</w:t>
            </w:r>
          </w:p>
          <w:p>
            <w:pPr>
              <w:spacing w:line="42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6</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自助服务终端信息无障碍</w:t>
            </w:r>
            <w:r>
              <w:rPr>
                <w:rFonts w:hint="eastAsia" w:ascii="方正仿宋_GBK" w:hAnsi="方正仿宋_GBK" w:eastAsia="方正仿宋_GBK" w:cs="方正仿宋_GBK"/>
                <w:sz w:val="24"/>
                <w:szCs w:val="24"/>
              </w:rPr>
              <w:t>。推进自动售卖设备、医院自助就医设备、银行自动柜员机、地铁自助检票设备、机场自助传真机设备等自助公共服务设备的无障碍改造。</w:t>
            </w:r>
          </w:p>
          <w:p>
            <w:pPr>
              <w:spacing w:line="42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7</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食品药品说明信息无障碍</w:t>
            </w:r>
            <w:r>
              <w:rPr>
                <w:rFonts w:hint="eastAsia" w:ascii="方正仿宋_GBK" w:hAnsi="方正仿宋_GBK" w:eastAsia="方正仿宋_GBK" w:cs="方正仿宋_GBK"/>
                <w:sz w:val="24"/>
                <w:szCs w:val="24"/>
              </w:rPr>
              <w:t>。利用图像识别、二维码等技术加快食品药品信息识别无障碍。</w:t>
            </w:r>
          </w:p>
          <w:p>
            <w:pPr>
              <w:spacing w:line="420" w:lineRule="exact"/>
              <w:ind w:firstLine="472" w:firstLineChars="200"/>
              <w:rPr>
                <w:rFonts w:ascii="方正仿宋_GBK" w:hAnsi="方正仿宋_GBK" w:eastAsia="方正仿宋_GBK" w:cs="方正仿宋_GBK"/>
                <w:sz w:val="24"/>
                <w:szCs w:val="24"/>
              </w:rPr>
            </w:pPr>
            <w:r>
              <w:rPr>
                <w:rFonts w:ascii="Times New Roman" w:hAnsi="Times New Roman" w:eastAsia="方正仿宋_GBK"/>
                <w:sz w:val="24"/>
                <w:szCs w:val="24"/>
              </w:rPr>
              <w:t>8</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应急服务信息无障碍</w:t>
            </w:r>
            <w:r>
              <w:rPr>
                <w:rFonts w:hint="eastAsia" w:ascii="方正仿宋_GBK" w:hAnsi="方正仿宋_GBK" w:eastAsia="方正仿宋_GBK" w:cs="方正仿宋_GBK"/>
                <w:sz w:val="24"/>
                <w:szCs w:val="24"/>
              </w:rPr>
              <w:t>。把国家通用手语、国家通用盲文作为应急语言文字服务内容，政府新闻发布会和电视、网络发布突发公共事件信息时加配字幕和手语，医院、疏散避险场所和集中隔离场所等设置语音、字幕等信息提示装置。</w:t>
            </w:r>
          </w:p>
          <w:p>
            <w:pPr>
              <w:spacing w:line="420" w:lineRule="exact"/>
              <w:ind w:firstLine="472" w:firstLineChars="200"/>
              <w:rPr>
                <w:rFonts w:ascii="方正仿宋_GBK" w:hAnsi="方正仿宋_GBK" w:eastAsia="方正仿宋_GBK" w:cs="方正仿宋_GBK"/>
                <w:sz w:val="32"/>
                <w:szCs w:val="32"/>
              </w:rPr>
            </w:pPr>
            <w:r>
              <w:rPr>
                <w:rFonts w:ascii="Times New Roman" w:hAnsi="Times New Roman" w:eastAsia="方正仿宋_GBK"/>
                <w:sz w:val="24"/>
                <w:szCs w:val="24"/>
              </w:rPr>
              <w:t>9</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政务服务无障碍</w:t>
            </w:r>
            <w:r>
              <w:rPr>
                <w:rFonts w:hint="eastAsia" w:ascii="方正仿宋_GBK" w:hAnsi="方正仿宋_GBK" w:eastAsia="方正仿宋_GBK" w:cs="方正仿宋_GBK"/>
                <w:sz w:val="24"/>
                <w:szCs w:val="24"/>
              </w:rPr>
              <w:t>。政府新闻发布会配备同步速录字幕、手语翻译，鼓励政务服务大厅和公共服务场所为残疾人提供字幕、手语、语音等服务。</w:t>
            </w:r>
          </w:p>
        </w:tc>
      </w:tr>
    </w:tbl>
    <w:p>
      <w:pPr>
        <w:spacing w:line="594" w:lineRule="exact"/>
        <w:jc w:val="center"/>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第四章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保障措施</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第一节 加强组织领导</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党对残疾人工作的领导，强化党委领导、政府负责的领导机制，确保习近平总书记关于残疾人事业的重要指示批示精神和党中央、国务院决策部署有效落实，为残疾人事业发展提供坚强政治保障。完善党委领导、政府负责、部门协同、社会参与、市场推动、残疾人组织充分发挥作用的工作机制。党委、政府应不定期听取残疾人工作汇报，研究部署残疾人事业发展。把残疾人工作列入重要议事日程、为民办事项目，促进残疾人事业与经济社会协调发展，不断提升服务残疾人精准度、覆盖率和品质化。区政府残疾人工作委员会要认真履行职责，充分发挥作用，统筹协调解决残疾人事业高质量发展示范区建设中的重大问题。残工委成员单位要各司其职、齐抓共管、密切配合，共同为残疾人事业高质量发展创造有利条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第二节 优化工作机制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优化管理模式和运行方式。借助区残疾人工作委员会等工作平台，强化各职能部门职责，及时研究解决重大问题，统筹协调有关促进残疾人事业发展的方针、政策、法规、规划的制定和实施，监督检查落实，推动建立残工委内部统筹联动、信息互通、督导通报的工作机制，促进残疾人事业发展。不断优化残疾人参与管理模式，增加残疾人的参与性，坚持“以残疾人为中心，让残疾人当主角”，尊重残疾人的首创精神，引导残疾人积极参与管理服务。大力鼓励残疾人工作创新，加快残疾人事业标准化、信息化和科技应用，为残疾人事业高质量发展注入新动力。完善项目开展机制，建立“需求动态调查—残疾人服务需求分类处理—综合分析—个性化服务供给—信息反馈和过程跟踪—服务评估—绩效评价”的活动项目开展机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第三节 加强资金保障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落实资金保障，加大残保金的增收力度和对残疾人民生保障、残疾人事业发展的财政投入力度，建立稳定的经费保障机制，将残疾人事业经费纳入财政预算。加快构建全方位、全过程、全覆盖的预算绩效管理体系，资金向需求量大、实施效果好、群众满意度高的残疾人服务项目倾斜。完善残疾人事业金融、税收等支持政策，提高本级残保金使用绩效，加强对扶残助残专项资金的监督管理，切实防范廉政风险。引导社会资本、慈善捐赠等资金支持残疾人保障和发展，形成多渠道、多元化投入格局。更好发挥社会资源的作用，有效引导社会力量全面、深入参与残疾人事业发展，积极稳妥推进政府购买残疾人服务工作，强化事前、事中和事后监管，加强对政府购买残疾人服务的质量监控和绩效考评，以实现政府购买服务对残疾人服务供给的放大效应。深入挖掘助残品牌资源，通过打造高质量、高信誉、高效益、低成本的品牌价值，提高残疾人事业的建设成效。加强人力资源对残疾人事业的支持，进一步强化残疾人服务从业人员在职培训和职业技能提升培训。加强学术资源对残疾人事业的支持。</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第四节 动员全社会力量参与残疾人事业</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展助残慈善事业。提升志愿服务专业化、志愿服务品牌化。不断扩大残疾人志愿服务工作覆盖面，提升精细化服务水平，整合社会各界志愿服务力量，进一步夯实志愿服务队伍、搭建志愿服务平台、充实志愿服务项目，推动志愿助残工作制度化、规范化、常态化。努力打造品牌志愿服务，感动、吸纳更多爱心企业、爱心人士、社区居民、高校学生主动投身志愿服务，共同营造良好的扶残助残社会氛围。在“全国助残日”“国际残疾人日”等重要节点，开展系列活动，组织爱心企业、爱心人士共同参与爱心捐赠志愿服务活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进残疾人服务事业社会化、助残组织多元化。充分发挥市场机制作用，加快形成多元化的残疾人服务供给模式，更好地满足残疾人特殊性、多样化、多层次的需求。支持各类社会组织在城乡社区开展助残服务。借鉴先进经验培育社会组织，为残疾人提供社区康复、就业指导、养老服务等。形成助残社会机构库，为持续推进助残社会组织发展提供支撑。</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第五节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营造良好社会氛围</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将扶残助残纳入公民道德建设、文明创建活动和新时代文明实践中心建设，弘扬人道主义精神和扶残助残传统美德，强化宣传引导，</w:t>
      </w:r>
      <w:r>
        <w:rPr>
          <w:rFonts w:hint="eastAsia" w:ascii="方正仿宋_GBK" w:hAnsi="方正仿宋_GBK" w:eastAsia="方正仿宋_GBK" w:cs="方正仿宋_GBK"/>
          <w:color w:val="000000"/>
          <w:sz w:val="32"/>
          <w:szCs w:val="32"/>
          <w:shd w:val="clear" w:color="auto" w:fill="FFFFFF"/>
        </w:rPr>
        <w:t>努力建立多元联动的网络化行动体系</w:t>
      </w:r>
      <w:r>
        <w:rPr>
          <w:rFonts w:hint="eastAsia" w:ascii="方正仿宋_GBK" w:hAnsi="方正仿宋_GBK" w:eastAsia="方正仿宋_GBK" w:cs="方正仿宋_GBK"/>
          <w:color w:val="000000"/>
          <w:sz w:val="32"/>
          <w:szCs w:val="32"/>
        </w:rPr>
        <w:t>，构</w:t>
      </w:r>
      <w:r>
        <w:rPr>
          <w:rFonts w:hint="eastAsia" w:ascii="方正仿宋_GBK" w:hAnsi="方正仿宋_GBK" w:eastAsia="方正仿宋_GBK" w:cs="方正仿宋_GBK"/>
          <w:sz w:val="32"/>
          <w:szCs w:val="32"/>
        </w:rPr>
        <w:t>建网上网下一体、内宣外宣联动的残疾人事业大宣传格局，营造理解、尊重、关心、帮助残疾人的文明社会氛围。利用“全国助残日”、“国际残疾人日”等节日，开展主题突出的宣传活动。用好残疾人事业好新闻评选、残疾人励志报告团等宣传平台和品牌，制作反映残疾人事业发展的宣传文化产品，讲好沙坪坝残疾人故事，鼓励残疾人自尊、自信、自强、自立。加强残疾人事业通讯员队伍建设，提升残疾人事业宣传队伍能力和素质。积极参与全市自强模范暨残疾人工作先进集体和先进个人表彰。</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第六节 落实督导考核</w:t>
      </w:r>
    </w:p>
    <w:p>
      <w:pPr>
        <w:pStyle w:val="11"/>
        <w:keepNext w:val="0"/>
        <w:keepLines w:val="0"/>
        <w:pageBreakBefore w:val="0"/>
        <w:widowControl w:val="0"/>
        <w:tabs>
          <w:tab w:val="right" w:leader="dot" w:pos="8844"/>
        </w:tabs>
        <w:kinsoku/>
        <w:wordWrap/>
        <w:overflowPunct/>
        <w:topLinePunct w:val="0"/>
        <w:autoSpaceDE/>
        <w:autoSpaceDN/>
        <w:bidi w:val="0"/>
        <w:adjustRightInd/>
        <w:snapToGrid/>
        <w:spacing w:before="0" w:after="0" w:line="570" w:lineRule="exact"/>
        <w:ind w:firstLine="632"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落实规划的监督、指导和考核工作。残联及相关政府部门要注重规划实施的评价，加强动态监测和跟踪问效，加强对重大项目的评估监督，及时发现和解决规划执行中的问题。落实残疾人信息统计和监测，提高获取和分析残疾人基本状况和基础数据能力。加强统计队伍建设，定期做好培训、检查、监督、管理工作。持续进行残疾人需求监测评估，开展残疾人基本状况调查工作，借助大数据平台和机构现有软件分析系统，全年适时动态收集残疾人需求数据，开展需求信息分析，为惠残政策制定提供参考和支持。</w:t>
      </w:r>
    </w:p>
    <w:p>
      <w:pPr>
        <w:spacing w:line="594" w:lineRule="exact"/>
        <w:rPr>
          <w:rFonts w:ascii="方正仿宋_GBK" w:hAnsi="方正仿宋_GBK" w:eastAsia="方正仿宋_GBK" w:cs="方正仿宋_GBK"/>
          <w:sz w:val="32"/>
          <w:szCs w:val="32"/>
        </w:rPr>
      </w:pPr>
      <w:r>
        <w:rPr>
          <w:rFonts w:hint="default" w:ascii="Times New Roman" w:hAnsi="Times New Roman" w:eastAsia="方正小标宋_GBK" w:cs="Times New Roman"/>
          <w:b w:val="0"/>
          <w:bCs w:val="0"/>
          <w:color w:val="000000"/>
          <w:sz w:val="32"/>
          <w:szCs w:val="32"/>
          <w:lang w:val="zh-CN"/>
        </w:rPr>
        <w:br w:type="page"/>
      </w:r>
      <w:r>
        <w:rPr>
          <w:rFonts w:hint="eastAsia" w:ascii="方正黑体_GBK" w:hAnsi="方正黑体_GBK" w:eastAsia="方正黑体_GBK" w:cs="方正黑体_GBK"/>
          <w:sz w:val="32"/>
          <w:szCs w:val="32"/>
        </w:rPr>
        <w:t>附件</w:t>
      </w:r>
    </w:p>
    <w:p>
      <w:pPr>
        <w:widowControl/>
        <w:kinsoku w:val="0"/>
        <w:autoSpaceDE w:val="0"/>
        <w:autoSpaceDN w:val="0"/>
        <w:adjustRightInd w:val="0"/>
        <w:snapToGrid w:val="0"/>
        <w:spacing w:before="279" w:line="204" w:lineRule="auto"/>
        <w:ind w:firstLine="3388"/>
        <w:jc w:val="left"/>
        <w:rPr>
          <w:rFonts w:ascii="黑体" w:hAnsi="黑体" w:eastAsia="黑体" w:cs="黑体"/>
          <w:kern w:val="0"/>
          <w:sz w:val="36"/>
          <w:szCs w:val="36"/>
        </w:rPr>
      </w:pPr>
      <w:r>
        <w:rPr>
          <w:rFonts w:hint="eastAsia" w:ascii="黑体" w:hAnsi="黑体" w:eastAsia="黑体" w:cs="黑体"/>
          <w:spacing w:val="-5"/>
          <w:kern w:val="0"/>
          <w:sz w:val="36"/>
          <w:szCs w:val="36"/>
        </w:rPr>
        <w:t>重点任务分工</w:t>
      </w:r>
    </w:p>
    <w:p>
      <w:pPr>
        <w:widowControl/>
        <w:kinsoku w:val="0"/>
        <w:autoSpaceDE w:val="0"/>
        <w:autoSpaceDN w:val="0"/>
        <w:adjustRightInd w:val="0"/>
        <w:snapToGrid w:val="0"/>
        <w:jc w:val="left"/>
        <w:rPr>
          <w:rFonts w:ascii="Arial" w:hAnsi="Arial" w:eastAsia="Arial" w:cs="Arial"/>
          <w:kern w:val="0"/>
          <w:szCs w:val="21"/>
        </w:rPr>
      </w:pPr>
    </w:p>
    <w:p>
      <w:pPr>
        <w:widowControl/>
        <w:kinsoku w:val="0"/>
        <w:autoSpaceDE w:val="0"/>
        <w:autoSpaceDN w:val="0"/>
        <w:adjustRightInd w:val="0"/>
        <w:snapToGrid w:val="0"/>
        <w:jc w:val="left"/>
        <w:rPr>
          <w:rFonts w:ascii="Arial" w:hAnsi="Arial" w:eastAsia="Arial" w:cs="Arial"/>
          <w:kern w:val="0"/>
          <w:szCs w:val="21"/>
        </w:rPr>
      </w:pPr>
    </w:p>
    <w:p>
      <w:pPr>
        <w:widowControl/>
        <w:kinsoku w:val="0"/>
        <w:autoSpaceDE w:val="0"/>
        <w:autoSpaceDN w:val="0"/>
        <w:adjustRightInd w:val="0"/>
        <w:snapToGrid w:val="0"/>
        <w:spacing w:line="175" w:lineRule="exact"/>
        <w:jc w:val="left"/>
        <w:rPr>
          <w:rFonts w:ascii="Arial" w:hAnsi="Arial" w:eastAsia="Arial" w:cs="Arial"/>
          <w:kern w:val="0"/>
          <w:szCs w:val="21"/>
        </w:rPr>
      </w:pPr>
    </w:p>
    <w:tbl>
      <w:tblPr>
        <w:tblStyle w:val="15"/>
        <w:tblW w:w="9011"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4865"/>
        <w:gridCol w:w="1753"/>
        <w:gridCol w:w="17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0" w:type="dxa"/>
            <w:tcBorders>
              <w:top w:val="single" w:color="000000" w:sz="4" w:space="0"/>
              <w:left w:val="single" w:color="000000" w:sz="4" w:space="0"/>
              <w:bottom w:val="single" w:color="000000" w:sz="2" w:space="0"/>
              <w:right w:val="single" w:color="000000" w:sz="2" w:space="0"/>
            </w:tcBorders>
            <w:noWrap w:val="0"/>
            <w:vAlign w:val="top"/>
          </w:tcPr>
          <w:p>
            <w:pPr>
              <w:widowControl/>
              <w:kinsoku w:val="0"/>
              <w:autoSpaceDE w:val="0"/>
              <w:autoSpaceDN w:val="0"/>
              <w:adjustRightInd w:val="0"/>
              <w:snapToGrid w:val="0"/>
              <w:spacing w:before="90" w:line="204" w:lineRule="auto"/>
              <w:jc w:val="center"/>
              <w:rPr>
                <w:rFonts w:ascii="方正黑体_GBK" w:hAnsi="方正黑体_GBK" w:eastAsia="方正黑体_GBK" w:cs="方正黑体_GBK"/>
                <w:kern w:val="0"/>
                <w:sz w:val="28"/>
                <w:szCs w:val="28"/>
              </w:rPr>
            </w:pPr>
            <w:r>
              <w:rPr>
                <w:rFonts w:hint="eastAsia" w:ascii="方正黑体_GBK" w:hAnsi="方正黑体_GBK" w:eastAsia="方正黑体_GBK" w:cs="方正黑体_GBK"/>
                <w:spacing w:val="-3"/>
                <w:kern w:val="0"/>
                <w:sz w:val="28"/>
                <w:szCs w:val="28"/>
              </w:rPr>
              <w:t>序号</w:t>
            </w:r>
          </w:p>
        </w:tc>
        <w:tc>
          <w:tcPr>
            <w:tcW w:w="4865" w:type="dxa"/>
            <w:tcBorders>
              <w:top w:val="single" w:color="000000" w:sz="4" w:space="0"/>
              <w:left w:val="single" w:color="000000" w:sz="2" w:space="0"/>
              <w:bottom w:val="single" w:color="000000" w:sz="2" w:space="0"/>
              <w:right w:val="single" w:color="000000" w:sz="2" w:space="0"/>
            </w:tcBorders>
            <w:noWrap w:val="0"/>
            <w:vAlign w:val="top"/>
          </w:tcPr>
          <w:p>
            <w:pPr>
              <w:widowControl/>
              <w:kinsoku w:val="0"/>
              <w:autoSpaceDE w:val="0"/>
              <w:autoSpaceDN w:val="0"/>
              <w:adjustRightInd w:val="0"/>
              <w:snapToGrid w:val="0"/>
              <w:spacing w:before="87" w:line="204" w:lineRule="auto"/>
              <w:jc w:val="center"/>
              <w:rPr>
                <w:rFonts w:ascii="方正黑体_GBK" w:hAnsi="方正黑体_GBK" w:eastAsia="方正黑体_GBK" w:cs="方正黑体_GBK"/>
                <w:kern w:val="0"/>
                <w:sz w:val="28"/>
                <w:szCs w:val="28"/>
              </w:rPr>
            </w:pPr>
            <w:r>
              <w:rPr>
                <w:rFonts w:hint="eastAsia" w:ascii="方正黑体_GBK" w:hAnsi="方正黑体_GBK" w:eastAsia="方正黑体_GBK" w:cs="方正黑体_GBK"/>
                <w:spacing w:val="-6"/>
                <w:kern w:val="0"/>
                <w:sz w:val="28"/>
                <w:szCs w:val="28"/>
              </w:rPr>
              <w:t>工作任务</w:t>
            </w:r>
          </w:p>
        </w:tc>
        <w:tc>
          <w:tcPr>
            <w:tcW w:w="1753" w:type="dxa"/>
            <w:tcBorders>
              <w:top w:val="single" w:color="000000" w:sz="4" w:space="0"/>
              <w:left w:val="single" w:color="000000" w:sz="2" w:space="0"/>
              <w:bottom w:val="single" w:color="000000" w:sz="2" w:space="0"/>
              <w:right w:val="single" w:color="000000" w:sz="2" w:space="0"/>
            </w:tcBorders>
            <w:noWrap w:val="0"/>
            <w:vAlign w:val="top"/>
          </w:tcPr>
          <w:p>
            <w:pPr>
              <w:widowControl/>
              <w:kinsoku w:val="0"/>
              <w:autoSpaceDE w:val="0"/>
              <w:autoSpaceDN w:val="0"/>
              <w:adjustRightInd w:val="0"/>
              <w:snapToGrid w:val="0"/>
              <w:spacing w:before="86" w:line="204" w:lineRule="auto"/>
              <w:jc w:val="center"/>
              <w:rPr>
                <w:rFonts w:ascii="方正黑体_GBK" w:hAnsi="方正黑体_GBK" w:eastAsia="方正黑体_GBK" w:cs="方正黑体_GBK"/>
                <w:kern w:val="0"/>
                <w:sz w:val="28"/>
                <w:szCs w:val="28"/>
              </w:rPr>
            </w:pPr>
            <w:r>
              <w:rPr>
                <w:rFonts w:hint="eastAsia" w:ascii="方正黑体_GBK" w:hAnsi="方正黑体_GBK" w:eastAsia="方正黑体_GBK" w:cs="方正黑体_GBK"/>
                <w:spacing w:val="-7"/>
                <w:kern w:val="0"/>
                <w:sz w:val="28"/>
                <w:szCs w:val="28"/>
              </w:rPr>
              <w:t>牵头单位</w:t>
            </w:r>
          </w:p>
        </w:tc>
        <w:tc>
          <w:tcPr>
            <w:tcW w:w="1763" w:type="dxa"/>
            <w:tcBorders>
              <w:top w:val="single" w:color="000000" w:sz="4" w:space="0"/>
              <w:left w:val="single" w:color="000000" w:sz="2" w:space="0"/>
              <w:bottom w:val="single" w:color="000000" w:sz="2" w:space="0"/>
              <w:right w:val="single" w:color="000000" w:sz="4" w:space="0"/>
            </w:tcBorders>
            <w:noWrap w:val="0"/>
            <w:vAlign w:val="top"/>
          </w:tcPr>
          <w:p>
            <w:pPr>
              <w:widowControl/>
              <w:kinsoku w:val="0"/>
              <w:autoSpaceDE w:val="0"/>
              <w:autoSpaceDN w:val="0"/>
              <w:adjustRightInd w:val="0"/>
              <w:snapToGrid w:val="0"/>
              <w:spacing w:before="88" w:line="204" w:lineRule="auto"/>
              <w:jc w:val="center"/>
              <w:rPr>
                <w:rFonts w:ascii="方正黑体_GBK" w:hAnsi="方正黑体_GBK" w:eastAsia="方正黑体_GBK" w:cs="方正黑体_GBK"/>
                <w:kern w:val="0"/>
                <w:sz w:val="28"/>
                <w:szCs w:val="28"/>
              </w:rPr>
            </w:pPr>
            <w:r>
              <w:rPr>
                <w:rFonts w:hint="eastAsia" w:ascii="方正黑体_GBK" w:hAnsi="方正黑体_GBK" w:eastAsia="方正黑体_GBK" w:cs="方正黑体_GBK"/>
                <w:spacing w:val="-6"/>
                <w:kern w:val="0"/>
                <w:sz w:val="28"/>
                <w:szCs w:val="28"/>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1</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健全易返贫致贫人口动态监测预警和帮扶机制，将符合条件的残疾人及时纳入易返贫致贫监测范围，对易返贫致贫残疾人及时给予有效帮扶。</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区农业农村委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区民政局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2</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将符合条件的残疾人家庭全部纳入最低生活保障范围，低保边缘家庭中的重度残疾人，经本人申请参照单人户纳入低保。对纳入低保后生活仍有困难的残疾人和残疾人家庭，采取必要措施给予生活保障。</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区民政局</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区财政局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3</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继续实施“阳光家园计划”项目。</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3"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4</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帮助残疾人按规定参加城乡居民养老保险和城乡医疗保险。</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区人力社保局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区医保局</w:t>
            </w:r>
          </w:p>
          <w:p>
            <w:pPr>
              <w:pStyle w:val="3"/>
              <w:ind w:left="0" w:firstLine="0"/>
              <w:jc w:val="center"/>
              <w:rPr>
                <w:rFonts w:eastAsia="方正仿宋_GBK"/>
              </w:rPr>
            </w:pPr>
            <w:r>
              <w:rPr>
                <w:rFonts w:hint="eastAsia" w:ascii="方正仿宋_GBK" w:hAnsi="方正仿宋_GBK" w:eastAsia="方正仿宋_GBK" w:cs="方正仿宋_GBK"/>
                <w:sz w:val="24"/>
                <w:szCs w:val="24"/>
              </w:rPr>
              <w:t>区税务局</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区财政局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8"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5</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适当提高困难残疾人生活补贴和重度残疾人护理补贴标准。在区财力允许基础下，将困难残疾人生活补贴延伸到低收入家庭中的残疾人；将护理补贴延伸到有护理需求的三、四级智力、精神残疾人。</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区民政局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各镇（街道）</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区财政局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6</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为大小便失禁重度残疾人提供护理类辅助器具适配服务。对城乡困难残疾人、重度残疾人基本型辅助器具适配给予补贴。</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区民政局</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区财政局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各镇（街道）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7</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保障残疾人基本住房安全便利。优先解决低收入残疾人家庭住房安全问题。</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区住房城乡建委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8</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加强突发公共事件中对残疾人的保护。</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区公安分局 </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区卫生健康委 </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区民政局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区应急管理局</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各镇（街道）</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8"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9</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完善残疾人按比例就业制度，落实党政机关、事业单位、国有企业带头安置残疾人就业办法，合理认定按比例安排残疾人就业形式。对超比例安排残疾人就业的用人单位给予奖励。</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区委组织部</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区人力社保局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区国资委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区财政局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区税务局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区政府有关部门</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有关单位</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各镇（街道）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10</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落实残疾人集中就业单位税费优惠、政府优先采购等扶持政策，稳定残疾人集中就业。支持非营利性残疾人集中就业机构持续发展。</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区税务局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区财政局</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区民政局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区人力社保局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11</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鼓励残疾人通过新就业形态实现灵活就业。加大对残疾人辅助性就业机构的支持保障力度。统筹现有公益性岗位，安排符合条件的残疾人就业。扶持残疾人亲属就业创业，实现零就业残疾人家庭至少有一人就业。</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区人力社保局</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区民政局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12</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为符合条件的残疾儿童提供手术、辅助器具适配、康复训练等服务。</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区卫生健康委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区教委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区民政局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区财政局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区人力社保局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区农业农村委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区医保局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各镇（街道）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13</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落实残疾预防行动计划，完善残疾预防服务网络，提升全社会残疾风险综合防控能力。</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区级各有关部门</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各镇（街道）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14</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着力发展以职业教育为重点的残疾人高中阶段教育，使完成义务教育且有意愿的残疾青少年都能接受适宜的职业教育。</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区教委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区发展改革委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区财政局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15</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建立健全从学前到研究生教育全覆盖的学生资助政策，对家庭经济困难的残疾学生予以优先资助。</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区教委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区财政局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16</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实施《第二期国家手语和盲文规范化行动计划（</w:t>
            </w:r>
            <w:r>
              <w:rPr>
                <w:rFonts w:ascii="Times New Roman" w:hAnsi="Times New Roman" w:eastAsia="方正仿宋_GBK"/>
                <w:sz w:val="24"/>
                <w:szCs w:val="24"/>
              </w:rPr>
              <w:t>2021—2025</w:t>
            </w:r>
            <w:r>
              <w:rPr>
                <w:rFonts w:hint="eastAsia" w:ascii="方正仿宋_GBK" w:hAnsi="方正仿宋_GBK" w:eastAsia="方正仿宋_GBK" w:cs="方正仿宋_GBK"/>
                <w:sz w:val="24"/>
                <w:szCs w:val="24"/>
              </w:rPr>
              <w:t>）》，加快推广国家通用手语和国家通用盲文。</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区教委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区文化旅游委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区融媒体中心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17</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实施“五个一”文化进家庭、进社区项目。</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区文化旅游委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18</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开展残疾人康复健身体育行动。</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区体育局</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19</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加强残疾人公共服务标准化建设，扶持各类残疾人服务机构发展，加强各类残疾人服务机构规范化建设和行业管理。</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区民政局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区财政局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区市场监管局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20</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积极推进区级残疾人康复中心，实现区县级残疾人服务设施全覆盖。</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区发展改革委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21</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推动成渝地区双城经济圈建设残疾人事业协同发展，落实残疾人公共服务事项“川渝通办”。</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各镇（街道）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22</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加强各级残联组织建设和服务创新。</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区委组织部</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23</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完善残疾人人口基础数据库，开展持证残疾人基本状况调查，改进残疾人服务需求和服务供给调查统计，加强残疾人服务数据资源建设。</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区统计局</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区公安局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区科技局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各镇（街道）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24</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将残疾人公共服务纳入区、镇（街道）政府公共服务事项清单和村（居）委会承担的社区工作事项清单及协助政府的社区工作事项清单。</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各镇（街道）</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25</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镇（街道）普遍建立“阳光家园”“渝馨家园”“残疾人之家”等服务机构，开展集中照护、日间照料、社区康复、辅助性就业等服务。</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区民政局</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各镇（街道）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26</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健全残疾人权益保障制度体系，推动残疾人保障法等法律法规有效实施。开展残疾人尊法学法守法用法专项行动。建立健全残疾人权益维护应急处置机制。</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区司法局 </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区公安分局  </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各镇（街道）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27</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提升无障碍设施建设管理水平。推进信息无障碍建设。实施无障碍重点项目和困难重度残疾人家庭无障碍改造。</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区住房城乡建委 </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区教委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区文化旅游委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区公安分局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区交通局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区科技局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区应急局</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区融媒体中心</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各有关服务机构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28</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推动残疾人事业高质量发展示范区建设。</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各镇（街道）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29</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将扶残助残纳入公民道德建设、文明创建活动和新时代文明实践中心建设，弘扬人道主义精神和扶残助残传统美德，营造理解、尊重、关心、帮助残疾人的文明社会氛围。开展助残志愿服务。</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区委宣传部</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区文明办</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区总工会</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团区委</w:t>
            </w:r>
          </w:p>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区妇联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30</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打造残疾人就业培训基地。</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各镇（街道）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31</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打造特色残疾人文创基地。</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各镇（街道）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30" w:type="dxa"/>
            <w:tcBorders>
              <w:top w:val="single" w:color="000000" w:sz="2" w:space="0"/>
              <w:left w:val="single" w:color="000000" w:sz="4" w:space="0"/>
              <w:bottom w:val="single" w:color="000000" w:sz="2"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32</w:t>
            </w:r>
          </w:p>
        </w:tc>
        <w:tc>
          <w:tcPr>
            <w:tcW w:w="486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继续打造品牌志愿服务。充分发挥基金会等公益组织作用，打造志愿助残服务品牌，倡导和凝聚社会助残新风。</w:t>
            </w:r>
          </w:p>
        </w:tc>
        <w:tc>
          <w:tcPr>
            <w:tcW w:w="175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区残联</w:t>
            </w:r>
          </w:p>
        </w:tc>
        <w:tc>
          <w:tcPr>
            <w:tcW w:w="1763" w:type="dxa"/>
            <w:tcBorders>
              <w:top w:val="single" w:color="000000" w:sz="2" w:space="0"/>
              <w:left w:val="single" w:color="000000" w:sz="2" w:space="0"/>
              <w:bottom w:val="single" w:color="000000" w:sz="2"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30" w:type="dxa"/>
            <w:tcBorders>
              <w:top w:val="single" w:color="000000" w:sz="2" w:space="0"/>
              <w:left w:val="single" w:color="000000" w:sz="4" w:space="0"/>
              <w:bottom w:val="single" w:color="000000" w:sz="4" w:space="0"/>
              <w:right w:val="single" w:color="000000" w:sz="2" w:space="0"/>
            </w:tcBorders>
            <w:noWrap w:val="0"/>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33</w:t>
            </w:r>
          </w:p>
        </w:tc>
        <w:tc>
          <w:tcPr>
            <w:tcW w:w="4865" w:type="dxa"/>
            <w:tcBorders>
              <w:top w:val="single" w:color="000000" w:sz="2" w:space="0"/>
              <w:left w:val="single" w:color="000000" w:sz="2" w:space="0"/>
              <w:bottom w:val="single" w:color="000000" w:sz="4" w:space="0"/>
              <w:right w:val="single" w:color="000000" w:sz="2" w:space="0"/>
            </w:tcBorders>
            <w:noWrap w:val="0"/>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将残疾人事业纳入国民经济和社会发展总体规划、相关专项规划、年度计划，将扶残助残重点项目纳入民生实事工程。</w:t>
            </w:r>
          </w:p>
        </w:tc>
        <w:tc>
          <w:tcPr>
            <w:tcW w:w="1753" w:type="dxa"/>
            <w:tcBorders>
              <w:top w:val="single" w:color="000000" w:sz="2" w:space="0"/>
              <w:left w:val="single" w:color="000000" w:sz="2" w:space="0"/>
              <w:bottom w:val="single" w:color="000000" w:sz="4" w:space="0"/>
              <w:right w:val="single" w:color="000000" w:sz="2" w:space="0"/>
            </w:tcBorders>
            <w:noWrap w:val="0"/>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区发展改革委</w:t>
            </w:r>
          </w:p>
        </w:tc>
        <w:tc>
          <w:tcPr>
            <w:tcW w:w="1763" w:type="dxa"/>
            <w:tcBorders>
              <w:top w:val="single" w:color="000000" w:sz="2" w:space="0"/>
              <w:left w:val="single" w:color="000000" w:sz="2" w:space="0"/>
              <w:bottom w:val="single" w:color="000000" w:sz="4" w:space="0"/>
              <w:right w:val="single" w:color="000000" w:sz="4" w:space="0"/>
            </w:tcBorders>
            <w:noWrap w:val="0"/>
            <w:vAlign w:val="center"/>
          </w:tcPr>
          <w:p>
            <w:pPr>
              <w:spacing w:line="400" w:lineRule="exact"/>
              <w:jc w:val="center"/>
              <w:rPr>
                <w:rFonts w:ascii="方正仿宋_GBK" w:hAnsi="方正仿宋_GBK" w:eastAsia="方正仿宋_GBK" w:cs="方正仿宋_GBK"/>
                <w:sz w:val="24"/>
                <w:szCs w:val="24"/>
              </w:rPr>
            </w:pPr>
          </w:p>
        </w:tc>
      </w:tr>
    </w:tbl>
    <w:p>
      <w:pPr>
        <w:pStyle w:val="11"/>
        <w:keepNext w:val="0"/>
        <w:keepLines w:val="0"/>
        <w:pageBreakBefore w:val="0"/>
        <w:widowControl w:val="0"/>
        <w:tabs>
          <w:tab w:val="right" w:leader="dot" w:pos="8844"/>
        </w:tabs>
        <w:kinsoku/>
        <w:wordWrap/>
        <w:overflowPunct/>
        <w:topLinePunct w:val="0"/>
        <w:autoSpaceDE/>
        <w:autoSpaceDN/>
        <w:bidi w:val="0"/>
        <w:adjustRightInd/>
        <w:snapToGrid/>
        <w:spacing w:before="0" w:after="0" w:line="570" w:lineRule="exact"/>
        <w:jc w:val="both"/>
        <w:textAlignment w:val="auto"/>
        <w:rPr>
          <w:rFonts w:hint="default" w:ascii="Times New Roman" w:hAnsi="Times New Roman" w:cs="Times New Roman"/>
          <w:color w:val="000000"/>
        </w:rPr>
      </w:pPr>
      <w:r>
        <w:rPr>
          <w:rFonts w:hint="default" w:ascii="Times New Roman" w:hAnsi="Times New Roman" w:eastAsia="方正小标宋_GBK" w:cs="Times New Roman"/>
          <w:b w:val="0"/>
          <w:bCs w:val="0"/>
          <w:color w:val="000000"/>
          <w:sz w:val="32"/>
          <w:szCs w:val="32"/>
          <w:lang w:val="zh-CN"/>
        </w:rPr>
        <w:br w:type="page"/>
      </w:r>
      <w:r>
        <w:rPr>
          <w:rFonts w:hint="default" w:ascii="Times New Roman" w:hAnsi="Times New Roman" w:eastAsia="方正小标宋_GBK" w:cs="Times New Roman"/>
          <w:b w:val="0"/>
          <w:color w:val="000000"/>
          <w:sz w:val="32"/>
          <w:szCs w:val="32"/>
          <w:lang w:val="zh-CN"/>
        </w:rPr>
        <w:t>【区政府办公室文件】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sz w:val="44"/>
          <w:szCs w:val="44"/>
        </w:rPr>
      </w:pPr>
    </w:p>
    <w:p>
      <w:pPr>
        <w:spacing w:line="594" w:lineRule="exact"/>
        <w:jc w:val="center"/>
        <w:rPr>
          <w:rFonts w:hint="eastAsia" w:ascii="方正小标宋_GBK" w:hAnsi="宋体" w:eastAsia="方正小标宋_GBK" w:cs="Times New Roman"/>
          <w:bCs/>
          <w:color w:val="000000"/>
          <w:sz w:val="44"/>
          <w:szCs w:val="24"/>
        </w:rPr>
      </w:pPr>
      <w:r>
        <w:rPr>
          <w:rFonts w:hint="eastAsia" w:ascii="方正小标宋_GBK" w:hAnsi="宋体" w:eastAsia="方正小标宋_GBK" w:cs="Times New Roman"/>
          <w:bCs/>
          <w:color w:val="000000"/>
          <w:sz w:val="44"/>
          <w:szCs w:val="24"/>
        </w:rPr>
        <w:t>重庆市沙坪坝区人民政府办公室</w:t>
      </w:r>
    </w:p>
    <w:p>
      <w:pPr>
        <w:spacing w:line="594" w:lineRule="exact"/>
        <w:jc w:val="center"/>
        <w:rPr>
          <w:rFonts w:hint="eastAsia" w:ascii="方正小标宋_GBK" w:hAnsi="宋体" w:eastAsia="方正小标宋_GBK" w:cs="Times New Roman"/>
          <w:bCs/>
          <w:color w:val="000000"/>
          <w:sz w:val="44"/>
          <w:szCs w:val="24"/>
        </w:rPr>
      </w:pPr>
      <w:r>
        <w:rPr>
          <w:rFonts w:hint="eastAsia" w:ascii="方正小标宋_GBK" w:hAnsi="宋体" w:eastAsia="方正小标宋_GBK" w:cs="Times New Roman"/>
          <w:bCs/>
          <w:color w:val="000000"/>
          <w:sz w:val="44"/>
          <w:szCs w:val="24"/>
        </w:rPr>
        <w:t>关于印发重庆市沙坪坝区全民健身实施计划</w:t>
      </w:r>
    </w:p>
    <w:p>
      <w:pPr>
        <w:spacing w:line="594" w:lineRule="exact"/>
        <w:jc w:val="center"/>
        <w:rPr>
          <w:rFonts w:hint="eastAsia" w:ascii="方正小标宋_GBK" w:hAnsi="宋体" w:eastAsia="方正小标宋_GBK" w:cs="Times New Roman"/>
          <w:bCs/>
          <w:color w:val="000000"/>
          <w:sz w:val="44"/>
          <w:szCs w:val="24"/>
        </w:rPr>
      </w:pPr>
      <w:r>
        <w:rPr>
          <w:rFonts w:hint="eastAsia" w:ascii="方正小标宋_GBK" w:hAnsi="宋体" w:eastAsia="方正小标宋_GBK" w:cs="Times New Roman"/>
          <w:bCs/>
          <w:color w:val="000000"/>
          <w:sz w:val="44"/>
          <w:szCs w:val="24"/>
        </w:rPr>
        <w:t>（2021—2025年）的通知</w:t>
      </w:r>
    </w:p>
    <w:p>
      <w:pPr>
        <w:pStyle w:val="2"/>
        <w:rPr>
          <w:rFonts w:hint="eastAsia"/>
        </w:rPr>
      </w:pPr>
    </w:p>
    <w:p>
      <w:pPr>
        <w:spacing w:line="600" w:lineRule="exact"/>
        <w:jc w:val="center"/>
        <w:rPr>
          <w:rFonts w:hint="eastAsia" w:ascii="Times New Roman" w:hAnsi="Times New Roman" w:eastAsia="方正楷体_GBK" w:cs="Times New Roman"/>
          <w:color w:val="000000"/>
          <w:kern w:val="0"/>
          <w:sz w:val="32"/>
          <w:szCs w:val="32"/>
        </w:rPr>
      </w:pPr>
      <w:r>
        <w:rPr>
          <w:rFonts w:hint="eastAsia" w:ascii="Times New Roman" w:hAnsi="Times New Roman" w:eastAsia="方正楷体_GBK" w:cs="Times New Roman"/>
          <w:color w:val="000000"/>
          <w:kern w:val="0"/>
          <w:sz w:val="32"/>
          <w:szCs w:val="32"/>
        </w:rPr>
        <w:t>沙府办发〔2022〕10号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eastAsia="方正仿宋_GBK" w:cs="方正仿宋_GBK"/>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eastAsia="方正仿宋_GBK"/>
          <w:sz w:val="32"/>
          <w:szCs w:val="32"/>
        </w:rPr>
      </w:pPr>
      <w:r>
        <w:rPr>
          <w:rFonts w:eastAsia="方正仿宋_GBK"/>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eastAsia="方正仿宋_GBK"/>
          <w:sz w:val="32"/>
          <w:szCs w:val="32"/>
        </w:rPr>
      </w:pPr>
      <w:r>
        <w:rPr>
          <w:rFonts w:eastAsia="方正仿宋_GBK"/>
          <w:sz w:val="32"/>
          <w:szCs w:val="32"/>
        </w:rPr>
        <w:t>现将《</w:t>
      </w:r>
      <w:r>
        <w:rPr>
          <w:rFonts w:hint="eastAsia" w:eastAsia="方正仿宋_GBK"/>
          <w:sz w:val="32"/>
          <w:szCs w:val="32"/>
        </w:rPr>
        <w:t>重庆市</w:t>
      </w:r>
      <w:r>
        <w:rPr>
          <w:rFonts w:eastAsia="方正仿宋_GBK"/>
          <w:sz w:val="32"/>
          <w:szCs w:val="32"/>
        </w:rPr>
        <w:t>沙坪坝区全民健身实施计划（2021—2025年）》印发给你们，请</w:t>
      </w:r>
      <w:r>
        <w:rPr>
          <w:rFonts w:hint="eastAsia" w:eastAsia="方正仿宋_GBK"/>
          <w:sz w:val="32"/>
          <w:szCs w:val="32"/>
        </w:rPr>
        <w:t>结合本单位实际，</w:t>
      </w:r>
      <w:r>
        <w:rPr>
          <w:rFonts w:eastAsia="方正仿宋_GBK"/>
          <w:sz w:val="32"/>
          <w:szCs w:val="32"/>
        </w:rPr>
        <w:t>认真</w:t>
      </w:r>
      <w:r>
        <w:rPr>
          <w:rFonts w:hint="eastAsia" w:eastAsia="方正仿宋_GBK"/>
          <w:sz w:val="32"/>
          <w:szCs w:val="32"/>
        </w:rPr>
        <w:t>贯彻落实。</w:t>
      </w:r>
    </w:p>
    <w:p>
      <w:pPr>
        <w:keepNext w:val="0"/>
        <w:keepLines w:val="0"/>
        <w:pageBreakBefore w:val="0"/>
        <w:widowControl w:val="0"/>
        <w:kinsoku/>
        <w:wordWrap/>
        <w:overflowPunct/>
        <w:topLinePunct w:val="0"/>
        <w:autoSpaceDE/>
        <w:autoSpaceDN/>
        <w:bidi w:val="0"/>
        <w:adjustRightInd/>
        <w:snapToGrid w:val="0"/>
        <w:spacing w:line="570" w:lineRule="exact"/>
        <w:ind w:firstLine="632" w:firstLineChars="200"/>
        <w:textAlignment w:val="auto"/>
        <w:rPr>
          <w:rFonts w:ascii="方正仿宋_GBK" w:hAnsi="Calibri"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70" w:lineRule="exact"/>
        <w:jc w:val="right"/>
        <w:textAlignment w:val="auto"/>
        <w:rPr>
          <w:rFonts w:ascii="方正仿宋_GBK" w:hAnsi="Calibri"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70" w:lineRule="exact"/>
        <w:ind w:right="320"/>
        <w:jc w:val="right"/>
        <w:textAlignment w:val="auto"/>
        <w:rPr>
          <w:rFonts w:hint="default" w:ascii="Times New Roman" w:hAnsi="Times New Roman" w:eastAsia="方正仿宋_GBK" w:cs="Times New Roman"/>
          <w:sz w:val="32"/>
          <w:szCs w:val="32"/>
        </w:rPr>
      </w:pPr>
      <w:r>
        <w:rPr>
          <w:rFonts w:hint="eastAsia" w:ascii="方正仿宋_GBK" w:hAnsi="Calibri" w:eastAsia="方正仿宋_GBK" w:cs="Times New Roman"/>
          <w:sz w:val="32"/>
          <w:szCs w:val="32"/>
        </w:rPr>
        <w:t>重庆</w:t>
      </w:r>
      <w:r>
        <w:rPr>
          <w:rFonts w:hint="default" w:ascii="Times New Roman" w:hAnsi="Times New Roman" w:eastAsia="方正仿宋_GBK" w:cs="Times New Roman"/>
          <w:sz w:val="32"/>
          <w:szCs w:val="32"/>
        </w:rPr>
        <w:t>市沙坪坝区人民政府办公室</w:t>
      </w:r>
    </w:p>
    <w:p>
      <w:pPr>
        <w:keepNext w:val="0"/>
        <w:keepLines w:val="0"/>
        <w:pageBreakBefore w:val="0"/>
        <w:widowControl w:val="0"/>
        <w:kinsoku/>
        <w:wordWrap/>
        <w:overflowPunct/>
        <w:topLinePunct w:val="0"/>
        <w:autoSpaceDE/>
        <w:autoSpaceDN/>
        <w:bidi w:val="0"/>
        <w:adjustRightInd/>
        <w:spacing w:line="57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eastAsia="方正仿宋_GBK"/>
          <w:sz w:val="32"/>
          <w:szCs w:val="32"/>
        </w:rPr>
        <w:t>202</w:t>
      </w:r>
      <w:r>
        <w:rPr>
          <w:rFonts w:hint="eastAsia" w:eastAsia="方正仿宋_GBK"/>
          <w:sz w:val="32"/>
          <w:szCs w:val="32"/>
        </w:rPr>
        <w:t>2</w:t>
      </w:r>
      <w:r>
        <w:rPr>
          <w:rFonts w:eastAsia="方正仿宋_GBK"/>
          <w:sz w:val="32"/>
          <w:szCs w:val="32"/>
        </w:rPr>
        <w:t>年</w:t>
      </w:r>
      <w:r>
        <w:rPr>
          <w:rFonts w:hint="eastAsia" w:eastAsia="方正仿宋_GBK"/>
          <w:sz w:val="32"/>
          <w:szCs w:val="32"/>
          <w:lang w:val="en-US" w:eastAsia="zh-CN"/>
        </w:rPr>
        <w:t>1</w:t>
      </w:r>
      <w:r>
        <w:rPr>
          <w:rFonts w:eastAsia="方正仿宋_GBK"/>
          <w:sz w:val="32"/>
          <w:szCs w:val="32"/>
        </w:rPr>
        <w:t>月</w:t>
      </w:r>
      <w:r>
        <w:rPr>
          <w:rFonts w:hint="eastAsia" w:eastAsia="方正仿宋_GBK"/>
          <w:sz w:val="32"/>
          <w:szCs w:val="32"/>
        </w:rPr>
        <w:t>2</w:t>
      </w:r>
      <w:r>
        <w:rPr>
          <w:rFonts w:hint="eastAsia" w:eastAsia="方正仿宋_GBK"/>
          <w:sz w:val="32"/>
          <w:szCs w:val="32"/>
          <w:lang w:val="en-US" w:eastAsia="zh-CN"/>
        </w:rPr>
        <w:t>4</w:t>
      </w:r>
      <w:r>
        <w:rPr>
          <w:rFonts w:eastAsia="方正仿宋_GBK"/>
          <w:sz w:val="32"/>
          <w:szCs w:val="32"/>
        </w:rPr>
        <w:t>日</w:t>
      </w:r>
    </w:p>
    <w:p>
      <w:pPr>
        <w:keepNext w:val="0"/>
        <w:keepLines w:val="0"/>
        <w:pageBreakBefore w:val="0"/>
        <w:widowControl w:val="0"/>
        <w:kinsoku/>
        <w:wordWrap/>
        <w:overflowPunct/>
        <w:topLinePunct w:val="0"/>
        <w:autoSpaceDE/>
        <w:autoSpaceDN/>
        <w:bidi w:val="0"/>
        <w:adjustRightInd/>
        <w:spacing w:line="570" w:lineRule="exact"/>
        <w:ind w:firstLine="632"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Calibri" w:eastAsia="方正小标宋_GBK" w:cs="Times New Roman"/>
          <w:sz w:val="44"/>
          <w:szCs w:val="44"/>
        </w:rPr>
      </w:pPr>
      <w:r>
        <w:rPr>
          <w:rFonts w:ascii="Times New Roman" w:hAnsi="Times New Roman" w:eastAsia="方正仿宋_GBK" w:cs="Times New Roman"/>
          <w:sz w:val="32"/>
          <w:szCs w:val="32"/>
        </w:rPr>
        <w:t xml:space="preserve"> </w:t>
      </w:r>
      <w:r>
        <w:rPr>
          <w:rFonts w:hint="eastAsia" w:ascii="方正小标宋_GBK" w:hAnsi="Calibri" w:eastAsia="方正小标宋_GBK"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7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pPr>
    </w:p>
    <w:p>
      <w:pPr>
        <w:keepNext w:val="0"/>
        <w:keepLines w:val="0"/>
        <w:pageBreakBefore w:val="0"/>
        <w:widowControl w:val="0"/>
        <w:kinsoku/>
        <w:wordWrap/>
        <w:overflowPunct/>
        <w:topLinePunct w:val="0"/>
        <w:autoSpaceDE/>
        <w:autoSpaceDN/>
        <w:bidi w:val="0"/>
        <w:adjustRightInd/>
        <w:snapToGrid/>
        <w:spacing w:line="570" w:lineRule="exact"/>
        <w:textAlignment w:val="auto"/>
      </w:pPr>
    </w:p>
    <w:p>
      <w:pPr>
        <w:pStyle w:val="2"/>
        <w:adjustRightInd w:val="0"/>
        <w:snapToGrid w:val="0"/>
        <w:spacing w:line="600" w:lineRule="exact"/>
        <w:jc w:val="center"/>
        <w:rPr>
          <w:rFonts w:hint="eastAsia" w:ascii="方正小标宋_GBK" w:hAnsi="Calibri" w:eastAsia="方正小标宋_GBK" w:cs="Times New Roman"/>
          <w:sz w:val="44"/>
          <w:szCs w:val="44"/>
        </w:rPr>
      </w:pPr>
      <w:r>
        <w:rPr>
          <w:rFonts w:hint="eastAsia" w:ascii="方正小标宋_GBK" w:hAnsi="Calibri" w:eastAsia="方正小标宋_GBK" w:cs="Times New Roman"/>
          <w:sz w:val="44"/>
          <w:szCs w:val="44"/>
        </w:rPr>
        <w:br w:type="page"/>
      </w:r>
    </w:p>
    <w:p>
      <w:pPr>
        <w:pStyle w:val="2"/>
        <w:adjustRightInd w:val="0"/>
        <w:snapToGrid w:val="0"/>
        <w:spacing w:line="6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重庆市</w:t>
      </w:r>
      <w:r>
        <w:rPr>
          <w:rFonts w:ascii="方正小标宋_GBK" w:hAnsi="方正小标宋_GBK" w:eastAsia="方正小标宋_GBK" w:cs="方正小标宋_GBK"/>
          <w:color w:val="000000"/>
          <w:sz w:val="44"/>
          <w:szCs w:val="44"/>
        </w:rPr>
        <w:t>沙坪坝区全民健身实施计</w:t>
      </w:r>
      <w:r>
        <w:rPr>
          <w:rFonts w:hint="eastAsia" w:ascii="方正小标宋_GBK" w:hAnsi="方正小标宋_GBK" w:eastAsia="方正小标宋_GBK" w:cs="方正小标宋_GBK"/>
          <w:color w:val="000000"/>
          <w:sz w:val="44"/>
          <w:szCs w:val="44"/>
        </w:rPr>
        <w:t>划</w:t>
      </w:r>
    </w:p>
    <w:p>
      <w:pPr>
        <w:pStyle w:val="2"/>
        <w:adjustRightInd w:val="0"/>
        <w:snapToGrid w:val="0"/>
        <w:spacing w:line="600" w:lineRule="exact"/>
        <w:jc w:val="center"/>
        <w:rPr>
          <w:rFonts w:ascii="Times New Roman" w:hAnsi="Times New Roman" w:eastAsia="方正仿宋_GBK" w:cs="Times New Roman"/>
          <w:szCs w:val="32"/>
        </w:rPr>
      </w:pPr>
      <w:r>
        <w:rPr>
          <w:rFonts w:ascii="方正小标宋_GBK" w:hAnsi="方正小标宋_GBK" w:eastAsia="方正小标宋_GBK" w:cs="方正小标宋_GBK"/>
          <w:color w:val="000000"/>
          <w:sz w:val="44"/>
          <w:szCs w:val="44"/>
        </w:rPr>
        <w:t>（2021—2025年）</w:t>
      </w:r>
    </w:p>
    <w:p>
      <w:pPr>
        <w:widowControl/>
        <w:autoSpaceDE w:val="0"/>
        <w:snapToGrid w:val="0"/>
        <w:spacing w:line="600" w:lineRule="exact"/>
        <w:ind w:firstLine="640"/>
        <w:rPr>
          <w:rFonts w:eastAsia="方正仿宋_GBK"/>
          <w:kern w:val="0"/>
          <w:shd w:val="clear" w:color="auto" w:fill="FFFFFF"/>
        </w:rPr>
      </w:pPr>
    </w:p>
    <w:p>
      <w:pPr>
        <w:keepNext w:val="0"/>
        <w:keepLines w:val="0"/>
        <w:pageBreakBefore w:val="0"/>
        <w:widowControl/>
        <w:kinsoku/>
        <w:wordWrap/>
        <w:overflowPunct/>
        <w:topLinePunct w:val="0"/>
        <w:autoSpaceDE w:val="0"/>
        <w:autoSpaceDN/>
        <w:bidi w:val="0"/>
        <w:adjustRightInd/>
        <w:snapToGrid w:val="0"/>
        <w:spacing w:line="570" w:lineRule="exact"/>
        <w:ind w:firstLine="640"/>
        <w:textAlignment w:val="auto"/>
        <w:rPr>
          <w:rFonts w:eastAsia="方正仿宋_GBK"/>
          <w:kern w:val="0"/>
          <w:shd w:val="clear" w:color="auto" w:fill="FFFFFF"/>
        </w:rPr>
      </w:pPr>
      <w:r>
        <w:rPr>
          <w:rFonts w:eastAsia="方正仿宋_GBK"/>
          <w:kern w:val="0"/>
          <w:sz w:val="32"/>
          <w:szCs w:val="32"/>
          <w:shd w:val="clear" w:color="auto" w:fill="FFFFFF"/>
        </w:rPr>
        <w:t>为进一步落实全民健身国家战略，助力体育强区建设，</w:t>
      </w:r>
      <w:r>
        <w:rPr>
          <w:rFonts w:hint="eastAsia" w:eastAsia="方正仿宋_GBK"/>
          <w:kern w:val="0"/>
          <w:sz w:val="32"/>
          <w:szCs w:val="32"/>
          <w:shd w:val="clear" w:color="auto" w:fill="FFFFFF"/>
        </w:rPr>
        <w:t>根</w:t>
      </w:r>
      <w:r>
        <w:rPr>
          <w:rFonts w:eastAsia="方正仿宋_GBK"/>
          <w:kern w:val="0"/>
          <w:sz w:val="32"/>
          <w:szCs w:val="32"/>
          <w:shd w:val="clear" w:color="auto" w:fill="FFFFFF"/>
        </w:rPr>
        <w:t>据</w:t>
      </w:r>
      <w:r>
        <w:rPr>
          <w:rFonts w:eastAsia="方正仿宋_GBK"/>
          <w:sz w:val="32"/>
          <w:szCs w:val="32"/>
        </w:rPr>
        <w:t>《国务院关于印发全民健身计划（2021—2025年）的通知》（国发〔2021〕11号）</w:t>
      </w:r>
      <w:r>
        <w:rPr>
          <w:rFonts w:hint="eastAsia" w:eastAsia="方正仿宋_GBK"/>
          <w:sz w:val="32"/>
          <w:szCs w:val="32"/>
        </w:rPr>
        <w:t>、</w:t>
      </w:r>
      <w:r>
        <w:rPr>
          <w:rFonts w:eastAsia="方正仿宋_GBK"/>
          <w:kern w:val="0"/>
          <w:sz w:val="32"/>
          <w:szCs w:val="32"/>
          <w:shd w:val="clear" w:color="auto" w:fill="FFFFFF"/>
        </w:rPr>
        <w:t>《重庆市全民健身条例》《重庆市人民政府办公厅关于建设体育强市的实施意见》（渝府办发〔2021〕21号）及《重庆市全民健身计划（2021-2025年）》，制定本计划。</w:t>
      </w:r>
    </w:p>
    <w:p>
      <w:pPr>
        <w:keepNext w:val="0"/>
        <w:keepLines w:val="0"/>
        <w:pageBreakBefore w:val="0"/>
        <w:widowControl/>
        <w:kinsoku/>
        <w:wordWrap/>
        <w:overflowPunct/>
        <w:topLinePunct w:val="0"/>
        <w:autoSpaceDE w:val="0"/>
        <w:autoSpaceDN/>
        <w:bidi w:val="0"/>
        <w:adjustRightInd/>
        <w:snapToGrid w:val="0"/>
        <w:spacing w:line="570" w:lineRule="exact"/>
        <w:ind w:firstLine="632" w:firstLineChars="200"/>
        <w:textAlignment w:val="auto"/>
        <w:outlineLvl w:val="0"/>
        <w:rPr>
          <w:rFonts w:ascii="方正黑体_GBK" w:hAnsi="方正黑体_GBK" w:eastAsia="方正黑体_GBK" w:cs="方正黑体_GBK"/>
        </w:rPr>
      </w:pPr>
      <w:bookmarkStart w:id="2" w:name="_Toc5671"/>
      <w:r>
        <w:rPr>
          <w:rFonts w:hint="eastAsia" w:ascii="方正黑体_GBK" w:hAnsi="方正黑体_GBK" w:eastAsia="方正黑体_GBK" w:cs="方正黑体_GBK"/>
          <w:kern w:val="0"/>
          <w:sz w:val="32"/>
          <w:szCs w:val="32"/>
          <w:shd w:val="clear" w:color="auto" w:fill="FFFFFF"/>
        </w:rPr>
        <w:t>一、总体要求</w:t>
      </w:r>
      <w:bookmarkEnd w:id="2"/>
    </w:p>
    <w:p>
      <w:pPr>
        <w:keepNext w:val="0"/>
        <w:keepLines w:val="0"/>
        <w:pageBreakBefore w:val="0"/>
        <w:widowControl/>
        <w:kinsoku/>
        <w:wordWrap/>
        <w:overflowPunct/>
        <w:topLinePunct w:val="0"/>
        <w:autoSpaceDE w:val="0"/>
        <w:autoSpaceDN/>
        <w:bidi w:val="0"/>
        <w:adjustRightInd/>
        <w:snapToGrid w:val="0"/>
        <w:spacing w:line="570" w:lineRule="exact"/>
        <w:ind w:firstLine="632" w:firstLineChars="200"/>
        <w:textAlignment w:val="auto"/>
        <w:outlineLvl w:val="1"/>
        <w:rPr>
          <w:rFonts w:ascii="方正楷体_GBK" w:hAnsi="方正楷体_GBK" w:eastAsia="方正楷体_GBK" w:cs="方正楷体_GBK"/>
        </w:rPr>
      </w:pPr>
      <w:bookmarkStart w:id="3" w:name="_Toc4764"/>
      <w:r>
        <w:rPr>
          <w:rFonts w:hint="eastAsia" w:ascii="方正楷体_GBK" w:hAnsi="方正楷体_GBK" w:eastAsia="方正楷体_GBK" w:cs="方正楷体_GBK"/>
          <w:kern w:val="0"/>
          <w:sz w:val="32"/>
          <w:szCs w:val="32"/>
          <w:shd w:val="clear" w:color="auto" w:fill="FFFFFF"/>
        </w:rPr>
        <w:t>（一）指导思想</w:t>
      </w:r>
      <w:bookmarkEnd w:id="3"/>
    </w:p>
    <w:p>
      <w:pPr>
        <w:keepNext w:val="0"/>
        <w:keepLines w:val="0"/>
        <w:pageBreakBefore w:val="0"/>
        <w:widowControl/>
        <w:kinsoku/>
        <w:wordWrap/>
        <w:overflowPunct/>
        <w:topLinePunct w:val="0"/>
        <w:autoSpaceDN/>
        <w:bidi w:val="0"/>
        <w:adjustRightInd/>
        <w:spacing w:line="570" w:lineRule="exact"/>
        <w:ind w:firstLine="632" w:firstLineChars="200"/>
        <w:textAlignment w:val="auto"/>
        <w:rPr>
          <w:rFonts w:eastAsia="方正仿宋_GBK"/>
          <w:kern w:val="0"/>
          <w:shd w:val="clear" w:color="auto" w:fill="FFFFFF"/>
        </w:rPr>
      </w:pPr>
      <w:r>
        <w:rPr>
          <w:rFonts w:eastAsia="方正仿宋_GBK"/>
          <w:kern w:val="0"/>
          <w:sz w:val="32"/>
          <w:szCs w:val="32"/>
          <w:shd w:val="clear" w:color="auto" w:fill="FFFFFF"/>
        </w:rPr>
        <w:t>以习近平新时代中国特色社会主义思想为指导，深入贯彻党的十九大和十九届二中、三中、四中、五中、六中全会精神，</w:t>
      </w:r>
      <w:r>
        <w:rPr>
          <w:rFonts w:hint="eastAsia" w:ascii="方正仿宋_GBK" w:hAnsi="方正仿宋_GBK" w:eastAsia="方正仿宋_GBK" w:cs="方正仿宋_GBK"/>
          <w:kern w:val="0"/>
          <w:sz w:val="32"/>
          <w:szCs w:val="32"/>
          <w:shd w:val="clear" w:color="auto" w:fill="FFFFFF"/>
        </w:rPr>
        <w:t>以“五位一体”总体布局和“四个全面”的战略</w:t>
      </w:r>
      <w:r>
        <w:rPr>
          <w:rFonts w:eastAsia="方正仿宋_GBK"/>
          <w:kern w:val="0"/>
          <w:sz w:val="32"/>
          <w:szCs w:val="32"/>
          <w:shd w:val="clear" w:color="auto" w:fill="FFFFFF"/>
        </w:rPr>
        <w:t>布局为统领，坚持以人民为中心，牢固树立新发展理念，</w:t>
      </w:r>
      <w:r>
        <w:rPr>
          <w:rFonts w:eastAsia="方正仿宋_GBK"/>
          <w:sz w:val="32"/>
          <w:szCs w:val="32"/>
        </w:rPr>
        <w:t>深入实施健康中国战略和全民健身国家战略，</w:t>
      </w:r>
      <w:r>
        <w:rPr>
          <w:rFonts w:eastAsia="方正仿宋_GBK"/>
          <w:kern w:val="0"/>
          <w:sz w:val="32"/>
          <w:szCs w:val="32"/>
          <w:shd w:val="clear" w:color="auto" w:fill="FFFFFF"/>
        </w:rPr>
        <w:t>构建高水平的全民健身公共服务体系，</w:t>
      </w:r>
      <w:r>
        <w:rPr>
          <w:rFonts w:eastAsia="方正仿宋_GBK"/>
          <w:sz w:val="32"/>
          <w:szCs w:val="32"/>
        </w:rPr>
        <w:t>不断</w:t>
      </w:r>
      <w:r>
        <w:rPr>
          <w:rFonts w:eastAsia="方正仿宋_GBK"/>
          <w:kern w:val="0"/>
          <w:sz w:val="32"/>
          <w:szCs w:val="32"/>
          <w:shd w:val="clear" w:color="auto" w:fill="FFFFFF"/>
        </w:rPr>
        <w:t>满足人民群众日益增长的多元化体育健身需求，全方位推进全民健身高质量发展。</w:t>
      </w:r>
    </w:p>
    <w:p>
      <w:pPr>
        <w:keepNext w:val="0"/>
        <w:keepLines w:val="0"/>
        <w:pageBreakBefore w:val="0"/>
        <w:kinsoku/>
        <w:wordWrap/>
        <w:overflowPunct/>
        <w:topLinePunct w:val="0"/>
        <w:autoSpaceDN/>
        <w:bidi w:val="0"/>
        <w:adjustRightInd/>
        <w:spacing w:line="570" w:lineRule="exact"/>
        <w:ind w:firstLine="643"/>
        <w:textAlignment w:val="auto"/>
        <w:outlineLvl w:val="1"/>
        <w:rPr>
          <w:rFonts w:ascii="方正楷体_GBK" w:hAnsi="方正楷体_GBK" w:eastAsia="方正楷体_GBK" w:cs="方正楷体_GBK"/>
        </w:rPr>
      </w:pPr>
      <w:bookmarkStart w:id="4" w:name="_Toc22206"/>
      <w:r>
        <w:rPr>
          <w:rFonts w:hint="eastAsia" w:ascii="方正楷体_GBK" w:hAnsi="方正楷体_GBK" w:eastAsia="方正楷体_GBK" w:cs="方正楷体_GBK"/>
          <w:kern w:val="0"/>
          <w:sz w:val="32"/>
          <w:szCs w:val="32"/>
          <w:shd w:val="clear" w:color="auto" w:fill="FFFFFF"/>
        </w:rPr>
        <w:t>（二）发展目标</w:t>
      </w:r>
      <w:bookmarkEnd w:id="4"/>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eastAsia="方正仿宋_GBK"/>
          <w:kern w:val="0"/>
          <w:shd w:val="clear" w:color="auto" w:fill="FFFFFF"/>
        </w:rPr>
      </w:pPr>
      <w:r>
        <w:rPr>
          <w:rFonts w:eastAsia="方正仿宋_GBK"/>
          <w:kern w:val="0"/>
          <w:sz w:val="32"/>
          <w:szCs w:val="32"/>
          <w:shd w:val="clear" w:color="auto" w:fill="FFFFFF"/>
        </w:rPr>
        <w:t>到2025年，建成完善的全民健身公共服务体系</w:t>
      </w:r>
      <w:r>
        <w:rPr>
          <w:rFonts w:hint="eastAsia" w:eastAsia="方正仿宋_GBK"/>
          <w:kern w:val="0"/>
          <w:sz w:val="32"/>
          <w:szCs w:val="32"/>
          <w:shd w:val="clear" w:color="auto" w:fill="FFFFFF"/>
        </w:rPr>
        <w:t>，</w:t>
      </w:r>
      <w:r>
        <w:rPr>
          <w:rFonts w:eastAsia="方正仿宋_GBK"/>
          <w:kern w:val="0"/>
          <w:sz w:val="32"/>
          <w:szCs w:val="32"/>
          <w:shd w:val="clear" w:color="auto" w:fill="FFFFFF"/>
        </w:rPr>
        <w:t>推动全民健身公共服务均等化、精细化。</w:t>
      </w:r>
      <w:r>
        <w:rPr>
          <w:rFonts w:hint="eastAsia" w:eastAsia="方正仿宋_GBK"/>
          <w:kern w:val="0"/>
          <w:sz w:val="32"/>
          <w:szCs w:val="32"/>
          <w:shd w:val="clear" w:color="auto" w:fill="FFFFFF"/>
        </w:rPr>
        <w:t>不断增强城乡居民的体育健身意识和科学健身素养，推动</w:t>
      </w:r>
      <w:r>
        <w:rPr>
          <w:rFonts w:eastAsia="方正仿宋_GBK"/>
          <w:kern w:val="0"/>
          <w:sz w:val="32"/>
          <w:szCs w:val="32"/>
          <w:shd w:val="clear" w:color="auto" w:fill="FFFFFF"/>
        </w:rPr>
        <w:t>经常参加体育锻炼人数比例达到50%，城乡居民国民体质监测合格率达到94%。实现行政村（社区）公共体育设施</w:t>
      </w:r>
      <w:r>
        <w:rPr>
          <w:rFonts w:hint="eastAsia" w:ascii="方正仿宋_GBK" w:hAnsi="方正仿宋_GBK" w:eastAsia="方正仿宋_GBK" w:cs="方正仿宋_GBK"/>
          <w:kern w:val="0"/>
          <w:sz w:val="32"/>
          <w:szCs w:val="32"/>
          <w:shd w:val="clear" w:color="auto" w:fill="FFFFFF"/>
        </w:rPr>
        <w:t>“</w:t>
      </w:r>
      <w:r>
        <w:rPr>
          <w:rFonts w:eastAsia="方正仿宋_GBK"/>
          <w:kern w:val="0"/>
          <w:sz w:val="32"/>
          <w:szCs w:val="32"/>
          <w:shd w:val="clear" w:color="auto" w:fill="FFFFFF"/>
        </w:rPr>
        <w:t>15分钟健身</w:t>
      </w:r>
      <w:r>
        <w:rPr>
          <w:rFonts w:hint="eastAsia" w:ascii="方正仿宋_GBK" w:hAnsi="方正仿宋_GBK" w:eastAsia="方正仿宋_GBK" w:cs="方正仿宋_GBK"/>
          <w:kern w:val="0"/>
          <w:sz w:val="32"/>
          <w:szCs w:val="32"/>
          <w:shd w:val="clear" w:color="auto" w:fill="FFFFFF"/>
        </w:rPr>
        <w:t>圈”</w:t>
      </w:r>
      <w:r>
        <w:rPr>
          <w:rFonts w:eastAsia="方正仿宋_GBK"/>
          <w:kern w:val="0"/>
          <w:sz w:val="32"/>
          <w:szCs w:val="32"/>
          <w:shd w:val="clear" w:color="auto" w:fill="FFFFFF"/>
        </w:rPr>
        <w:t>全覆盖，</w:t>
      </w:r>
      <w:r>
        <w:rPr>
          <w:rFonts w:eastAsia="方正仿宋_GBK"/>
          <w:sz w:val="32"/>
          <w:szCs w:val="32"/>
        </w:rPr>
        <w:t>推进城市社区打</w:t>
      </w:r>
      <w:r>
        <w:rPr>
          <w:rFonts w:hint="eastAsia" w:ascii="方正仿宋_GBK" w:hAnsi="方正仿宋_GBK" w:eastAsia="方正仿宋_GBK" w:cs="方正仿宋_GBK"/>
          <w:sz w:val="32"/>
          <w:szCs w:val="32"/>
        </w:rPr>
        <w:t>造“</w:t>
      </w:r>
      <w:r>
        <w:rPr>
          <w:rFonts w:eastAsia="方正仿宋_GBK"/>
          <w:sz w:val="32"/>
          <w:szCs w:val="32"/>
        </w:rPr>
        <w:t>10分钟健身</w:t>
      </w:r>
      <w:r>
        <w:rPr>
          <w:rFonts w:hint="eastAsia" w:ascii="方正仿宋_GBK" w:hAnsi="方正仿宋_GBK" w:eastAsia="方正仿宋_GBK" w:cs="方正仿宋_GBK"/>
          <w:sz w:val="32"/>
          <w:szCs w:val="32"/>
        </w:rPr>
        <w:t>圈”。</w:t>
      </w:r>
      <w:r>
        <w:rPr>
          <w:rFonts w:hint="eastAsia" w:ascii="方正仿宋_GBK" w:hAnsi="方正仿宋_GBK" w:eastAsia="方正仿宋_GBK" w:cs="方正仿宋_GBK"/>
          <w:kern w:val="0"/>
          <w:sz w:val="32"/>
          <w:szCs w:val="32"/>
          <w:shd w:val="clear" w:color="auto" w:fill="FFFFFF"/>
        </w:rPr>
        <w:t>人</w:t>
      </w:r>
      <w:r>
        <w:rPr>
          <w:rFonts w:eastAsia="方正仿宋_GBK"/>
          <w:kern w:val="0"/>
          <w:sz w:val="32"/>
          <w:szCs w:val="32"/>
          <w:shd w:val="clear" w:color="auto" w:fill="FFFFFF"/>
        </w:rPr>
        <w:t>均体育场地面积达到2.3平方米。每千人拥有社会体育指导员3.8名以上。</w:t>
      </w:r>
    </w:p>
    <w:p>
      <w:pPr>
        <w:keepNext w:val="0"/>
        <w:keepLines w:val="0"/>
        <w:pageBreakBefore w:val="0"/>
        <w:widowControl/>
        <w:kinsoku/>
        <w:wordWrap/>
        <w:overflowPunct/>
        <w:topLinePunct w:val="0"/>
        <w:autoSpaceDE/>
        <w:autoSpaceDN/>
        <w:bidi w:val="0"/>
        <w:adjustRightInd/>
        <w:snapToGrid/>
        <w:spacing w:line="570" w:lineRule="exact"/>
        <w:ind w:firstLine="632" w:firstLineChars="200"/>
        <w:textAlignment w:val="auto"/>
        <w:rPr>
          <w:rFonts w:ascii="方正黑体_GBK" w:hAnsi="方正黑体_GBK" w:eastAsia="方正黑体_GBK" w:cs="方正黑体_GBK"/>
          <w:bCs/>
          <w:kern w:val="0"/>
          <w:shd w:val="clear" w:color="auto" w:fill="FFFFFF"/>
        </w:rPr>
      </w:pPr>
      <w:bookmarkStart w:id="5" w:name="_Toc3331"/>
      <w:r>
        <w:rPr>
          <w:rFonts w:hint="eastAsia" w:ascii="方正黑体_GBK" w:hAnsi="方正黑体_GBK" w:eastAsia="方正黑体_GBK" w:cs="方正黑体_GBK"/>
          <w:bCs/>
          <w:kern w:val="0"/>
          <w:sz w:val="32"/>
          <w:szCs w:val="32"/>
          <w:shd w:val="clear" w:color="auto" w:fill="FFFFFF"/>
        </w:rPr>
        <w:t>二、主要任务</w:t>
      </w:r>
      <w:bookmarkEnd w:id="5"/>
    </w:p>
    <w:p>
      <w:pPr>
        <w:keepNext w:val="0"/>
        <w:keepLines w:val="0"/>
        <w:pageBreakBefore w:val="0"/>
        <w:widowControl/>
        <w:kinsoku/>
        <w:wordWrap/>
        <w:overflowPunct/>
        <w:topLinePunct w:val="0"/>
        <w:autoSpaceDE/>
        <w:autoSpaceDN/>
        <w:bidi w:val="0"/>
        <w:adjustRightInd/>
        <w:snapToGrid/>
        <w:spacing w:line="570" w:lineRule="exact"/>
        <w:ind w:firstLine="632" w:firstLineChars="200"/>
        <w:textAlignment w:val="auto"/>
        <w:rPr>
          <w:rFonts w:ascii="方正楷体_GBK" w:hAnsi="方正楷体_GBK" w:eastAsia="方正楷体_GBK" w:cs="方正楷体_GBK"/>
          <w:bCs/>
          <w:kern w:val="0"/>
          <w:shd w:val="clear" w:color="auto" w:fill="FFFFFF"/>
        </w:rPr>
      </w:pPr>
      <w:r>
        <w:rPr>
          <w:rFonts w:hint="eastAsia" w:ascii="方正楷体_GBK" w:hAnsi="方正楷体_GBK" w:eastAsia="方正楷体_GBK" w:cs="方正楷体_GBK"/>
          <w:bCs/>
          <w:kern w:val="0"/>
          <w:sz w:val="32"/>
          <w:szCs w:val="32"/>
          <w:shd w:val="clear" w:color="auto" w:fill="FFFFFF"/>
        </w:rPr>
        <w:t>（一）增加体育场地设施供给</w:t>
      </w:r>
    </w:p>
    <w:p>
      <w:pPr>
        <w:keepNext w:val="0"/>
        <w:keepLines w:val="0"/>
        <w:pageBreakBefore w:val="0"/>
        <w:widowControl/>
        <w:kinsoku/>
        <w:wordWrap/>
        <w:overflowPunct/>
        <w:topLinePunct w:val="0"/>
        <w:autoSpaceDE/>
        <w:autoSpaceDN/>
        <w:bidi w:val="0"/>
        <w:adjustRightInd/>
        <w:snapToGrid/>
        <w:spacing w:line="570" w:lineRule="exact"/>
        <w:ind w:firstLine="632" w:firstLineChars="200"/>
        <w:textAlignment w:val="auto"/>
        <w:rPr>
          <w:rFonts w:eastAsia="方正仿宋_GBK"/>
          <w:kern w:val="0"/>
          <w:sz w:val="32"/>
          <w:szCs w:val="32"/>
          <w:shd w:val="clear" w:color="auto" w:fill="FFFFFF"/>
        </w:rPr>
      </w:pPr>
      <w:r>
        <w:rPr>
          <w:rFonts w:eastAsia="方正仿宋_GBK"/>
          <w:kern w:val="0"/>
          <w:sz w:val="32"/>
          <w:szCs w:val="32"/>
          <w:shd w:val="clear" w:color="auto" w:fill="FFFFFF"/>
        </w:rPr>
        <w:t>推动区体育中心、全民健身中心、体育公园等公共体育</w:t>
      </w:r>
      <w:r>
        <w:rPr>
          <w:rFonts w:hint="eastAsia" w:eastAsia="方正仿宋_GBK"/>
          <w:kern w:val="0"/>
          <w:sz w:val="32"/>
          <w:szCs w:val="32"/>
          <w:shd w:val="clear" w:color="auto" w:fill="FFFFFF"/>
        </w:rPr>
        <w:t>场地</w:t>
      </w:r>
      <w:r>
        <w:rPr>
          <w:rFonts w:eastAsia="方正仿宋_GBK"/>
          <w:kern w:val="0"/>
          <w:sz w:val="32"/>
          <w:szCs w:val="32"/>
          <w:shd w:val="clear" w:color="auto" w:fill="FFFFFF"/>
        </w:rPr>
        <w:t>建设。推动</w:t>
      </w:r>
      <w:r>
        <w:rPr>
          <w:rFonts w:hint="eastAsia" w:eastAsia="方正仿宋_GBK"/>
          <w:kern w:val="0"/>
          <w:sz w:val="32"/>
          <w:szCs w:val="32"/>
          <w:shd w:val="clear" w:color="auto" w:fill="FFFFFF"/>
        </w:rPr>
        <w:t>利用</w:t>
      </w:r>
      <w:r>
        <w:rPr>
          <w:rFonts w:eastAsia="方正仿宋_GBK"/>
          <w:bCs/>
          <w:sz w:val="32"/>
          <w:szCs w:val="32"/>
        </w:rPr>
        <w:t>城</w:t>
      </w:r>
      <w:r>
        <w:rPr>
          <w:rFonts w:eastAsia="方正仿宋_GBK"/>
          <w:kern w:val="0"/>
          <w:sz w:val="32"/>
          <w:szCs w:val="32"/>
          <w:shd w:val="clear" w:color="auto" w:fill="FFFFFF"/>
        </w:rPr>
        <w:t>乡空闲地、</w:t>
      </w:r>
      <w:r>
        <w:rPr>
          <w:rFonts w:eastAsia="方正仿宋_GBK"/>
          <w:bCs/>
          <w:sz w:val="32"/>
          <w:szCs w:val="32"/>
        </w:rPr>
        <w:t>边角地、</w:t>
      </w:r>
      <w:r>
        <w:rPr>
          <w:rFonts w:eastAsia="方正仿宋_GBK"/>
          <w:kern w:val="0"/>
          <w:sz w:val="32"/>
          <w:szCs w:val="32"/>
          <w:shd w:val="clear" w:color="auto" w:fill="FFFFFF"/>
        </w:rPr>
        <w:t>公园绿地、闲置商业设施、厂房、仓库等可复合利用的资源建设体育设施。围绕滨江、公园、绿地、水域等空间资源，优化布局健身步道、骑行道等。结合我区山水</w:t>
      </w:r>
      <w:r>
        <w:rPr>
          <w:rFonts w:hint="eastAsia" w:eastAsia="方正仿宋_GBK"/>
          <w:kern w:val="0"/>
          <w:sz w:val="32"/>
          <w:szCs w:val="32"/>
          <w:shd w:val="clear" w:color="auto" w:fill="FFFFFF"/>
        </w:rPr>
        <w:t>自然</w:t>
      </w:r>
      <w:r>
        <w:rPr>
          <w:rFonts w:eastAsia="方正仿宋_GBK"/>
          <w:kern w:val="0"/>
          <w:sz w:val="32"/>
          <w:szCs w:val="32"/>
          <w:shd w:val="clear" w:color="auto" w:fill="FFFFFF"/>
        </w:rPr>
        <w:t>环境特点，建设户外健身休闲运动区，结合乡村振兴，因地制宜地改善农村地区体育健身设施。推</w:t>
      </w:r>
      <w:r>
        <w:rPr>
          <w:rFonts w:eastAsia="方正仿宋_GBK"/>
          <w:sz w:val="32"/>
          <w:szCs w:val="32"/>
        </w:rPr>
        <w:t>动各级各类公共体育设施向社会免费或低收费开放</w:t>
      </w:r>
      <w:r>
        <w:rPr>
          <w:rFonts w:hint="eastAsia" w:eastAsia="方正仿宋_GBK"/>
          <w:sz w:val="32"/>
          <w:szCs w:val="32"/>
        </w:rPr>
        <w:t>，</w:t>
      </w:r>
      <w:r>
        <w:rPr>
          <w:rFonts w:eastAsia="方正仿宋_GBK"/>
          <w:kern w:val="0"/>
          <w:sz w:val="32"/>
          <w:szCs w:val="32"/>
          <w:shd w:val="clear" w:color="auto" w:fill="FFFFFF"/>
        </w:rPr>
        <w:t>逐步推进学校体育设施安全有序开放。加强全民健身场地设施运营和维护管理，</w:t>
      </w:r>
      <w:r>
        <w:rPr>
          <w:rFonts w:hint="eastAsia" w:ascii="方正仿宋_GBK" w:hAnsi="方正仿宋_GBK" w:eastAsia="方正仿宋_GBK" w:cs="方正仿宋_GBK"/>
          <w:kern w:val="0"/>
          <w:sz w:val="32"/>
          <w:szCs w:val="32"/>
          <w:shd w:val="clear" w:color="auto" w:fill="FFFFFF"/>
        </w:rPr>
        <w:t>完善“建管并重”的长效机制，通过政府购买服务方式，鼓励社会力</w:t>
      </w:r>
      <w:r>
        <w:rPr>
          <w:rFonts w:eastAsia="方正仿宋_GBK"/>
          <w:kern w:val="0"/>
          <w:sz w:val="32"/>
          <w:szCs w:val="32"/>
          <w:shd w:val="clear" w:color="auto" w:fill="FFFFFF"/>
        </w:rPr>
        <w:t>量参与公共体育设施服务运营管理。</w:t>
      </w:r>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outlineLvl w:val="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（二）丰富全民健身赛事活动</w:t>
      </w:r>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outlineLvl w:val="1"/>
        <w:rPr>
          <w:rFonts w:eastAsia="方正仿宋_GBK"/>
          <w:b/>
          <w:bCs/>
          <w:sz w:val="32"/>
          <w:szCs w:val="32"/>
        </w:rPr>
      </w:pPr>
      <w:r>
        <w:rPr>
          <w:rFonts w:eastAsia="方正仿宋_GBK"/>
          <w:sz w:val="32"/>
          <w:szCs w:val="32"/>
        </w:rPr>
        <w:t>根据我区人群特点，积极开展球类、棋类、徒步、登山、广场舞等群众喜闻乐见的赛事活动，举办街舞、航模、潜水、滑雪等青少年喜爱的体育赛事活动，</w:t>
      </w:r>
      <w:r>
        <w:rPr>
          <w:rFonts w:eastAsia="方正仿宋_GBK"/>
          <w:spacing w:val="5"/>
          <w:sz w:val="32"/>
          <w:szCs w:val="32"/>
          <w:shd w:val="clear" w:color="auto" w:fill="FFFFFF"/>
        </w:rPr>
        <w:t>打造具有区域影响力的品牌赛事活动，构建常态化、精细化的全民健身赛事活动体系。</w:t>
      </w:r>
      <w:r>
        <w:rPr>
          <w:rFonts w:eastAsia="方正仿宋_GBK"/>
          <w:sz w:val="32"/>
          <w:szCs w:val="32"/>
        </w:rPr>
        <w:t>利用</w:t>
      </w:r>
      <w:r>
        <w:rPr>
          <w:rFonts w:hint="eastAsia" w:ascii="方正仿宋_GBK" w:hAnsi="方正仿宋_GBK" w:eastAsia="方正仿宋_GBK" w:cs="方正仿宋_GBK"/>
          <w:sz w:val="32"/>
          <w:szCs w:val="32"/>
        </w:rPr>
        <w:t>“全民健身日”“全民健身月”等时</w:t>
      </w:r>
      <w:r>
        <w:rPr>
          <w:rFonts w:eastAsia="方正仿宋_GBK"/>
          <w:sz w:val="32"/>
          <w:szCs w:val="32"/>
        </w:rPr>
        <w:t>间节点，举办各类全民健身活动，定期举办区运会，发动镇街、部门、行业组织、社会体育组织开展各种全民健身活动。举办群众身</w:t>
      </w:r>
      <w:r>
        <w:rPr>
          <w:rFonts w:hint="eastAsia" w:ascii="方正仿宋_GBK" w:hAnsi="方正仿宋_GBK" w:eastAsia="方正仿宋_GBK" w:cs="方正仿宋_GBK"/>
          <w:sz w:val="32"/>
          <w:szCs w:val="32"/>
        </w:rPr>
        <w:t>边的体育健身赛事，继续开展“百姓赛场”进社区活动。探索全民健身线上线下互动新模式</w:t>
      </w:r>
      <w:r>
        <w:rPr>
          <w:rFonts w:hint="eastAsia" w:ascii="方正仿宋_GBK" w:hAnsi="方正仿宋_GBK" w:eastAsia="方正仿宋_GBK" w:cs="方正仿宋_GBK"/>
          <w:spacing w:val="5"/>
          <w:sz w:val="32"/>
          <w:szCs w:val="32"/>
          <w:shd w:val="clear" w:color="auto" w:fill="FFFFFF"/>
        </w:rPr>
        <w:t>，打</w:t>
      </w:r>
      <w:r>
        <w:rPr>
          <w:rFonts w:eastAsia="方正仿宋_GBK"/>
          <w:spacing w:val="5"/>
          <w:sz w:val="32"/>
          <w:szCs w:val="32"/>
          <w:shd w:val="clear" w:color="auto" w:fill="FFFFFF"/>
        </w:rPr>
        <w:t>破传统线下比赛</w:t>
      </w:r>
      <w:r>
        <w:rPr>
          <w:rFonts w:eastAsia="方正仿宋_GBK"/>
          <w:sz w:val="32"/>
          <w:szCs w:val="32"/>
        </w:rPr>
        <w:t>时间和地域限制，举办覆盖全人群的线上赛事活动。全面推动青少年、老年人、残疾人、少数民族、妇女儿童等人群常态化开展体育活动。</w:t>
      </w:r>
    </w:p>
    <w:p>
      <w:pPr>
        <w:keepNext w:val="0"/>
        <w:keepLines w:val="0"/>
        <w:pageBreakBefore w:val="0"/>
        <w:tabs>
          <w:tab w:val="left" w:pos="546"/>
        </w:tabs>
        <w:kinsoku/>
        <w:wordWrap/>
        <w:overflowPunct/>
        <w:topLinePunct w:val="0"/>
        <w:autoSpaceDE/>
        <w:autoSpaceDN/>
        <w:bidi w:val="0"/>
        <w:adjustRightInd/>
        <w:snapToGrid/>
        <w:spacing w:line="570" w:lineRule="exact"/>
        <w:ind w:firstLine="632" w:firstLineChars="200"/>
        <w:textAlignment w:val="auto"/>
        <w:outlineLvl w:val="1"/>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（三）激发体育社会组织活力</w:t>
      </w:r>
    </w:p>
    <w:p>
      <w:pPr>
        <w:keepNext w:val="0"/>
        <w:keepLines w:val="0"/>
        <w:pageBreakBefore w:val="0"/>
        <w:tabs>
          <w:tab w:val="left" w:pos="546"/>
        </w:tabs>
        <w:kinsoku/>
        <w:wordWrap/>
        <w:overflowPunct/>
        <w:topLinePunct w:val="0"/>
        <w:autoSpaceDE/>
        <w:autoSpaceDN/>
        <w:bidi w:val="0"/>
        <w:adjustRightInd/>
        <w:snapToGrid/>
        <w:spacing w:line="570" w:lineRule="exact"/>
        <w:ind w:firstLine="632" w:firstLineChars="200"/>
        <w:textAlignment w:val="auto"/>
        <w:rPr>
          <w:rFonts w:eastAsia="方正仿宋_GBK"/>
          <w:sz w:val="32"/>
          <w:szCs w:val="32"/>
        </w:rPr>
      </w:pPr>
      <w:r>
        <w:rPr>
          <w:rFonts w:eastAsia="方正仿宋_GBK"/>
          <w:kern w:val="0"/>
          <w:sz w:val="32"/>
          <w:szCs w:val="32"/>
        </w:rPr>
        <w:t>完善以体育总会为枢纽，各级各类单项、行业和人群体育协会为支撑，基层体育组织为主体的全民健身组织网络。</w:t>
      </w:r>
      <w:r>
        <w:rPr>
          <w:rFonts w:eastAsia="方正仿宋_GBK"/>
          <w:sz w:val="32"/>
          <w:szCs w:val="32"/>
        </w:rPr>
        <w:t>发挥体育总会在全民健身中的引领作用，支持职工体育俱乐部、村（社区）健身团队等基层体育健身组织的发展，推动全民健身站点建设。</w:t>
      </w:r>
      <w:r>
        <w:rPr>
          <w:rFonts w:eastAsia="方正仿宋_GBK"/>
          <w:bCs/>
          <w:sz w:val="32"/>
          <w:szCs w:val="32"/>
        </w:rPr>
        <w:t>大力扶持和引导体育协会、体育俱乐部等体育社会组织发展，鼓励民间自发性健身团队和体育社会中介机构依法依规开展全民健身活动。</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0" w:lineRule="exact"/>
        <w:ind w:firstLine="632" w:firstLineChars="200"/>
        <w:textAlignment w:val="auto"/>
        <w:outlineLvl w:val="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（四）提升科学健身指导水平</w:t>
      </w:r>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充分发挥社会体育指导员作用。壮大指导员队伍，优化社会体育指导员年龄结构、技术等级结构，推进社会体育指导员队伍专业化、年轻化。通过与高等院校、体育协会合作拓宽培训渠道，丰富培训方式和内容。通过设立全民健身站点（社会体育指导员指导站点）、评定星级健身队伍等形式，完善社会体育指导员日常管理和激励机制。充分利用新媒体手段传播科学健身方法、健身器材使用、运动损伤防治、科学健身服务指南等群众关心的健身知识。普及疫情常态化下线上健身方法，提高城乡居民科学健身素养。</w:t>
      </w:r>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rPr>
          <w:rFonts w:ascii="方正楷体_GBK" w:hAnsi="方正楷体_GBK" w:eastAsia="方正楷体_GBK" w:cs="方正楷体_GBK"/>
          <w:sz w:val="32"/>
          <w:szCs w:val="32"/>
        </w:rPr>
      </w:pPr>
      <w:bookmarkStart w:id="6" w:name="_Toc19478"/>
      <w:r>
        <w:rPr>
          <w:rFonts w:hint="eastAsia" w:ascii="方正楷体_GBK" w:hAnsi="方正楷体_GBK" w:eastAsia="方正楷体_GBK" w:cs="方正楷体_GBK"/>
          <w:sz w:val="32"/>
          <w:szCs w:val="32"/>
        </w:rPr>
        <w:t>（五）助推体育产业创新发展</w:t>
      </w:r>
      <w:bookmarkEnd w:id="6"/>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rPr>
          <w:rFonts w:eastAsia="方正仿宋_GBK"/>
          <w:kern w:val="0"/>
        </w:rPr>
      </w:pPr>
      <w:r>
        <w:rPr>
          <w:rFonts w:hint="eastAsia" w:ascii="方正仿宋_GBK" w:hAnsi="方正仿宋_GBK" w:eastAsia="方正仿宋_GBK" w:cs="方正仿宋_GBK"/>
          <w:sz w:val="32"/>
          <w:szCs w:val="32"/>
        </w:rPr>
        <w:t>助推体育产业创新发展，努力改变我区体育产业小散弱的现状。鼓励社会力量举办各类健身俱乐部和体育培训机构，为群众提供多元化、个性化健身场所及健身培训、健身指导咨询等服务。鼓励“体医融合”，开展运动康复医学、慢病运动干预，推广“运</w:t>
      </w:r>
      <w:r>
        <w:rPr>
          <w:rFonts w:hint="eastAsia" w:ascii="方正仿宋_GBK" w:hAnsi="方正仿宋_GBK" w:eastAsia="方正仿宋_GBK" w:cs="方正仿宋_GBK"/>
          <w:kern w:val="0"/>
          <w:sz w:val="32"/>
          <w:szCs w:val="32"/>
        </w:rPr>
        <w:t>动处方”、健身咨询和健康调理服务。探索利用新媒体手段建立线上“体育超市”，鼓励体育企业开发符合市场需求的全民健身产品（体育装备、健身服务、赛事服务、培训服务等），并在“体育超市”中推广。通过优化全民健身公共服务的供给结构和方式，提供多</w:t>
      </w:r>
      <w:r>
        <w:rPr>
          <w:rFonts w:eastAsia="方正仿宋_GBK"/>
          <w:kern w:val="0"/>
          <w:sz w:val="32"/>
          <w:szCs w:val="32"/>
        </w:rPr>
        <w:t>元化的健身产品，实现供需的有效对接。</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0" w:lineRule="exact"/>
        <w:ind w:firstLine="632" w:firstLineChars="200"/>
        <w:textAlignment w:val="auto"/>
        <w:outlineLvl w:val="1"/>
        <w:rPr>
          <w:rFonts w:ascii="方正楷体_GBK" w:hAnsi="方正楷体_GBK" w:eastAsia="方正楷体_GBK" w:cs="方正楷体_GBK"/>
          <w:szCs w:val="32"/>
        </w:rPr>
      </w:pPr>
      <w:bookmarkStart w:id="7" w:name="_Toc13043"/>
      <w:r>
        <w:rPr>
          <w:rFonts w:hint="eastAsia" w:ascii="方正楷体_GBK" w:hAnsi="方正楷体_GBK" w:eastAsia="方正楷体_GBK" w:cs="方正楷体_GBK"/>
          <w:sz w:val="32"/>
          <w:szCs w:val="32"/>
        </w:rPr>
        <w:t>（六）促进全民健身全面融合</w:t>
      </w:r>
      <w:bookmarkEnd w:id="7"/>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rPr>
          <w:rFonts w:eastAsia="方正仿宋_GBK"/>
        </w:rPr>
      </w:pPr>
      <w:r>
        <w:rPr>
          <w:rFonts w:eastAsia="方正仿宋_GBK"/>
          <w:sz w:val="32"/>
          <w:szCs w:val="32"/>
        </w:rPr>
        <w:t>深化体教融合。推动</w:t>
      </w:r>
      <w:r>
        <w:rPr>
          <w:rFonts w:eastAsia="方正仿宋_GBK"/>
          <w:bCs/>
          <w:sz w:val="32"/>
          <w:szCs w:val="32"/>
        </w:rPr>
        <w:t>我区《</w:t>
      </w:r>
      <w:r>
        <w:rPr>
          <w:rFonts w:eastAsia="方正仿宋_GBK"/>
          <w:sz w:val="32"/>
          <w:szCs w:val="32"/>
        </w:rPr>
        <w:t>关于深化体教融合促进青少年健康发展的实施意见</w:t>
      </w:r>
      <w:r>
        <w:rPr>
          <w:rFonts w:eastAsia="方正仿宋_GBK"/>
          <w:bCs/>
          <w:sz w:val="32"/>
          <w:szCs w:val="32"/>
        </w:rPr>
        <w:t>》的落实</w:t>
      </w:r>
      <w:r>
        <w:rPr>
          <w:rFonts w:hint="eastAsia" w:eastAsia="方正仿宋_GBK"/>
          <w:bCs/>
          <w:sz w:val="32"/>
          <w:szCs w:val="32"/>
        </w:rPr>
        <w:t>，</w:t>
      </w:r>
      <w:r>
        <w:rPr>
          <w:rFonts w:eastAsia="方正仿宋_GBK"/>
          <w:sz w:val="32"/>
          <w:szCs w:val="32"/>
        </w:rPr>
        <w:t>深入推进学校体育教学改革，保障学生每天校内、校外各1小时体育活动时间，强化运动技能培训，体育部门联合教育部门共同制定青少年体育竞赛计划，共同主办中小学生体育赛事，落实义务教</w:t>
      </w:r>
      <w:r>
        <w:rPr>
          <w:rFonts w:hint="eastAsia" w:eastAsia="方正仿宋_GBK"/>
          <w:sz w:val="32"/>
          <w:szCs w:val="32"/>
        </w:rPr>
        <w:t>育“双减”</w:t>
      </w:r>
      <w:r>
        <w:rPr>
          <w:rFonts w:eastAsia="方正仿宋_GBK"/>
          <w:sz w:val="32"/>
          <w:szCs w:val="32"/>
        </w:rPr>
        <w:t>政策。支持体育社会组织</w:t>
      </w:r>
      <w:r>
        <w:rPr>
          <w:rFonts w:hint="eastAsia" w:eastAsia="方正仿宋_GBK"/>
          <w:sz w:val="32"/>
          <w:szCs w:val="32"/>
        </w:rPr>
        <w:t>开展</w:t>
      </w:r>
      <w:r>
        <w:rPr>
          <w:rFonts w:eastAsia="方正仿宋_GBK"/>
          <w:sz w:val="32"/>
          <w:szCs w:val="32"/>
        </w:rPr>
        <w:t>学校青少年体育活动。</w:t>
      </w:r>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rPr>
          <w:rFonts w:eastAsia="方正仿宋_GBK"/>
        </w:rPr>
      </w:pPr>
      <w:r>
        <w:rPr>
          <w:rFonts w:eastAsia="方正仿宋_GBK"/>
          <w:sz w:val="32"/>
          <w:szCs w:val="32"/>
        </w:rPr>
        <w:t>推动体卫融合。建立体育和卫生健康等部门协同、全社会共同参与的运动促进健康新模式。探索</w:t>
      </w:r>
      <w:r>
        <w:rPr>
          <w:rFonts w:hint="eastAsia" w:eastAsia="方正仿宋_GBK"/>
          <w:sz w:val="32"/>
          <w:szCs w:val="32"/>
        </w:rPr>
        <w:t>与</w:t>
      </w:r>
      <w:r>
        <w:rPr>
          <w:rFonts w:eastAsia="方正仿宋_GBK"/>
          <w:sz w:val="32"/>
          <w:szCs w:val="32"/>
        </w:rPr>
        <w:t>医疗机构、社区共同设立国民体质监测站点和健身服务站点，推动国家体育锻炼标准达标测验活动和国民体质监测常态化开展。支持社区医疗卫生机构设立科学健身和运动康复门诊，</w:t>
      </w:r>
      <w:r>
        <w:rPr>
          <w:rFonts w:hint="eastAsia" w:eastAsia="方正仿宋_GBK"/>
          <w:sz w:val="32"/>
          <w:szCs w:val="32"/>
        </w:rPr>
        <w:t>针</w:t>
      </w:r>
      <w:r>
        <w:rPr>
          <w:rFonts w:eastAsia="方正仿宋_GBK"/>
          <w:sz w:val="32"/>
          <w:szCs w:val="32"/>
        </w:rPr>
        <w:t>对不同职业人群、不同年龄段人群开展运动促进健康、运动伤病预防和运动康复</w:t>
      </w:r>
      <w:r>
        <w:rPr>
          <w:rFonts w:hint="eastAsia" w:eastAsia="方正仿宋_GBK"/>
          <w:sz w:val="32"/>
          <w:szCs w:val="32"/>
        </w:rPr>
        <w:t>指导</w:t>
      </w:r>
      <w:r>
        <w:rPr>
          <w:rFonts w:eastAsia="方正仿宋_GBK"/>
          <w:sz w:val="32"/>
          <w:szCs w:val="32"/>
        </w:rPr>
        <w:t>。</w:t>
      </w:r>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rPr>
          <w:rFonts w:eastAsia="方正仿宋_GBK"/>
        </w:rPr>
      </w:pPr>
      <w:r>
        <w:rPr>
          <w:rFonts w:eastAsia="方正仿宋_GBK"/>
          <w:sz w:val="32"/>
          <w:szCs w:val="32"/>
        </w:rPr>
        <w:t>加快体旅融合。充分发挥我区江河、湖泊、山地等自然资源优势和融创文旅城等体旅综合体优势，推动建设山地户外营地、汽摩运动营地、露营地、定向越野、航空（海）模型、滑翔、滑雪、潜水等运动项目设施。依托各类体育设施打造徒步、定向、山水陆空全覆盖的赛事活动，重点推动科技体育赛事。打造一批有影响力的体育赛事基地、体育旅游精品线路和精品赛事，促进赛事体验和旅游深度融合。</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0" w:lineRule="exact"/>
        <w:ind w:firstLine="632" w:firstLineChars="200"/>
        <w:textAlignment w:val="auto"/>
        <w:outlineLvl w:val="1"/>
        <w:rPr>
          <w:rFonts w:ascii="方正楷体_GBK" w:hAnsi="方正楷体_GBK" w:eastAsia="方正楷体_GBK" w:cs="方正楷体_GBK"/>
          <w:szCs w:val="32"/>
        </w:rPr>
      </w:pPr>
      <w:bookmarkStart w:id="8" w:name="_Toc25554"/>
      <w:r>
        <w:rPr>
          <w:rFonts w:hint="eastAsia" w:ascii="方正楷体_GBK" w:hAnsi="方正楷体_GBK" w:eastAsia="方正楷体_GBK" w:cs="方正楷体_GBK"/>
          <w:sz w:val="32"/>
          <w:szCs w:val="32"/>
        </w:rPr>
        <w:t>（七）营造全民健身文化氛围</w:t>
      </w:r>
      <w:bookmarkEnd w:id="8"/>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rPr>
          <w:rFonts w:eastAsia="方正仿宋_GBK"/>
        </w:rPr>
      </w:pPr>
      <w:r>
        <w:rPr>
          <w:rFonts w:eastAsia="方正仿宋_GBK"/>
          <w:sz w:val="32"/>
          <w:szCs w:val="32"/>
        </w:rPr>
        <w:t>普及全民健身文化与全民健康理念，</w:t>
      </w:r>
      <w:r>
        <w:rPr>
          <w:rFonts w:hint="eastAsia" w:eastAsia="方正仿宋_GBK"/>
          <w:sz w:val="32"/>
          <w:szCs w:val="32"/>
        </w:rPr>
        <w:t>发挥</w:t>
      </w:r>
      <w:r>
        <w:rPr>
          <w:rFonts w:eastAsia="方正仿宋_GBK"/>
          <w:sz w:val="32"/>
          <w:szCs w:val="32"/>
        </w:rPr>
        <w:t>体育健身</w:t>
      </w:r>
      <w:r>
        <w:rPr>
          <w:rFonts w:hint="eastAsia" w:eastAsia="方正仿宋_GBK"/>
          <w:sz w:val="32"/>
          <w:szCs w:val="32"/>
        </w:rPr>
        <w:t>在</w:t>
      </w:r>
      <w:r>
        <w:rPr>
          <w:rFonts w:eastAsia="方正仿宋_GBK"/>
          <w:sz w:val="32"/>
          <w:szCs w:val="32"/>
        </w:rPr>
        <w:t>形成健康文明生活方式</w:t>
      </w:r>
      <w:r>
        <w:rPr>
          <w:rFonts w:hint="eastAsia" w:eastAsia="方正仿宋_GBK"/>
          <w:sz w:val="32"/>
          <w:szCs w:val="32"/>
        </w:rPr>
        <w:t>中</w:t>
      </w:r>
      <w:r>
        <w:rPr>
          <w:rFonts w:eastAsia="方正仿宋_GBK"/>
          <w:sz w:val="32"/>
          <w:szCs w:val="32"/>
        </w:rPr>
        <w:t>的独特作用。大力宣传奥林匹克精神、中华体育精神，挖掘体育文化对提升城市软实力方面的独特价值。大力弘扬志愿服务精神，将全民健身志愿服务融入红岩志愿服务体系。建立全民健身宣传平台，广泛宣传全民健身榜样，讲述全民健身故事，树立健康向上的良好社会风尚。</w:t>
      </w:r>
    </w:p>
    <w:p>
      <w:pPr>
        <w:pStyle w:val="3"/>
        <w:keepNext w:val="0"/>
        <w:keepLines w:val="0"/>
        <w:pageBreakBefore w:val="0"/>
        <w:kinsoku/>
        <w:wordWrap/>
        <w:overflowPunct/>
        <w:topLinePunct w:val="0"/>
        <w:autoSpaceDE/>
        <w:autoSpaceDN/>
        <w:bidi w:val="0"/>
        <w:adjustRightInd/>
        <w:snapToGrid/>
        <w:spacing w:line="570" w:lineRule="exact"/>
        <w:ind w:left="0" w:leftChars="0" w:firstLine="632" w:firstLineChars="200"/>
        <w:jc w:val="both"/>
        <w:textAlignment w:val="auto"/>
        <w:rPr>
          <w:rFonts w:ascii="方正黑体_GBK" w:hAnsi="方正黑体_GBK" w:eastAsia="方正黑体_GBK" w:cs="方正黑体_GBK"/>
          <w:b/>
          <w:sz w:val="32"/>
          <w:szCs w:val="32"/>
        </w:rPr>
      </w:pPr>
      <w:bookmarkStart w:id="9" w:name="_Toc32260"/>
      <w:r>
        <w:rPr>
          <w:rFonts w:ascii="方正黑体_GBK" w:hAnsi="方正黑体_GBK" w:eastAsia="方正黑体_GBK" w:cs="方正黑体_GBK"/>
          <w:sz w:val="32"/>
          <w:szCs w:val="32"/>
        </w:rPr>
        <w:t>三、</w:t>
      </w:r>
      <w:bookmarkEnd w:id="9"/>
      <w:bookmarkStart w:id="10" w:name="_Toc2572"/>
      <w:r>
        <w:rPr>
          <w:rFonts w:ascii="方正黑体_GBK" w:hAnsi="方正黑体_GBK" w:eastAsia="方正黑体_GBK" w:cs="方正黑体_GBK"/>
          <w:sz w:val="32"/>
          <w:szCs w:val="32"/>
        </w:rPr>
        <w:t>保障</w:t>
      </w:r>
      <w:bookmarkEnd w:id="10"/>
      <w:r>
        <w:rPr>
          <w:rFonts w:ascii="方正黑体_GBK" w:hAnsi="方正黑体_GBK" w:eastAsia="方正黑体_GBK" w:cs="方正黑体_GBK"/>
          <w:sz w:val="32"/>
          <w:szCs w:val="32"/>
        </w:rPr>
        <w:t>措施</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0" w:lineRule="exact"/>
        <w:ind w:firstLine="632" w:firstLineChars="200"/>
        <w:textAlignment w:val="auto"/>
        <w:outlineLvl w:val="1"/>
        <w:rPr>
          <w:rFonts w:ascii="方正楷体_GBK" w:hAnsi="方正楷体_GBK" w:eastAsia="方正楷体_GBK" w:cs="方正楷体_GBK"/>
          <w:kern w:val="2"/>
          <w:szCs w:val="32"/>
        </w:rPr>
      </w:pPr>
      <w:bookmarkStart w:id="11" w:name="_Toc29512"/>
      <w:r>
        <w:rPr>
          <w:rFonts w:hint="eastAsia" w:ascii="方正楷体_GBK" w:hAnsi="方正楷体_GBK" w:eastAsia="方正楷体_GBK" w:cs="方正楷体_GBK"/>
          <w:kern w:val="2"/>
          <w:sz w:val="32"/>
          <w:szCs w:val="32"/>
        </w:rPr>
        <w:t>（一）加强组织领导</w:t>
      </w:r>
      <w:bookmarkEnd w:id="11"/>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rPr>
          <w:rFonts w:eastAsia="方正仿宋_GBK"/>
        </w:rPr>
      </w:pPr>
      <w:r>
        <w:rPr>
          <w:rFonts w:eastAsia="方正仿宋_GBK"/>
          <w:bCs/>
          <w:sz w:val="32"/>
          <w:szCs w:val="32"/>
        </w:rPr>
        <w:t>加强党对全民健身工作的全面领导，完善政府主导、社会协同、大众广泛参与的全民健身工作机制。</w:t>
      </w:r>
      <w:r>
        <w:rPr>
          <w:rFonts w:eastAsia="方正仿宋_GBK"/>
          <w:sz w:val="32"/>
          <w:szCs w:val="32"/>
        </w:rPr>
        <w:t>将全民健身公共服务体系纳入国民经济和社会发展基本公共服务规划，将重点工作纳入政府民生实事项目加以推进。</w:t>
      </w:r>
      <w:r>
        <w:rPr>
          <w:rFonts w:eastAsia="方正仿宋_GBK"/>
          <w:bCs/>
          <w:sz w:val="32"/>
          <w:szCs w:val="32"/>
        </w:rPr>
        <w:t>完善</w:t>
      </w:r>
      <w:r>
        <w:rPr>
          <w:rFonts w:eastAsia="方正仿宋_GBK"/>
          <w:sz w:val="32"/>
          <w:szCs w:val="32"/>
        </w:rPr>
        <w:t>全民健身工作联席会议制度，定期研究全民健身工作，促进部门协同合作。</w:t>
      </w:r>
    </w:p>
    <w:p>
      <w:pPr>
        <w:pStyle w:val="14"/>
        <w:keepNext w:val="0"/>
        <w:keepLines w:val="0"/>
        <w:pageBreakBefore w:val="0"/>
        <w:kinsoku/>
        <w:wordWrap/>
        <w:overflowPunct/>
        <w:topLinePunct w:val="0"/>
        <w:autoSpaceDE/>
        <w:autoSpaceDN/>
        <w:bidi w:val="0"/>
        <w:adjustRightInd/>
        <w:snapToGrid/>
        <w:spacing w:after="0" w:line="570" w:lineRule="exact"/>
        <w:ind w:left="0" w:leftChars="0" w:firstLine="632" w:firstLineChars="200"/>
        <w:textAlignment w:val="auto"/>
        <w:outlineLvl w:val="1"/>
        <w:rPr>
          <w:rFonts w:ascii="方正楷体_GBK" w:hAnsi="方正楷体_GBK" w:eastAsia="方正楷体_GBK" w:cs="方正楷体_GBK"/>
        </w:rPr>
      </w:pPr>
      <w:bookmarkStart w:id="12" w:name="_Toc14508"/>
      <w:r>
        <w:rPr>
          <w:rFonts w:hint="eastAsia" w:ascii="方正楷体_GBK" w:hAnsi="方正楷体_GBK" w:eastAsia="方正楷体_GBK" w:cs="方正楷体_GBK"/>
          <w:sz w:val="32"/>
          <w:szCs w:val="32"/>
        </w:rPr>
        <w:t>（二）加大政策支持</w:t>
      </w:r>
      <w:bookmarkEnd w:id="12"/>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rPr>
          <w:rFonts w:eastAsia="方正仿宋_GBK"/>
        </w:rPr>
      </w:pPr>
      <w:r>
        <w:rPr>
          <w:rFonts w:eastAsia="方正仿宋_GBK"/>
          <w:bCs/>
          <w:sz w:val="32"/>
          <w:szCs w:val="32"/>
        </w:rPr>
        <w:t>将全民健身工作所需经费纳入本级财政预算。加大体育彩票销售力度，增加体彩公益金收入，</w:t>
      </w:r>
      <w:r>
        <w:rPr>
          <w:rFonts w:eastAsia="方正仿宋_GBK"/>
          <w:sz w:val="32"/>
          <w:szCs w:val="32"/>
        </w:rPr>
        <w:t>并确保体彩公益金重点用于全民健身事业</w:t>
      </w:r>
      <w:r>
        <w:rPr>
          <w:rFonts w:eastAsia="方正仿宋_GBK"/>
          <w:bCs/>
          <w:sz w:val="32"/>
          <w:szCs w:val="32"/>
        </w:rPr>
        <w:t>。将公共体育设施用地纳入国土空间规划，盘活城市空闲土地、用好公益性建设用地。引导公众对全民健身进行资助捐赠，广泛吸纳社会资金发展全民健身事业。</w:t>
      </w:r>
    </w:p>
    <w:p>
      <w:pPr>
        <w:pStyle w:val="12"/>
        <w:keepNext w:val="0"/>
        <w:keepLines w:val="0"/>
        <w:pageBreakBefore w:val="0"/>
        <w:kinsoku/>
        <w:wordWrap/>
        <w:overflowPunct/>
        <w:topLinePunct w:val="0"/>
        <w:autoSpaceDE/>
        <w:autoSpaceDN/>
        <w:bidi w:val="0"/>
        <w:adjustRightInd/>
        <w:snapToGrid/>
        <w:spacing w:before="0" w:beforeAutospacing="0" w:after="0" w:afterAutospacing="0" w:line="570" w:lineRule="exact"/>
        <w:ind w:firstLine="632" w:firstLineChars="200"/>
        <w:textAlignment w:val="auto"/>
        <w:outlineLvl w:val="1"/>
        <w:rPr>
          <w:rFonts w:ascii="方正楷体_GBK" w:hAnsi="方正楷体_GBK" w:eastAsia="方正楷体_GBK" w:cs="方正楷体_GBK"/>
          <w:kern w:val="2"/>
          <w:szCs w:val="32"/>
        </w:rPr>
      </w:pPr>
      <w:bookmarkStart w:id="13" w:name="_Toc12390"/>
      <w:r>
        <w:rPr>
          <w:rFonts w:hint="eastAsia" w:ascii="方正楷体_GBK" w:hAnsi="方正楷体_GBK" w:eastAsia="方正楷体_GBK" w:cs="方正楷体_GBK"/>
          <w:kern w:val="2"/>
          <w:sz w:val="32"/>
          <w:szCs w:val="32"/>
        </w:rPr>
        <w:t>（三）</w:t>
      </w:r>
      <w:bookmarkEnd w:id="13"/>
      <w:r>
        <w:rPr>
          <w:rFonts w:hint="eastAsia" w:ascii="方正楷体_GBK" w:hAnsi="方正楷体_GBK" w:eastAsia="方正楷体_GBK" w:cs="方正楷体_GBK"/>
          <w:kern w:val="2"/>
          <w:sz w:val="32"/>
          <w:szCs w:val="32"/>
        </w:rPr>
        <w:t>加强安全保障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default" w:ascii="Times New Roman" w:hAnsi="Times New Roman" w:eastAsia="方正小标宋_GBK" w:cs="Times New Roman"/>
          <w:color w:val="000000"/>
          <w:sz w:val="44"/>
          <w:szCs w:val="44"/>
        </w:rPr>
      </w:pPr>
      <w:r>
        <w:rPr>
          <w:rFonts w:eastAsia="方正仿宋_GBK"/>
          <w:sz w:val="32"/>
          <w:szCs w:val="32"/>
        </w:rPr>
        <w:t>建立全民健身风险防控制度。加强公共体育设施的日常监管、维护维修，确保公共体育设施建设安全、运营安全与开放安全。加强赛事活动安全监管，按</w:t>
      </w:r>
      <w:r>
        <w:rPr>
          <w:rFonts w:hint="eastAsia" w:ascii="方正仿宋_GBK" w:hAnsi="方正仿宋_GBK" w:eastAsia="方正仿宋_GBK" w:cs="方正仿宋_GBK"/>
          <w:sz w:val="32"/>
          <w:szCs w:val="32"/>
        </w:rPr>
        <w:t>照 “谁主办、谁负责”的要求，强化责任意识、风险意识，压实压紧安全监管责任，</w:t>
      </w:r>
      <w:r>
        <w:rPr>
          <w:rFonts w:eastAsia="方正仿宋_GBK"/>
          <w:sz w:val="32"/>
          <w:szCs w:val="32"/>
        </w:rPr>
        <w:t>确保全民健身赛事活动安全有序开展。</w:t>
      </w:r>
      <w:r>
        <w:rPr>
          <w:rFonts w:hint="default" w:ascii="Times New Roman" w:hAnsi="Times New Roman" w:eastAsia="方正小标宋_GBK" w:cs="Times New Roman"/>
          <w:color w:val="000000"/>
          <w:sz w:val="32"/>
          <w:szCs w:val="32"/>
        </w:rPr>
        <w:br w:type="page"/>
      </w:r>
    </w:p>
    <w:p>
      <w:pPr>
        <w:spacing w:line="594" w:lineRule="exact"/>
        <w:jc w:val="center"/>
        <w:rPr>
          <w:rFonts w:hint="eastAsia" w:ascii="方正小标宋_GBK" w:hAnsi="宋体" w:eastAsia="方正小标宋_GBK" w:cs="Times New Roman"/>
          <w:bCs/>
          <w:color w:val="000000"/>
          <w:sz w:val="44"/>
          <w:szCs w:val="24"/>
        </w:rPr>
      </w:pPr>
      <w:r>
        <w:rPr>
          <w:rFonts w:hint="eastAsia" w:ascii="方正小标宋_GBK" w:hAnsi="宋体" w:eastAsia="方正小标宋_GBK" w:cs="Times New Roman"/>
          <w:bCs/>
          <w:color w:val="000000"/>
          <w:sz w:val="44"/>
          <w:szCs w:val="24"/>
        </w:rPr>
        <w:t>重庆市沙坪坝区人民政府办公室</w:t>
      </w:r>
    </w:p>
    <w:p>
      <w:pPr>
        <w:spacing w:line="594" w:lineRule="exact"/>
        <w:jc w:val="center"/>
        <w:rPr>
          <w:rFonts w:hint="eastAsia" w:ascii="方正小标宋_GBK" w:hAnsi="宋体" w:eastAsia="方正小标宋_GBK" w:cs="Times New Roman"/>
          <w:bCs/>
          <w:color w:val="000000"/>
          <w:sz w:val="44"/>
          <w:szCs w:val="24"/>
        </w:rPr>
      </w:pPr>
      <w:r>
        <w:rPr>
          <w:rFonts w:hint="eastAsia" w:ascii="方正小标宋_GBK" w:hAnsi="宋体" w:eastAsia="方正小标宋_GBK" w:cs="Times New Roman"/>
          <w:bCs/>
          <w:color w:val="000000"/>
          <w:sz w:val="44"/>
          <w:szCs w:val="24"/>
        </w:rPr>
        <w:t>关于印发《重庆市沙坪坝区森林火灾应急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宋体" w:eastAsia="方正小标宋_GBK" w:cs="Times New Roman"/>
          <w:bCs/>
          <w:color w:val="000000"/>
          <w:sz w:val="44"/>
          <w:szCs w:val="24"/>
        </w:rPr>
      </w:pPr>
      <w:r>
        <w:rPr>
          <w:rFonts w:hint="eastAsia" w:ascii="方正小标宋_GBK" w:hAnsi="宋体" w:eastAsia="方正小标宋_GBK" w:cs="Times New Roman"/>
          <w:bCs/>
          <w:color w:val="000000"/>
          <w:sz w:val="44"/>
          <w:szCs w:val="24"/>
        </w:rPr>
        <w:t>预案》的通知</w:t>
      </w:r>
    </w:p>
    <w:p>
      <w:pPr>
        <w:pStyle w:val="2"/>
        <w:rPr>
          <w:rFonts w:hint="eastAsia"/>
        </w:rPr>
      </w:pPr>
    </w:p>
    <w:p>
      <w:pPr>
        <w:spacing w:line="600" w:lineRule="exact"/>
        <w:jc w:val="center"/>
        <w:rPr>
          <w:rFonts w:hint="eastAsia" w:ascii="Times New Roman" w:hAnsi="Times New Roman" w:eastAsia="方正楷体_GBK" w:cs="Times New Roman"/>
          <w:color w:val="000000"/>
          <w:kern w:val="0"/>
          <w:sz w:val="32"/>
          <w:szCs w:val="32"/>
        </w:rPr>
      </w:pPr>
      <w:r>
        <w:rPr>
          <w:rFonts w:hint="eastAsia" w:ascii="Times New Roman" w:hAnsi="Times New Roman" w:eastAsia="方正楷体_GBK" w:cs="Times New Roman"/>
          <w:color w:val="000000"/>
          <w:kern w:val="0"/>
          <w:sz w:val="32"/>
          <w:szCs w:val="32"/>
        </w:rPr>
        <w:t>沙府办发〔2022〕16号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eastAsia="方正仿宋_GBK" w:cs="方正仿宋_GBK"/>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jc w:val="left"/>
        <w:textAlignment w:val="auto"/>
        <w:rPr>
          <w:rFonts w:eastAsia="方正仿宋_GBK"/>
          <w:sz w:val="32"/>
          <w:szCs w:val="20"/>
        </w:rPr>
      </w:pPr>
      <w:r>
        <w:rPr>
          <w:rFonts w:eastAsia="方正仿宋_GBK"/>
          <w:sz w:val="32"/>
          <w:szCs w:val="20"/>
        </w:rPr>
        <w:t>各镇人民政府、街道办事处，区政府各部门，各人民团体，有关单位：</w:t>
      </w:r>
    </w:p>
    <w:p>
      <w:pPr>
        <w:keepNext w:val="0"/>
        <w:keepLines w:val="0"/>
        <w:pageBreakBefore w:val="0"/>
        <w:widowControl w:val="0"/>
        <w:kinsoku/>
        <w:wordWrap/>
        <w:overflowPunct/>
        <w:topLinePunct w:val="0"/>
        <w:autoSpaceDE/>
        <w:autoSpaceDN/>
        <w:bidi w:val="0"/>
        <w:adjustRightInd/>
        <w:snapToGrid w:val="0"/>
        <w:spacing w:line="570" w:lineRule="exact"/>
        <w:ind w:firstLine="632" w:firstLineChars="200"/>
        <w:textAlignment w:val="auto"/>
        <w:rPr>
          <w:rFonts w:ascii="方正仿宋_GBK" w:hAnsi="Calibri" w:eastAsia="方正仿宋_GBK" w:cs="Times New Roman"/>
          <w:sz w:val="32"/>
          <w:szCs w:val="32"/>
        </w:rPr>
      </w:pPr>
      <w:r>
        <w:rPr>
          <w:rFonts w:eastAsia="方正仿宋_GBK"/>
          <w:sz w:val="32"/>
          <w:szCs w:val="20"/>
        </w:rPr>
        <w:t>《重庆市沙坪坝区森林火灾应急预案》已经区政府同意，现印发给你们，请认真贯彻执行。</w:t>
      </w:r>
    </w:p>
    <w:p>
      <w:pPr>
        <w:keepNext w:val="0"/>
        <w:keepLines w:val="0"/>
        <w:pageBreakBefore w:val="0"/>
        <w:widowControl w:val="0"/>
        <w:kinsoku/>
        <w:wordWrap/>
        <w:overflowPunct/>
        <w:topLinePunct w:val="0"/>
        <w:autoSpaceDE/>
        <w:autoSpaceDN/>
        <w:bidi w:val="0"/>
        <w:adjustRightInd/>
        <w:spacing w:line="570" w:lineRule="exact"/>
        <w:jc w:val="right"/>
        <w:textAlignment w:val="auto"/>
        <w:rPr>
          <w:rFonts w:ascii="方正仿宋_GBK" w:hAnsi="Calibri" w:eastAsia="方正仿宋_GBK" w:cs="Times New Roman"/>
          <w:sz w:val="32"/>
          <w:szCs w:val="32"/>
        </w:rPr>
      </w:pPr>
    </w:p>
    <w:p>
      <w:pPr>
        <w:pStyle w:val="2"/>
      </w:pPr>
    </w:p>
    <w:p>
      <w:pPr>
        <w:keepNext w:val="0"/>
        <w:keepLines w:val="0"/>
        <w:pageBreakBefore w:val="0"/>
        <w:widowControl w:val="0"/>
        <w:kinsoku/>
        <w:wordWrap/>
        <w:overflowPunct/>
        <w:topLinePunct w:val="0"/>
        <w:autoSpaceDE/>
        <w:autoSpaceDN/>
        <w:bidi w:val="0"/>
        <w:adjustRightInd/>
        <w:spacing w:line="570" w:lineRule="exact"/>
        <w:ind w:right="320"/>
        <w:jc w:val="right"/>
        <w:textAlignment w:val="auto"/>
        <w:rPr>
          <w:rFonts w:hint="default" w:ascii="Times New Roman" w:hAnsi="Times New Roman" w:eastAsia="方正仿宋_GBK" w:cs="Times New Roman"/>
          <w:sz w:val="32"/>
          <w:szCs w:val="32"/>
        </w:rPr>
      </w:pPr>
      <w:r>
        <w:rPr>
          <w:rFonts w:hint="eastAsia" w:ascii="方正仿宋_GBK" w:hAnsi="Calibri" w:eastAsia="方正仿宋_GBK" w:cs="Times New Roman"/>
          <w:sz w:val="32"/>
          <w:szCs w:val="32"/>
        </w:rPr>
        <w:t>重庆</w:t>
      </w:r>
      <w:r>
        <w:rPr>
          <w:rFonts w:hint="default" w:ascii="Times New Roman" w:hAnsi="Times New Roman" w:eastAsia="方正仿宋_GBK" w:cs="Times New Roman"/>
          <w:sz w:val="32"/>
          <w:szCs w:val="32"/>
        </w:rPr>
        <w:t>市沙坪坝区人民政府办公室</w:t>
      </w:r>
    </w:p>
    <w:p>
      <w:pPr>
        <w:keepNext w:val="0"/>
        <w:keepLines w:val="0"/>
        <w:pageBreakBefore w:val="0"/>
        <w:widowControl w:val="0"/>
        <w:kinsoku/>
        <w:wordWrap/>
        <w:overflowPunct/>
        <w:topLinePunct w:val="0"/>
        <w:autoSpaceDE/>
        <w:autoSpaceDN/>
        <w:bidi w:val="0"/>
        <w:adjustRightInd/>
        <w:spacing w:line="57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eastAsia="方正仿宋_GBK"/>
          <w:sz w:val="32"/>
          <w:szCs w:val="32"/>
        </w:rPr>
        <w:t>202</w:t>
      </w:r>
      <w:r>
        <w:rPr>
          <w:rFonts w:hint="eastAsia" w:eastAsia="方正仿宋_GBK"/>
          <w:sz w:val="32"/>
          <w:szCs w:val="32"/>
        </w:rPr>
        <w:t>2</w:t>
      </w:r>
      <w:r>
        <w:rPr>
          <w:rFonts w:eastAsia="方正仿宋_GBK"/>
          <w:sz w:val="32"/>
          <w:szCs w:val="32"/>
        </w:rPr>
        <w:t>年</w:t>
      </w:r>
      <w:r>
        <w:rPr>
          <w:rFonts w:hint="eastAsia" w:eastAsia="方正仿宋_GBK"/>
          <w:sz w:val="32"/>
          <w:szCs w:val="32"/>
        </w:rPr>
        <w:t>2</w:t>
      </w:r>
      <w:r>
        <w:rPr>
          <w:rFonts w:eastAsia="方正仿宋_GBK"/>
          <w:sz w:val="32"/>
          <w:szCs w:val="32"/>
        </w:rPr>
        <w:t>月</w:t>
      </w:r>
      <w:r>
        <w:rPr>
          <w:rFonts w:hint="eastAsia" w:eastAsia="方正仿宋_GBK"/>
          <w:sz w:val="32"/>
          <w:szCs w:val="32"/>
        </w:rPr>
        <w:t>25</w:t>
      </w:r>
      <w:r>
        <w:rPr>
          <w:rFonts w:eastAsia="方正仿宋_GBK"/>
          <w:sz w:val="32"/>
          <w:szCs w:val="32"/>
        </w:rPr>
        <w:t>日</w:t>
      </w:r>
    </w:p>
    <w:p>
      <w:pPr>
        <w:keepNext w:val="0"/>
        <w:keepLines w:val="0"/>
        <w:pageBreakBefore w:val="0"/>
        <w:widowControl w:val="0"/>
        <w:kinsoku/>
        <w:wordWrap/>
        <w:overflowPunct/>
        <w:topLinePunct w:val="0"/>
        <w:autoSpaceDE/>
        <w:autoSpaceDN/>
        <w:bidi w:val="0"/>
        <w:adjustRightInd/>
        <w:spacing w:line="570" w:lineRule="exact"/>
        <w:ind w:firstLine="632"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Calibri" w:eastAsia="方正小标宋_GBK" w:cs="Times New Roman"/>
          <w:sz w:val="44"/>
          <w:szCs w:val="44"/>
        </w:rPr>
      </w:pPr>
      <w:r>
        <w:rPr>
          <w:rFonts w:ascii="Times New Roman" w:hAnsi="Times New Roman" w:eastAsia="方正仿宋_GBK" w:cs="Times New Roman"/>
          <w:sz w:val="32"/>
          <w:szCs w:val="32"/>
        </w:rPr>
        <w:t xml:space="preserve"> </w:t>
      </w:r>
      <w:r>
        <w:rPr>
          <w:rFonts w:hint="eastAsia" w:ascii="方正小标宋_GBK" w:hAnsi="Calibri" w:eastAsia="方正小标宋_GBK" w:cs="Times New Roman"/>
          <w:sz w:val="44"/>
          <w:szCs w:val="44"/>
        </w:rPr>
        <w:t xml:space="preserve"> </w:t>
      </w:r>
    </w:p>
    <w:p/>
    <w:p>
      <w:pPr>
        <w:pStyle w:val="2"/>
      </w:pPr>
    </w:p>
    <w:p>
      <w:pPr>
        <w:pStyle w:val="2"/>
      </w:pPr>
    </w:p>
    <w:p/>
    <w:p>
      <w:pPr>
        <w:autoSpaceDE w:val="0"/>
        <w:autoSpaceDN w:val="0"/>
        <w:adjustRightInd w:val="0"/>
        <w:spacing w:line="540" w:lineRule="exact"/>
        <w:jc w:val="center"/>
        <w:rPr>
          <w:rFonts w:eastAsia="方正小标宋_GBK"/>
          <w:kern w:val="0"/>
          <w:sz w:val="44"/>
          <w:szCs w:val="44"/>
        </w:rPr>
      </w:pPr>
    </w:p>
    <w:p>
      <w:pPr>
        <w:autoSpaceDE w:val="0"/>
        <w:autoSpaceDN w:val="0"/>
        <w:adjustRightInd w:val="0"/>
        <w:spacing w:line="540" w:lineRule="exact"/>
        <w:jc w:val="center"/>
        <w:rPr>
          <w:rFonts w:eastAsia="方正小标宋_GBK"/>
          <w:kern w:val="0"/>
          <w:sz w:val="44"/>
          <w:szCs w:val="44"/>
        </w:rPr>
      </w:pPr>
    </w:p>
    <w:p>
      <w:pPr>
        <w:autoSpaceDE w:val="0"/>
        <w:autoSpaceDN w:val="0"/>
        <w:adjustRightInd w:val="0"/>
        <w:spacing w:line="540" w:lineRule="exact"/>
        <w:jc w:val="center"/>
        <w:rPr>
          <w:rFonts w:eastAsia="方正小标宋_GBK"/>
          <w:kern w:val="0"/>
          <w:sz w:val="44"/>
          <w:szCs w:val="44"/>
        </w:rPr>
      </w:pPr>
    </w:p>
    <w:p>
      <w:pPr>
        <w:autoSpaceDE w:val="0"/>
        <w:autoSpaceDN w:val="0"/>
        <w:adjustRightInd w:val="0"/>
        <w:spacing w:line="540" w:lineRule="exact"/>
        <w:jc w:val="center"/>
        <w:rPr>
          <w:rFonts w:eastAsia="方正小标宋_GBK"/>
          <w:kern w:val="0"/>
          <w:sz w:val="44"/>
          <w:szCs w:val="44"/>
        </w:rPr>
      </w:pPr>
      <w:r>
        <w:rPr>
          <w:rFonts w:eastAsia="方正小标宋_GBK"/>
          <w:kern w:val="0"/>
          <w:sz w:val="44"/>
          <w:szCs w:val="44"/>
        </w:rPr>
        <w:t>重庆市沙坪坝区森林火灾应急预案</w:t>
      </w:r>
    </w:p>
    <w:p>
      <w:pPr>
        <w:pStyle w:val="2"/>
      </w:pPr>
    </w:p>
    <w:p>
      <w:pPr>
        <w:pageBreakBefore w:val="0"/>
        <w:widowControl w:val="0"/>
        <w:tabs>
          <w:tab w:val="right" w:leader="dot" w:pos="8844"/>
        </w:tabs>
        <w:kinsoku/>
        <w:wordWrap/>
        <w:overflowPunct/>
        <w:topLinePunct w:val="0"/>
        <w:autoSpaceDE/>
        <w:autoSpaceDN/>
        <w:bidi w:val="0"/>
        <w:adjustRightInd w:val="0"/>
        <w:snapToGrid w:val="0"/>
        <w:spacing w:line="570" w:lineRule="exact"/>
        <w:ind w:firstLine="632" w:firstLineChars="200"/>
        <w:jc w:val="both"/>
        <w:textAlignment w:val="auto"/>
        <w:outlineLvl w:val="0"/>
        <w:rPr>
          <w:rFonts w:ascii="微软雅黑" w:hAnsi="微软雅黑" w:eastAsia="方正黑体_GBK"/>
          <w:kern w:val="44"/>
          <w:sz w:val="32"/>
          <w:szCs w:val="24"/>
        </w:rPr>
      </w:pPr>
      <w:r>
        <w:rPr>
          <w:rFonts w:eastAsia="方正黑体_GBK"/>
          <w:kern w:val="44"/>
          <w:sz w:val="32"/>
          <w:szCs w:val="24"/>
        </w:rPr>
        <w:t xml:space="preserve">1 </w:t>
      </w:r>
      <w:r>
        <w:rPr>
          <w:rFonts w:ascii="微软雅黑" w:hAnsi="微软雅黑" w:eastAsia="方正黑体_GBK"/>
          <w:kern w:val="44"/>
          <w:sz w:val="32"/>
          <w:szCs w:val="24"/>
        </w:rPr>
        <w:t xml:space="preserve"> 总则</w:t>
      </w:r>
    </w:p>
    <w:p>
      <w:pPr>
        <w:keepNext/>
        <w:keepLines/>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1"/>
        <w:rPr>
          <w:rFonts w:eastAsia="方正楷体_GBK"/>
          <w:sz w:val="32"/>
          <w:szCs w:val="20"/>
        </w:rPr>
      </w:pPr>
      <w:bookmarkStart w:id="14" w:name="_Toc24923"/>
      <w:r>
        <w:rPr>
          <w:rFonts w:eastAsia="方正楷体_GBK"/>
          <w:sz w:val="32"/>
          <w:szCs w:val="20"/>
        </w:rPr>
        <w:t>1.1  指导思想</w:t>
      </w:r>
      <w:bookmarkEnd w:id="14"/>
    </w:p>
    <w:p>
      <w:pPr>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eastAsia="方正仿宋_GBK"/>
          <w:kern w:val="0"/>
          <w:sz w:val="32"/>
          <w:szCs w:val="32"/>
        </w:rPr>
      </w:pPr>
      <w:r>
        <w:rPr>
          <w:rFonts w:eastAsia="方正仿宋_GBK"/>
          <w:kern w:val="0"/>
          <w:sz w:val="32"/>
          <w:szCs w:val="32"/>
        </w:rPr>
        <w:t>以习近平新时代中国特色社会主义思想为指导，深入贯彻落实习近平总书记关于防灾减灾救灾的重要论述和关于全面做好森林防灭火工作的重要指示精神，认真贯彻落实党中央、国务院和市委、市政府决策部署，按照区委、区政府工作要求，坚持人民至上、生命至上，健全体制机制，依法有力有序有效处置森林火灾，最大程度减少人员伤亡和财产损失，保护森林资源，维护生态安全。</w:t>
      </w:r>
    </w:p>
    <w:p>
      <w:pPr>
        <w:keepNext/>
        <w:keepLines/>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1"/>
        <w:rPr>
          <w:rFonts w:eastAsia="方正楷体_GBK"/>
          <w:sz w:val="32"/>
          <w:szCs w:val="20"/>
        </w:rPr>
      </w:pPr>
      <w:bookmarkStart w:id="15" w:name="_Toc22717"/>
      <w:bookmarkStart w:id="16" w:name="_Toc31697"/>
      <w:r>
        <w:rPr>
          <w:rFonts w:eastAsia="方正楷体_GBK"/>
          <w:sz w:val="32"/>
          <w:szCs w:val="20"/>
        </w:rPr>
        <w:t>1.2  编制依据</w:t>
      </w:r>
      <w:bookmarkEnd w:id="15"/>
      <w:bookmarkEnd w:id="16"/>
    </w:p>
    <w:p>
      <w:pPr>
        <w:pageBreakBefore w:val="0"/>
        <w:widowControl w:val="0"/>
        <w:tabs>
          <w:tab w:val="center" w:pos="4742"/>
        </w:tabs>
        <w:kinsoku/>
        <w:wordWrap/>
        <w:overflowPunct/>
        <w:topLinePunct w:val="0"/>
        <w:autoSpaceDE/>
        <w:autoSpaceDN/>
        <w:bidi w:val="0"/>
        <w:adjustRightInd w:val="0"/>
        <w:snapToGrid w:val="0"/>
        <w:spacing w:line="570" w:lineRule="exact"/>
        <w:ind w:firstLine="632" w:firstLineChars="200"/>
        <w:jc w:val="both"/>
        <w:textAlignment w:val="auto"/>
        <w:rPr>
          <w:rFonts w:eastAsia="方正仿宋_GBK"/>
          <w:kern w:val="0"/>
          <w:sz w:val="32"/>
          <w:szCs w:val="32"/>
        </w:rPr>
      </w:pPr>
      <w:r>
        <w:rPr>
          <w:rFonts w:eastAsia="方正仿宋_GBK"/>
          <w:kern w:val="0"/>
          <w:sz w:val="32"/>
          <w:szCs w:val="32"/>
        </w:rPr>
        <w:t>依据《中华人民共和国森林法》《中华人民共和国突发事件应对法》《森林防火条例》《突发事件应急预案管理办法》《国家森林草原火灾应急预案》《重庆市突发事件应对条例》《重庆市突发事件总体应急预案》《重庆市森林防火条例》</w:t>
      </w:r>
      <w:r>
        <w:rPr>
          <w:rFonts w:eastAsia="方正仿宋_GBK"/>
          <w:sz w:val="32"/>
          <w:szCs w:val="20"/>
        </w:rPr>
        <w:t>《重庆市森林火灾应急预案》</w:t>
      </w:r>
      <w:r>
        <w:rPr>
          <w:rFonts w:eastAsia="方正仿宋_GBK"/>
          <w:kern w:val="0"/>
          <w:sz w:val="32"/>
          <w:szCs w:val="32"/>
        </w:rPr>
        <w:t>等法律法规和有关规定，制定本预案。</w:t>
      </w:r>
    </w:p>
    <w:p>
      <w:pPr>
        <w:keepNext/>
        <w:keepLines/>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1"/>
        <w:rPr>
          <w:rFonts w:eastAsia="方正楷体_GBK"/>
          <w:sz w:val="32"/>
          <w:szCs w:val="20"/>
        </w:rPr>
      </w:pPr>
      <w:bookmarkStart w:id="17" w:name="_Toc3514"/>
      <w:bookmarkStart w:id="18" w:name="_Toc9989"/>
      <w:r>
        <w:rPr>
          <w:rFonts w:eastAsia="方正楷体_GBK"/>
          <w:sz w:val="32"/>
          <w:szCs w:val="20"/>
        </w:rPr>
        <w:t>1.3  适用范围</w:t>
      </w:r>
      <w:bookmarkEnd w:id="17"/>
      <w:bookmarkEnd w:id="18"/>
    </w:p>
    <w:p>
      <w:pPr>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eastAsia="方正仿宋_GBK"/>
          <w:kern w:val="0"/>
          <w:sz w:val="32"/>
          <w:szCs w:val="32"/>
        </w:rPr>
      </w:pPr>
      <w:r>
        <w:rPr>
          <w:rFonts w:eastAsia="方正仿宋_GBK"/>
          <w:kern w:val="0"/>
          <w:sz w:val="32"/>
          <w:szCs w:val="32"/>
        </w:rPr>
        <w:t>本预案适用于我区行政区域内发生的森林火灾应对工作。</w:t>
      </w:r>
    </w:p>
    <w:p>
      <w:pPr>
        <w:keepNext/>
        <w:keepLines/>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1"/>
        <w:rPr>
          <w:rFonts w:eastAsia="方正楷体_GBK"/>
          <w:sz w:val="32"/>
          <w:szCs w:val="20"/>
        </w:rPr>
      </w:pPr>
      <w:bookmarkStart w:id="19" w:name="_Toc26784"/>
      <w:bookmarkStart w:id="20" w:name="_Toc26259"/>
      <w:r>
        <w:rPr>
          <w:rFonts w:eastAsia="方正楷体_GBK"/>
          <w:sz w:val="32"/>
          <w:szCs w:val="20"/>
        </w:rPr>
        <w:t>1.4  工作原则</w:t>
      </w:r>
      <w:bookmarkEnd w:id="19"/>
      <w:bookmarkEnd w:id="20"/>
    </w:p>
    <w:p>
      <w:pPr>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eastAsia="方正仿宋_GBK"/>
          <w:spacing w:val="-4"/>
          <w:kern w:val="0"/>
          <w:sz w:val="32"/>
          <w:szCs w:val="32"/>
        </w:rPr>
      </w:pPr>
      <w:r>
        <w:rPr>
          <w:rFonts w:eastAsia="方正仿宋_GBK"/>
          <w:kern w:val="0"/>
          <w:sz w:val="32"/>
          <w:szCs w:val="32"/>
        </w:rPr>
        <w:t>森林火灾应对工作坚持统一领导、协调联动，分级负责、属地为主，以人为本、科学扑救，快速反应、安全高效的原则，实</w:t>
      </w:r>
      <w:r>
        <w:rPr>
          <w:rFonts w:eastAsia="方正仿宋_GBK"/>
          <w:spacing w:val="4"/>
          <w:kern w:val="0"/>
          <w:sz w:val="32"/>
          <w:szCs w:val="32"/>
        </w:rPr>
        <w:t>行行政首长负责制。森林火灾发生后，有关镇街、区级有关部门</w:t>
      </w:r>
      <w:r>
        <w:rPr>
          <w:rFonts w:hint="eastAsia" w:eastAsia="方正仿宋_GBK"/>
          <w:sz w:val="32"/>
          <w:szCs w:val="20"/>
        </w:rPr>
        <w:t>、经营主体</w:t>
      </w:r>
      <w:r>
        <w:rPr>
          <w:rFonts w:eastAsia="方正仿宋_GBK"/>
          <w:kern w:val="0"/>
          <w:sz w:val="32"/>
          <w:szCs w:val="32"/>
        </w:rPr>
        <w:t>立即按照职责分工和相关预案开展处置工作。各涉林镇街是应对本辖区森林火灾的</w:t>
      </w:r>
      <w:r>
        <w:rPr>
          <w:rFonts w:hint="eastAsia" w:eastAsia="方正仿宋_GBK"/>
          <w:kern w:val="0"/>
          <w:sz w:val="32"/>
          <w:szCs w:val="32"/>
        </w:rPr>
        <w:t>第一责任单位</w:t>
      </w:r>
      <w:r>
        <w:rPr>
          <w:rFonts w:eastAsia="方正仿宋_GBK"/>
          <w:kern w:val="0"/>
          <w:sz w:val="32"/>
          <w:szCs w:val="32"/>
        </w:rPr>
        <w:t>，区政府</w:t>
      </w:r>
      <w:r>
        <w:rPr>
          <w:rFonts w:eastAsia="方正仿宋_GBK"/>
          <w:spacing w:val="-4"/>
          <w:kern w:val="0"/>
          <w:sz w:val="32"/>
          <w:szCs w:val="32"/>
        </w:rPr>
        <w:t>根据森林火灾应对工作需要，及时启动应急响应、组织应急救援。</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21" w:name="_Toc30462"/>
      <w:bookmarkStart w:id="22" w:name="_Toc4522"/>
      <w:r>
        <w:rPr>
          <w:rFonts w:eastAsia="方正楷体_GBK"/>
          <w:sz w:val="32"/>
          <w:szCs w:val="20"/>
        </w:rPr>
        <w:t>1.5  灾害分级</w:t>
      </w:r>
      <w:bookmarkEnd w:id="21"/>
      <w:bookmarkEnd w:id="22"/>
    </w:p>
    <w:p>
      <w:pPr>
        <w:pageBreakBefore w:val="0"/>
        <w:widowControl w:val="0"/>
        <w:kinsoku/>
        <w:wordWrap/>
        <w:overflowPunct/>
        <w:topLinePunct w:val="0"/>
        <w:bidi w:val="0"/>
        <w:adjustRightInd w:val="0"/>
        <w:snapToGrid w:val="0"/>
        <w:spacing w:line="570" w:lineRule="exact"/>
        <w:jc w:val="both"/>
        <w:textAlignment w:val="auto"/>
        <w:rPr>
          <w:rFonts w:eastAsia="方正仿宋_GBK"/>
          <w:spacing w:val="-4"/>
          <w:kern w:val="0"/>
          <w:sz w:val="32"/>
          <w:szCs w:val="32"/>
        </w:rPr>
      </w:pPr>
      <w:r>
        <w:rPr>
          <w:rFonts w:eastAsia="方正仿宋_GBK"/>
          <w:spacing w:val="-4"/>
          <w:kern w:val="0"/>
          <w:sz w:val="32"/>
          <w:szCs w:val="32"/>
        </w:rPr>
        <w:t xml:space="preserve">    按照受害森林面积和伤亡人数，森林火灾分为一般森林火灾、较大森林火灾、重大森林火灾、特别重大森林火灾四个等级（灾害分级标准见附则）。</w:t>
      </w:r>
    </w:p>
    <w:p>
      <w:pPr>
        <w:pageBreakBefore w:val="0"/>
        <w:widowControl w:val="0"/>
        <w:kinsoku/>
        <w:wordWrap/>
        <w:overflowPunct/>
        <w:topLinePunct w:val="0"/>
        <w:bidi w:val="0"/>
        <w:adjustRightInd w:val="0"/>
        <w:snapToGrid w:val="0"/>
        <w:spacing w:line="570" w:lineRule="exact"/>
        <w:ind w:firstLine="632" w:firstLineChars="200"/>
        <w:jc w:val="both"/>
        <w:textAlignment w:val="auto"/>
        <w:outlineLvl w:val="0"/>
        <w:rPr>
          <w:rFonts w:eastAsia="方正黑体_GBK"/>
          <w:kern w:val="44"/>
          <w:sz w:val="32"/>
          <w:szCs w:val="24"/>
        </w:rPr>
      </w:pPr>
      <w:bookmarkStart w:id="23" w:name="_Toc15328"/>
      <w:bookmarkStart w:id="24" w:name="_Toc22614"/>
      <w:r>
        <w:rPr>
          <w:rFonts w:eastAsia="方正黑体_GBK"/>
          <w:kern w:val="44"/>
          <w:sz w:val="32"/>
          <w:szCs w:val="24"/>
        </w:rPr>
        <w:t>2  主要任务</w:t>
      </w:r>
      <w:bookmarkEnd w:id="23"/>
      <w:bookmarkEnd w:id="24"/>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25" w:name="_Toc30135"/>
      <w:bookmarkStart w:id="26" w:name="_Toc23790"/>
      <w:r>
        <w:rPr>
          <w:rFonts w:eastAsia="方正楷体_GBK"/>
          <w:sz w:val="32"/>
          <w:szCs w:val="20"/>
        </w:rPr>
        <w:t>2.1  组织灭火行动</w:t>
      </w:r>
      <w:bookmarkEnd w:id="25"/>
      <w:bookmarkEnd w:id="26"/>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科学运用各种手段扑打明火、开挖（设置）防火隔离带、清理火线、看守火场，严防次生灾害发生。</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27" w:name="_Toc25961"/>
      <w:bookmarkStart w:id="28" w:name="_Toc29696"/>
      <w:r>
        <w:rPr>
          <w:rFonts w:eastAsia="方正楷体_GBK"/>
          <w:sz w:val="32"/>
          <w:szCs w:val="20"/>
        </w:rPr>
        <w:t>2.2  解救疏散人员</w:t>
      </w:r>
      <w:bookmarkEnd w:id="27"/>
      <w:bookmarkEnd w:id="28"/>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组织解救、转移、疏散受威胁群众并及时妥善安置和开展必要的医疗救治。</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29" w:name="_Toc29733"/>
      <w:bookmarkStart w:id="30" w:name="_Toc23202"/>
      <w:r>
        <w:rPr>
          <w:rFonts w:eastAsia="方正楷体_GBK"/>
          <w:sz w:val="32"/>
          <w:szCs w:val="20"/>
        </w:rPr>
        <w:t>2.3  保护重要目标</w:t>
      </w:r>
      <w:bookmarkEnd w:id="29"/>
      <w:bookmarkEnd w:id="30"/>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保护民生</w:t>
      </w:r>
      <w:r>
        <w:rPr>
          <w:rFonts w:hint="eastAsia" w:eastAsia="方正仿宋_GBK"/>
          <w:kern w:val="0"/>
          <w:sz w:val="32"/>
          <w:szCs w:val="32"/>
        </w:rPr>
        <w:t>设施</w:t>
      </w:r>
      <w:r>
        <w:rPr>
          <w:rFonts w:eastAsia="方正仿宋_GBK"/>
          <w:kern w:val="0"/>
          <w:sz w:val="32"/>
          <w:szCs w:val="32"/>
        </w:rPr>
        <w:t>和重要军事目标并确保重大危险源安全。</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31" w:name="_Toc18389"/>
      <w:bookmarkStart w:id="32" w:name="_Toc6717"/>
      <w:r>
        <w:rPr>
          <w:rFonts w:eastAsia="方正楷体_GBK"/>
          <w:sz w:val="32"/>
          <w:szCs w:val="20"/>
        </w:rPr>
        <w:t>2.4  转移重要物资</w:t>
      </w:r>
      <w:bookmarkEnd w:id="31"/>
      <w:bookmarkEnd w:id="32"/>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组织抢救、运送、转移重要物资。</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33" w:name="_Toc9180"/>
      <w:bookmarkStart w:id="34" w:name="_Toc30979"/>
      <w:r>
        <w:rPr>
          <w:rFonts w:eastAsia="方正楷体_GBK"/>
          <w:sz w:val="32"/>
          <w:szCs w:val="20"/>
        </w:rPr>
        <w:t>2.5  维护社会稳定</w:t>
      </w:r>
      <w:bookmarkEnd w:id="33"/>
      <w:bookmarkEnd w:id="34"/>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加强火灾发生地区及周边社会治安和公共安全工作，严密防范各类违法犯罪行为。加强重点目标守卫和治安巡逻，维护火灾发生地区及周边社会秩序稳定。</w:t>
      </w:r>
    </w:p>
    <w:p>
      <w:pPr>
        <w:pageBreakBefore w:val="0"/>
        <w:widowControl w:val="0"/>
        <w:kinsoku/>
        <w:wordWrap/>
        <w:overflowPunct/>
        <w:topLinePunct w:val="0"/>
        <w:bidi w:val="0"/>
        <w:adjustRightInd w:val="0"/>
        <w:snapToGrid w:val="0"/>
        <w:spacing w:line="570" w:lineRule="exact"/>
        <w:ind w:firstLine="632" w:firstLineChars="200"/>
        <w:jc w:val="both"/>
        <w:textAlignment w:val="auto"/>
        <w:outlineLvl w:val="0"/>
        <w:rPr>
          <w:rFonts w:eastAsia="方正黑体_GBK"/>
          <w:kern w:val="44"/>
          <w:sz w:val="32"/>
          <w:szCs w:val="24"/>
        </w:rPr>
      </w:pPr>
      <w:bookmarkStart w:id="35" w:name="_Toc20891"/>
      <w:bookmarkStart w:id="36" w:name="_Toc20534"/>
    </w:p>
    <w:p>
      <w:pPr>
        <w:pageBreakBefore w:val="0"/>
        <w:widowControl w:val="0"/>
        <w:kinsoku/>
        <w:wordWrap/>
        <w:overflowPunct/>
        <w:topLinePunct w:val="0"/>
        <w:bidi w:val="0"/>
        <w:adjustRightInd w:val="0"/>
        <w:snapToGrid w:val="0"/>
        <w:spacing w:line="570" w:lineRule="exact"/>
        <w:ind w:firstLine="632" w:firstLineChars="200"/>
        <w:jc w:val="both"/>
        <w:textAlignment w:val="auto"/>
        <w:outlineLvl w:val="0"/>
        <w:rPr>
          <w:rFonts w:eastAsia="方正黑体_GBK"/>
          <w:kern w:val="44"/>
          <w:sz w:val="32"/>
          <w:szCs w:val="24"/>
        </w:rPr>
      </w:pPr>
      <w:r>
        <w:rPr>
          <w:rFonts w:eastAsia="方正黑体_GBK"/>
          <w:kern w:val="44"/>
          <w:sz w:val="32"/>
          <w:szCs w:val="24"/>
        </w:rPr>
        <w:t>3  组织指挥体系</w:t>
      </w:r>
      <w:bookmarkEnd w:id="35"/>
      <w:bookmarkEnd w:id="36"/>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37" w:name="_Toc16393"/>
      <w:bookmarkStart w:id="38" w:name="_Toc30923"/>
      <w:r>
        <w:rPr>
          <w:rFonts w:eastAsia="方正楷体_GBK"/>
          <w:sz w:val="32"/>
          <w:szCs w:val="20"/>
        </w:rPr>
        <w:t>3.1  森林防灭火指挥机构</w:t>
      </w:r>
      <w:bookmarkEnd w:id="37"/>
      <w:bookmarkEnd w:id="38"/>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区森林防灭火指挥部（以下简称</w:t>
      </w:r>
      <w:r>
        <w:rPr>
          <w:rFonts w:hint="eastAsia" w:eastAsia="方正仿宋_GBK"/>
          <w:kern w:val="0"/>
          <w:sz w:val="32"/>
          <w:szCs w:val="32"/>
        </w:rPr>
        <w:t>“</w:t>
      </w:r>
      <w:r>
        <w:rPr>
          <w:rFonts w:eastAsia="方正仿宋_GBK"/>
          <w:kern w:val="0"/>
          <w:sz w:val="32"/>
          <w:szCs w:val="32"/>
        </w:rPr>
        <w:t>区森防指</w:t>
      </w:r>
      <w:r>
        <w:rPr>
          <w:rFonts w:hint="eastAsia" w:eastAsia="方正仿宋_GBK"/>
          <w:kern w:val="0"/>
          <w:sz w:val="32"/>
          <w:szCs w:val="32"/>
        </w:rPr>
        <w:t>”</w:t>
      </w:r>
      <w:r>
        <w:rPr>
          <w:rFonts w:eastAsia="方正仿宋_GBK"/>
          <w:kern w:val="0"/>
          <w:sz w:val="32"/>
          <w:szCs w:val="32"/>
        </w:rPr>
        <w:t>）负责组织、协调和指导全区森林防灭火工作。区森防指人员组成如下：</w:t>
      </w:r>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指挥长：区政府常务副区长。</w:t>
      </w:r>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常务副指挥长：区政府分管林业工作的副区长。</w:t>
      </w:r>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副指挥长：区政府办联系副主任，区应急局、区规划自然资源局（林业局）主要负责人，区公安</w:t>
      </w:r>
      <w:r>
        <w:rPr>
          <w:rFonts w:hint="eastAsia" w:eastAsia="方正仿宋_GBK"/>
          <w:kern w:val="0"/>
          <w:sz w:val="32"/>
          <w:szCs w:val="32"/>
        </w:rPr>
        <w:t>分</w:t>
      </w:r>
      <w:r>
        <w:rPr>
          <w:rFonts w:eastAsia="方正仿宋_GBK"/>
          <w:kern w:val="0"/>
          <w:sz w:val="32"/>
          <w:szCs w:val="32"/>
        </w:rPr>
        <w:t>局分管负责人。</w:t>
      </w:r>
    </w:p>
    <w:p>
      <w:pPr>
        <w:pageBreakBefore w:val="0"/>
        <w:widowControl w:val="0"/>
        <w:kinsoku/>
        <w:wordWrap/>
        <w:overflowPunct/>
        <w:topLinePunct w:val="0"/>
        <w:bidi w:val="0"/>
        <w:adjustRightInd w:val="0"/>
        <w:snapToGrid w:val="0"/>
        <w:spacing w:line="570" w:lineRule="exact"/>
        <w:ind w:firstLine="631"/>
        <w:jc w:val="both"/>
        <w:textAlignment w:val="auto"/>
        <w:rPr>
          <w:rFonts w:eastAsia="方正仿宋_GBK"/>
          <w:kern w:val="0"/>
          <w:sz w:val="32"/>
          <w:szCs w:val="32"/>
        </w:rPr>
      </w:pPr>
      <w:r>
        <w:rPr>
          <w:rFonts w:eastAsia="方正仿宋_GBK"/>
          <w:kern w:val="0"/>
          <w:sz w:val="32"/>
          <w:szCs w:val="32"/>
        </w:rPr>
        <w:t>成员</w:t>
      </w:r>
      <w:r>
        <w:rPr>
          <w:rFonts w:hint="eastAsia" w:eastAsia="方正仿宋_GBK"/>
          <w:kern w:val="0"/>
          <w:sz w:val="32"/>
          <w:szCs w:val="32"/>
        </w:rPr>
        <w:t>单位及职责分工</w:t>
      </w:r>
      <w:r>
        <w:rPr>
          <w:rFonts w:eastAsia="方正仿宋_GBK"/>
          <w:kern w:val="0"/>
          <w:sz w:val="32"/>
          <w:szCs w:val="32"/>
        </w:rPr>
        <w:t>：</w:t>
      </w:r>
      <w:r>
        <w:rPr>
          <w:rFonts w:eastAsia="方正仿宋_GBK"/>
          <w:sz w:val="32"/>
          <w:szCs w:val="32"/>
        </w:rPr>
        <w:t>区委宣传部、区委网信办、区发展改革委、区教委、区经济信息委、区民政局、区财政局、区生态环境局、</w:t>
      </w:r>
      <w:r>
        <w:rPr>
          <w:rFonts w:hint="eastAsia" w:eastAsia="方正仿宋_GBK"/>
          <w:sz w:val="32"/>
          <w:szCs w:val="32"/>
        </w:rPr>
        <w:t>区城管局、</w:t>
      </w:r>
      <w:r>
        <w:rPr>
          <w:rFonts w:eastAsia="方正仿宋_GBK"/>
          <w:sz w:val="32"/>
          <w:szCs w:val="32"/>
        </w:rPr>
        <w:t>区交通局、区农业农村委、区商务委、区文化旅游委、区卫生健康委、区应急局、区人武部、区公安分局、区规划自然资源局（林业局）、区气象局、区消防救援支队、市区供电公司</w:t>
      </w:r>
      <w:r>
        <w:rPr>
          <w:rFonts w:eastAsia="方正仿宋_GBK"/>
          <w:kern w:val="0"/>
          <w:sz w:val="32"/>
          <w:szCs w:val="32"/>
        </w:rPr>
        <w:t>（成员单位职责分工见附件1）。</w:t>
      </w:r>
    </w:p>
    <w:p>
      <w:pPr>
        <w:pageBreakBefore w:val="0"/>
        <w:widowControl w:val="0"/>
        <w:kinsoku/>
        <w:wordWrap/>
        <w:overflowPunct/>
        <w:topLinePunct w:val="0"/>
        <w:bidi w:val="0"/>
        <w:adjustRightInd w:val="0"/>
        <w:snapToGrid w:val="0"/>
        <w:spacing w:line="570" w:lineRule="exact"/>
        <w:jc w:val="both"/>
        <w:textAlignment w:val="auto"/>
        <w:rPr>
          <w:rFonts w:eastAsia="方正仿宋_GBK"/>
          <w:color w:val="FF0000"/>
          <w:sz w:val="32"/>
          <w:szCs w:val="32"/>
        </w:rPr>
      </w:pPr>
      <w:r>
        <w:rPr>
          <w:rFonts w:hint="eastAsia" w:eastAsia="方正仿宋_GBK"/>
          <w:kern w:val="0"/>
          <w:sz w:val="32"/>
          <w:szCs w:val="32"/>
        </w:rPr>
        <w:t xml:space="preserve">    </w:t>
      </w:r>
      <w:r>
        <w:rPr>
          <w:rFonts w:eastAsia="方正仿宋_GBK"/>
          <w:kern w:val="0"/>
          <w:sz w:val="32"/>
          <w:szCs w:val="32"/>
        </w:rPr>
        <w:t>区森林防灭火指挥部办公室（以下简称</w:t>
      </w:r>
      <w:r>
        <w:rPr>
          <w:rFonts w:hint="eastAsia" w:eastAsia="方正仿宋_GBK"/>
          <w:kern w:val="0"/>
          <w:sz w:val="32"/>
          <w:szCs w:val="32"/>
        </w:rPr>
        <w:t>“</w:t>
      </w:r>
      <w:r>
        <w:rPr>
          <w:rFonts w:eastAsia="方正仿宋_GBK"/>
          <w:kern w:val="0"/>
          <w:sz w:val="32"/>
          <w:szCs w:val="32"/>
        </w:rPr>
        <w:t>区森防办</w:t>
      </w:r>
      <w:r>
        <w:rPr>
          <w:rFonts w:hint="eastAsia" w:eastAsia="方正仿宋_GBK"/>
          <w:kern w:val="0"/>
          <w:sz w:val="32"/>
          <w:szCs w:val="32"/>
        </w:rPr>
        <w:t>”</w:t>
      </w:r>
      <w:r>
        <w:rPr>
          <w:rFonts w:eastAsia="方正仿宋_GBK"/>
          <w:kern w:val="0"/>
          <w:sz w:val="32"/>
          <w:szCs w:val="32"/>
        </w:rPr>
        <w:t>）设在区应急局，由区应急局、区规划自然资源局（林业局）</w:t>
      </w:r>
      <w:r>
        <w:rPr>
          <w:rFonts w:eastAsia="方正仿宋_GBK"/>
          <w:sz w:val="32"/>
          <w:szCs w:val="32"/>
        </w:rPr>
        <w:t>、区公安分局共同派员组成，承担指挥部日常工作，区应急局、区规划自然资源局（林业局）分管负责人担任办公室主任。区规划自然资源局（林业局）可以按程序以区森防指</w:t>
      </w:r>
      <w:r>
        <w:rPr>
          <w:rFonts w:hint="eastAsia" w:eastAsia="方正仿宋_GBK"/>
          <w:sz w:val="32"/>
          <w:szCs w:val="32"/>
        </w:rPr>
        <w:t>或区森防办</w:t>
      </w:r>
      <w:r>
        <w:rPr>
          <w:rFonts w:eastAsia="方正仿宋_GBK"/>
          <w:sz w:val="32"/>
          <w:szCs w:val="32"/>
        </w:rPr>
        <w:t>名义部署相关防火工作。</w:t>
      </w:r>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涉林镇街按照</w:t>
      </w:r>
      <w:r>
        <w:rPr>
          <w:rFonts w:hint="eastAsia" w:eastAsia="方正仿宋_GBK"/>
          <w:kern w:val="0"/>
          <w:sz w:val="32"/>
          <w:szCs w:val="32"/>
        </w:rPr>
        <w:t>“</w:t>
      </w:r>
      <w:r>
        <w:rPr>
          <w:rFonts w:eastAsia="方正仿宋_GBK"/>
          <w:kern w:val="0"/>
          <w:sz w:val="32"/>
          <w:szCs w:val="32"/>
        </w:rPr>
        <w:t>上下基本对应</w:t>
      </w:r>
      <w:r>
        <w:rPr>
          <w:rFonts w:hint="eastAsia" w:eastAsia="方正仿宋_GBK"/>
          <w:kern w:val="0"/>
          <w:sz w:val="32"/>
          <w:szCs w:val="32"/>
        </w:rPr>
        <w:t>”</w:t>
      </w:r>
      <w:r>
        <w:rPr>
          <w:rFonts w:eastAsia="方正仿宋_GBK"/>
          <w:kern w:val="0"/>
          <w:sz w:val="32"/>
          <w:szCs w:val="32"/>
        </w:rPr>
        <w:t>的要求，设立森林防灭火指挥机构，配备专职或者兼职工作人员，做好本辖区森林防灭火工作；村（居）民委员会、企事业单位和其他组织，根据需要成立应急工作机构，承担本辖区、本单位的森林火灾应对工作。</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39" w:name="_Toc18255"/>
      <w:bookmarkStart w:id="40" w:name="_Toc26963"/>
      <w:r>
        <w:rPr>
          <w:rFonts w:eastAsia="方正楷体_GBK"/>
          <w:sz w:val="32"/>
          <w:szCs w:val="20"/>
        </w:rPr>
        <w:t>3.2  扑救指挥</w:t>
      </w:r>
      <w:bookmarkEnd w:id="39"/>
      <w:bookmarkEnd w:id="40"/>
    </w:p>
    <w:p>
      <w:pPr>
        <w:pageBreakBefore w:val="0"/>
        <w:widowControl w:val="0"/>
        <w:kinsoku/>
        <w:wordWrap/>
        <w:overflowPunct/>
        <w:topLinePunct w:val="0"/>
        <w:bidi w:val="0"/>
        <w:adjustRightInd w:val="0"/>
        <w:snapToGrid w:val="0"/>
        <w:spacing w:line="570" w:lineRule="exact"/>
        <w:jc w:val="both"/>
        <w:textAlignment w:val="auto"/>
        <w:rPr>
          <w:rFonts w:eastAsia="方正仿宋_GBK"/>
          <w:sz w:val="32"/>
          <w:szCs w:val="32"/>
        </w:rPr>
      </w:pPr>
      <w:r>
        <w:rPr>
          <w:rFonts w:eastAsia="方正仿宋_GBK"/>
          <w:kern w:val="0"/>
          <w:sz w:val="32"/>
          <w:szCs w:val="32"/>
        </w:rPr>
        <w:t xml:space="preserve">    森林火灾（火情）扑救工作由区级、镇街级森林防灭火指挥机构负责指挥。森林火灾发生后，区森防指、镇街森防指根据分级响应（见6.2）标准，成立</w:t>
      </w:r>
      <w:r>
        <w:rPr>
          <w:rFonts w:hint="eastAsia" w:eastAsia="方正仿宋_GBK"/>
          <w:kern w:val="0"/>
          <w:sz w:val="32"/>
          <w:szCs w:val="32"/>
        </w:rPr>
        <w:t>或报请区委、区政府成立</w:t>
      </w:r>
      <w:r>
        <w:rPr>
          <w:rFonts w:eastAsia="方正仿宋_GBK"/>
          <w:kern w:val="0"/>
          <w:sz w:val="32"/>
          <w:szCs w:val="32"/>
        </w:rPr>
        <w:t>扑救森林火灾前线指挥部（以下简称</w:t>
      </w:r>
      <w:r>
        <w:rPr>
          <w:rFonts w:hint="eastAsia" w:eastAsia="方正仿宋_GBK"/>
          <w:kern w:val="0"/>
          <w:sz w:val="32"/>
          <w:szCs w:val="32"/>
        </w:rPr>
        <w:t>“</w:t>
      </w:r>
      <w:r>
        <w:rPr>
          <w:rFonts w:eastAsia="方正仿宋_GBK"/>
          <w:kern w:val="0"/>
          <w:sz w:val="32"/>
          <w:szCs w:val="32"/>
        </w:rPr>
        <w:t>扑火前指</w:t>
      </w:r>
      <w:r>
        <w:rPr>
          <w:rFonts w:hint="eastAsia" w:eastAsia="方正仿宋_GBK"/>
          <w:kern w:val="0"/>
          <w:sz w:val="32"/>
          <w:szCs w:val="32"/>
        </w:rPr>
        <w:t>”</w:t>
      </w:r>
      <w:r>
        <w:rPr>
          <w:rFonts w:eastAsia="方正仿宋_GBK"/>
          <w:kern w:val="0"/>
          <w:sz w:val="32"/>
          <w:szCs w:val="32"/>
        </w:rPr>
        <w:t>）</w:t>
      </w:r>
      <w:r>
        <w:rPr>
          <w:rFonts w:eastAsia="方正仿宋_GBK"/>
          <w:sz w:val="32"/>
          <w:szCs w:val="32"/>
        </w:rPr>
        <w:t>，区级</w:t>
      </w:r>
      <w:r>
        <w:rPr>
          <w:rFonts w:eastAsia="方正仿宋_GBK"/>
          <w:kern w:val="0"/>
          <w:sz w:val="32"/>
          <w:szCs w:val="32"/>
        </w:rPr>
        <w:t>扑火前指</w:t>
      </w:r>
      <w:r>
        <w:rPr>
          <w:rFonts w:eastAsia="方正仿宋_GBK"/>
          <w:sz w:val="32"/>
          <w:szCs w:val="32"/>
        </w:rPr>
        <w:t>设置如下：</w:t>
      </w:r>
    </w:p>
    <w:p>
      <w:pPr>
        <w:pageBreakBefore w:val="0"/>
        <w:widowControl w:val="0"/>
        <w:kinsoku/>
        <w:wordWrap/>
        <w:overflowPunct/>
        <w:topLinePunct w:val="0"/>
        <w:bidi w:val="0"/>
        <w:adjustRightInd w:val="0"/>
        <w:snapToGrid w:val="0"/>
        <w:spacing w:line="570" w:lineRule="exact"/>
        <w:jc w:val="both"/>
        <w:textAlignment w:val="auto"/>
        <w:rPr>
          <w:rFonts w:eastAsia="方正仿宋_GBK"/>
          <w:sz w:val="32"/>
          <w:szCs w:val="32"/>
        </w:rPr>
      </w:pPr>
      <w:r>
        <w:rPr>
          <w:rFonts w:eastAsia="方正仿宋_GBK"/>
          <w:sz w:val="32"/>
          <w:szCs w:val="32"/>
        </w:rPr>
        <w:t xml:space="preserve">    总指挥：</w:t>
      </w:r>
      <w:r>
        <w:rPr>
          <w:rFonts w:hint="eastAsia" w:eastAsia="方正仿宋_GBK"/>
          <w:sz w:val="32"/>
          <w:szCs w:val="32"/>
        </w:rPr>
        <w:t>区委、</w:t>
      </w:r>
      <w:r>
        <w:rPr>
          <w:rFonts w:eastAsia="方正仿宋_GBK"/>
          <w:sz w:val="32"/>
          <w:szCs w:val="32"/>
        </w:rPr>
        <w:t>区政府主要领导或分管领导。</w:t>
      </w:r>
    </w:p>
    <w:p>
      <w:pPr>
        <w:pageBreakBefore w:val="0"/>
        <w:widowControl w:val="0"/>
        <w:kinsoku/>
        <w:wordWrap/>
        <w:overflowPunct/>
        <w:topLinePunct w:val="0"/>
        <w:bidi w:val="0"/>
        <w:adjustRightInd w:val="0"/>
        <w:snapToGrid w:val="0"/>
        <w:spacing w:line="570" w:lineRule="exact"/>
        <w:jc w:val="both"/>
        <w:textAlignment w:val="auto"/>
        <w:rPr>
          <w:rFonts w:eastAsia="方正仿宋_GBK"/>
          <w:sz w:val="32"/>
          <w:szCs w:val="32"/>
        </w:rPr>
      </w:pPr>
      <w:r>
        <w:rPr>
          <w:rFonts w:eastAsia="方正仿宋_GBK"/>
          <w:sz w:val="32"/>
          <w:szCs w:val="32"/>
        </w:rPr>
        <w:t xml:space="preserve">    副总指挥：区森防指副指挥长，区人武部分管负责人，区消防救援支队、属地镇街主要负责人。</w:t>
      </w:r>
    </w:p>
    <w:p>
      <w:pPr>
        <w:pageBreakBefore w:val="0"/>
        <w:widowControl w:val="0"/>
        <w:shd w:val="clear" w:color="auto" w:fill="FFFFFF"/>
        <w:kinsoku/>
        <w:wordWrap/>
        <w:overflowPunct/>
        <w:topLinePunct w:val="0"/>
        <w:bidi w:val="0"/>
        <w:adjustRightInd w:val="0"/>
        <w:snapToGrid w:val="0"/>
        <w:spacing w:line="570" w:lineRule="exact"/>
        <w:jc w:val="both"/>
        <w:textAlignment w:val="auto"/>
        <w:rPr>
          <w:rFonts w:eastAsia="方正仿宋_GBK"/>
          <w:sz w:val="32"/>
          <w:szCs w:val="32"/>
        </w:rPr>
      </w:pPr>
      <w:r>
        <w:rPr>
          <w:rFonts w:eastAsia="方正仿宋_GBK"/>
          <w:sz w:val="32"/>
          <w:szCs w:val="32"/>
        </w:rPr>
        <w:t xml:space="preserve">    工作组：由区森防指成员单位、村</w:t>
      </w:r>
      <w:r>
        <w:rPr>
          <w:rFonts w:hint="eastAsia" w:eastAsia="方正仿宋_GBK"/>
          <w:sz w:val="32"/>
          <w:szCs w:val="32"/>
        </w:rPr>
        <w:t>（</w:t>
      </w:r>
      <w:r>
        <w:rPr>
          <w:rFonts w:eastAsia="方正仿宋_GBK"/>
          <w:sz w:val="32"/>
          <w:szCs w:val="32"/>
        </w:rPr>
        <w:t>社区</w:t>
      </w:r>
      <w:r>
        <w:rPr>
          <w:rFonts w:hint="eastAsia" w:eastAsia="方正仿宋_GBK"/>
          <w:sz w:val="32"/>
          <w:szCs w:val="32"/>
        </w:rPr>
        <w:t>）</w:t>
      </w:r>
      <w:r>
        <w:rPr>
          <w:rFonts w:eastAsia="方正仿宋_GBK"/>
          <w:sz w:val="32"/>
          <w:szCs w:val="32"/>
        </w:rPr>
        <w:t>、企事业、军地参战力量等单位负责人组成</w:t>
      </w:r>
      <w:r>
        <w:rPr>
          <w:rFonts w:eastAsia="方正仿宋_GBK"/>
          <w:color w:val="000000"/>
          <w:kern w:val="0"/>
          <w:sz w:val="32"/>
          <w:szCs w:val="32"/>
        </w:rPr>
        <w:t>综合协调、扑救指挥、气象服务、通信保障、医疗救治、专家支持、后勤保障、救助安置、社会治安、调查评估、宣传报道</w:t>
      </w:r>
      <w:r>
        <w:rPr>
          <w:rFonts w:eastAsia="方正仿宋_GBK"/>
          <w:sz w:val="32"/>
          <w:szCs w:val="32"/>
        </w:rPr>
        <w:t>等工作组（扑火前指工作组组成及职责分工</w:t>
      </w:r>
      <w:r>
        <w:rPr>
          <w:rFonts w:eastAsia="方正仿宋_GBK"/>
          <w:color w:val="000000"/>
          <w:kern w:val="0"/>
          <w:sz w:val="32"/>
          <w:szCs w:val="32"/>
        </w:rPr>
        <w:t>见附件4</w:t>
      </w:r>
      <w:r>
        <w:rPr>
          <w:rFonts w:eastAsia="方正仿宋_GBK"/>
          <w:sz w:val="32"/>
          <w:szCs w:val="32"/>
        </w:rPr>
        <w:t>）。</w:t>
      </w:r>
    </w:p>
    <w:p>
      <w:pPr>
        <w:pageBreakBefore w:val="0"/>
        <w:widowControl w:val="0"/>
        <w:kinsoku/>
        <w:wordWrap/>
        <w:overflowPunct/>
        <w:topLinePunct w:val="0"/>
        <w:bidi w:val="0"/>
        <w:adjustRightInd w:val="0"/>
        <w:snapToGrid w:val="0"/>
        <w:spacing w:line="570" w:lineRule="exact"/>
        <w:jc w:val="both"/>
        <w:textAlignment w:val="auto"/>
        <w:rPr>
          <w:rFonts w:eastAsia="方正仿宋_GBK"/>
          <w:sz w:val="32"/>
          <w:szCs w:val="32"/>
        </w:rPr>
      </w:pPr>
      <w:r>
        <w:rPr>
          <w:rFonts w:eastAsia="方正仿宋_GBK"/>
          <w:sz w:val="32"/>
          <w:szCs w:val="32"/>
        </w:rPr>
        <w:t xml:space="preserve">    调度长：区森防办主任〔区应急局、区规划自然资源局（林业局）分管负责人〕。</w:t>
      </w:r>
    </w:p>
    <w:p>
      <w:pPr>
        <w:pageBreakBefore w:val="0"/>
        <w:widowControl w:val="0"/>
        <w:kinsoku/>
        <w:wordWrap/>
        <w:overflowPunct/>
        <w:topLinePunct w:val="0"/>
        <w:bidi w:val="0"/>
        <w:adjustRightInd w:val="0"/>
        <w:snapToGrid w:val="0"/>
        <w:spacing w:line="570" w:lineRule="exact"/>
        <w:jc w:val="both"/>
        <w:textAlignment w:val="auto"/>
        <w:rPr>
          <w:rFonts w:eastAsia="方正仿宋_GBK"/>
          <w:sz w:val="32"/>
          <w:szCs w:val="32"/>
        </w:rPr>
      </w:pPr>
      <w:r>
        <w:rPr>
          <w:rFonts w:eastAsia="方正仿宋_GBK"/>
          <w:sz w:val="32"/>
          <w:szCs w:val="32"/>
        </w:rPr>
        <w:t xml:space="preserve">    新闻发言人：区森防指副指挥长。</w:t>
      </w:r>
    </w:p>
    <w:p>
      <w:pPr>
        <w:pageBreakBefore w:val="0"/>
        <w:widowControl w:val="0"/>
        <w:kinsoku/>
        <w:wordWrap/>
        <w:overflowPunct/>
        <w:topLinePunct w:val="0"/>
        <w:bidi w:val="0"/>
        <w:adjustRightInd w:val="0"/>
        <w:snapToGrid w:val="0"/>
        <w:spacing w:line="570" w:lineRule="exact"/>
        <w:jc w:val="both"/>
        <w:textAlignment w:val="auto"/>
        <w:rPr>
          <w:rFonts w:eastAsia="方正仿宋_GBK"/>
          <w:sz w:val="32"/>
          <w:szCs w:val="20"/>
        </w:rPr>
      </w:pPr>
      <w:r>
        <w:rPr>
          <w:rFonts w:eastAsia="方正仿宋_GBK"/>
          <w:kern w:val="0"/>
          <w:sz w:val="32"/>
          <w:szCs w:val="32"/>
        </w:rPr>
        <w:t xml:space="preserve">    扑火前指</w:t>
      </w:r>
      <w:r>
        <w:rPr>
          <w:rFonts w:eastAsia="方正仿宋_GBK"/>
          <w:sz w:val="32"/>
          <w:szCs w:val="32"/>
        </w:rPr>
        <w:t>要规范现场指挥机制，合理配置工作组，重视发挥专家作用，根据任务变化和救援力量需求，相应提高响应等级。</w:t>
      </w:r>
      <w:r>
        <w:rPr>
          <w:rFonts w:eastAsia="方正仿宋_GBK"/>
          <w:kern w:val="0"/>
          <w:sz w:val="32"/>
          <w:szCs w:val="32"/>
        </w:rPr>
        <w:t>参加扑火前线的单位和个人必须服从扑火前指的统一指挥。</w:t>
      </w:r>
      <w:r>
        <w:rPr>
          <w:rFonts w:eastAsia="方正仿宋_GBK"/>
          <w:sz w:val="32"/>
          <w:szCs w:val="32"/>
        </w:rPr>
        <w:t>解放军和武警部队遂行森林火灾扑救任务，对应接受市级或区级森防指统一领导，部队行动按照军队指挥关系和指挥权限组织实施。</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41" w:name="_Toc16213"/>
      <w:bookmarkStart w:id="42" w:name="_Toc18491"/>
      <w:r>
        <w:rPr>
          <w:rFonts w:eastAsia="方正楷体_GBK"/>
          <w:sz w:val="32"/>
          <w:szCs w:val="20"/>
        </w:rPr>
        <w:t>3.3  专家组</w:t>
      </w:r>
      <w:bookmarkEnd w:id="41"/>
      <w:bookmarkEnd w:id="42"/>
    </w:p>
    <w:p>
      <w:pPr>
        <w:pageBreakBefore w:val="0"/>
        <w:widowControl w:val="0"/>
        <w:kinsoku/>
        <w:wordWrap/>
        <w:overflowPunct/>
        <w:topLinePunct w:val="0"/>
        <w:bidi w:val="0"/>
        <w:adjustRightInd w:val="0"/>
        <w:snapToGrid w:val="0"/>
        <w:spacing w:line="570" w:lineRule="exact"/>
        <w:ind w:firstLine="631"/>
        <w:jc w:val="both"/>
        <w:textAlignment w:val="auto"/>
        <w:rPr>
          <w:rFonts w:eastAsia="方正仿宋_GBK"/>
          <w:kern w:val="0"/>
          <w:sz w:val="32"/>
          <w:szCs w:val="32"/>
        </w:rPr>
      </w:pPr>
      <w:r>
        <w:rPr>
          <w:rFonts w:eastAsia="方正仿宋_GBK"/>
          <w:color w:val="000000"/>
          <w:kern w:val="0"/>
          <w:sz w:val="32"/>
          <w:szCs w:val="32"/>
        </w:rPr>
        <w:t>区规划自然资源局</w:t>
      </w:r>
      <w:r>
        <w:rPr>
          <w:rFonts w:hint="eastAsia" w:eastAsia="方正仿宋_GBK"/>
          <w:color w:val="000000"/>
          <w:kern w:val="0"/>
          <w:sz w:val="32"/>
          <w:szCs w:val="32"/>
        </w:rPr>
        <w:t>（林业局）</w:t>
      </w:r>
      <w:r>
        <w:rPr>
          <w:rFonts w:eastAsia="方正仿宋_GBK"/>
          <w:color w:val="000000"/>
          <w:kern w:val="0"/>
          <w:sz w:val="32"/>
          <w:szCs w:val="32"/>
        </w:rPr>
        <w:t>、</w:t>
      </w:r>
      <w:r>
        <w:rPr>
          <w:rFonts w:hint="eastAsia" w:eastAsia="方正仿宋_GBK"/>
          <w:color w:val="000000"/>
          <w:kern w:val="0"/>
          <w:sz w:val="32"/>
          <w:szCs w:val="32"/>
        </w:rPr>
        <w:t>区应急局、</w:t>
      </w:r>
      <w:r>
        <w:rPr>
          <w:rFonts w:eastAsia="方正仿宋_GBK"/>
          <w:color w:val="000000"/>
          <w:kern w:val="0"/>
          <w:sz w:val="32"/>
          <w:szCs w:val="32"/>
        </w:rPr>
        <w:t>涉林镇街会同有关部门和单位组织有关专家</w:t>
      </w:r>
      <w:r>
        <w:rPr>
          <w:rFonts w:hint="eastAsia" w:eastAsia="方正仿宋_GBK"/>
          <w:color w:val="000000"/>
          <w:kern w:val="0"/>
          <w:sz w:val="32"/>
          <w:szCs w:val="32"/>
        </w:rPr>
        <w:t>、</w:t>
      </w:r>
      <w:r>
        <w:rPr>
          <w:rFonts w:eastAsia="方正仿宋_GBK"/>
          <w:color w:val="000000"/>
          <w:kern w:val="0"/>
          <w:sz w:val="32"/>
          <w:szCs w:val="32"/>
        </w:rPr>
        <w:t>熟悉山情林情路情的人员，建立森林防灭火专家组，对森林火灾的预防、灭火组织指挥、力量调动使用、灭火措施、火灾调查评估等提出咨询意见。区级、涉林镇街专家组人员名单适时报区森防办备案。</w:t>
      </w:r>
    </w:p>
    <w:p>
      <w:pPr>
        <w:pageBreakBefore w:val="0"/>
        <w:widowControl w:val="0"/>
        <w:kinsoku/>
        <w:wordWrap/>
        <w:overflowPunct/>
        <w:topLinePunct w:val="0"/>
        <w:bidi w:val="0"/>
        <w:adjustRightInd w:val="0"/>
        <w:snapToGrid w:val="0"/>
        <w:spacing w:line="570" w:lineRule="exact"/>
        <w:ind w:firstLine="632" w:firstLineChars="200"/>
        <w:jc w:val="both"/>
        <w:textAlignment w:val="auto"/>
        <w:outlineLvl w:val="0"/>
        <w:rPr>
          <w:rFonts w:eastAsia="方正黑体_GBK"/>
          <w:kern w:val="44"/>
          <w:sz w:val="32"/>
          <w:szCs w:val="24"/>
        </w:rPr>
      </w:pPr>
      <w:bookmarkStart w:id="43" w:name="_Toc21293"/>
      <w:bookmarkStart w:id="44" w:name="_Toc5615"/>
      <w:r>
        <w:rPr>
          <w:rFonts w:eastAsia="方正黑体_GBK"/>
          <w:kern w:val="44"/>
          <w:sz w:val="32"/>
          <w:szCs w:val="24"/>
        </w:rPr>
        <w:t>4  处置力量</w:t>
      </w:r>
      <w:bookmarkEnd w:id="43"/>
      <w:bookmarkEnd w:id="44"/>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45" w:name="_Toc28669"/>
      <w:bookmarkStart w:id="46" w:name="_Toc15708"/>
      <w:r>
        <w:rPr>
          <w:rFonts w:eastAsia="方正楷体_GBK"/>
          <w:sz w:val="32"/>
          <w:szCs w:val="20"/>
        </w:rPr>
        <w:t>4.1  力量编成</w:t>
      </w:r>
      <w:bookmarkEnd w:id="45"/>
      <w:bookmarkEnd w:id="46"/>
    </w:p>
    <w:p>
      <w:pPr>
        <w:pageBreakBefore w:val="0"/>
        <w:widowControl w:val="0"/>
        <w:kinsoku/>
        <w:wordWrap/>
        <w:overflowPunct/>
        <w:topLinePunct w:val="0"/>
        <w:bidi w:val="0"/>
        <w:adjustRightInd w:val="0"/>
        <w:snapToGrid w:val="0"/>
        <w:spacing w:line="570" w:lineRule="exact"/>
        <w:jc w:val="both"/>
        <w:textAlignment w:val="auto"/>
        <w:rPr>
          <w:rFonts w:eastAsia="方正仿宋_GBK"/>
          <w:sz w:val="32"/>
          <w:szCs w:val="32"/>
        </w:rPr>
      </w:pPr>
      <w:r>
        <w:rPr>
          <w:rFonts w:eastAsia="方正仿宋_GBK"/>
          <w:color w:val="000000"/>
          <w:kern w:val="0"/>
          <w:sz w:val="32"/>
          <w:szCs w:val="32"/>
        </w:rPr>
        <w:t xml:space="preserve">    扑救森林火灾以区消防救援支队、区国有林场森林灭火应急救援队、</w:t>
      </w:r>
      <w:r>
        <w:rPr>
          <w:rFonts w:hint="eastAsia" w:eastAsia="方正仿宋_GBK"/>
          <w:color w:val="000000"/>
          <w:kern w:val="0"/>
          <w:sz w:val="32"/>
          <w:szCs w:val="32"/>
        </w:rPr>
        <w:t>区综合应急救援队西部分队、</w:t>
      </w:r>
      <w:r>
        <w:rPr>
          <w:rFonts w:eastAsia="方正仿宋_GBK"/>
          <w:color w:val="000000"/>
          <w:kern w:val="0"/>
          <w:sz w:val="32"/>
          <w:szCs w:val="32"/>
        </w:rPr>
        <w:t>镇街综合应急救援队、民兵应急救援队等队伍为主，公安民警、机关干部、村</w:t>
      </w:r>
      <w:r>
        <w:rPr>
          <w:rFonts w:hint="eastAsia" w:eastAsia="方正仿宋_GBK"/>
          <w:color w:val="000000"/>
          <w:kern w:val="0"/>
          <w:sz w:val="32"/>
          <w:szCs w:val="32"/>
        </w:rPr>
        <w:t>（社区）</w:t>
      </w:r>
      <w:r>
        <w:rPr>
          <w:rFonts w:eastAsia="方正仿宋_GBK"/>
          <w:color w:val="000000"/>
          <w:kern w:val="0"/>
          <w:sz w:val="32"/>
          <w:szCs w:val="32"/>
        </w:rPr>
        <w:t>干部、企事业单位等支援力量为辅，必要时可动员群众协助扑救工作。</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47" w:name="_Toc697"/>
      <w:bookmarkStart w:id="48" w:name="_Toc20395"/>
      <w:r>
        <w:rPr>
          <w:rFonts w:eastAsia="方正楷体_GBK"/>
          <w:sz w:val="32"/>
          <w:szCs w:val="20"/>
        </w:rPr>
        <w:t>4.2  力量调动</w:t>
      </w:r>
      <w:bookmarkEnd w:id="47"/>
      <w:bookmarkEnd w:id="48"/>
    </w:p>
    <w:p>
      <w:pPr>
        <w:pageBreakBefore w:val="0"/>
        <w:widowControl w:val="0"/>
        <w:kinsoku/>
        <w:wordWrap/>
        <w:overflowPunct/>
        <w:topLinePunct w:val="0"/>
        <w:bidi w:val="0"/>
        <w:adjustRightInd w:val="0"/>
        <w:snapToGrid w:val="0"/>
        <w:spacing w:line="570" w:lineRule="exact"/>
        <w:ind w:firstLine="631"/>
        <w:jc w:val="both"/>
        <w:textAlignment w:val="auto"/>
        <w:rPr>
          <w:rFonts w:eastAsia="方正仿宋_GBK"/>
          <w:kern w:val="0"/>
          <w:sz w:val="32"/>
          <w:szCs w:val="32"/>
        </w:rPr>
      </w:pPr>
      <w:r>
        <w:rPr>
          <w:rFonts w:eastAsia="方正仿宋_GBK"/>
          <w:color w:val="000000"/>
          <w:kern w:val="0"/>
          <w:sz w:val="32"/>
          <w:szCs w:val="32"/>
        </w:rPr>
        <w:t>根据森林火灾应对需要，应优先调动</w:t>
      </w:r>
      <w:r>
        <w:rPr>
          <w:rFonts w:hint="eastAsia" w:eastAsia="方正仿宋_GBK"/>
          <w:color w:val="000000"/>
          <w:kern w:val="0"/>
          <w:sz w:val="32"/>
          <w:szCs w:val="32"/>
        </w:rPr>
        <w:t>属地镇街综合应急救援队、</w:t>
      </w:r>
      <w:r>
        <w:rPr>
          <w:rFonts w:eastAsia="方正仿宋_GBK"/>
          <w:color w:val="000000"/>
          <w:kern w:val="0"/>
          <w:sz w:val="32"/>
          <w:szCs w:val="32"/>
        </w:rPr>
        <w:t>区消防救援支队、区国有林场森林灭火应急救援队、</w:t>
      </w:r>
      <w:r>
        <w:rPr>
          <w:rFonts w:hint="eastAsia" w:eastAsia="方正仿宋_GBK"/>
          <w:color w:val="000000"/>
          <w:kern w:val="0"/>
          <w:sz w:val="32"/>
          <w:szCs w:val="32"/>
        </w:rPr>
        <w:t>临近</w:t>
      </w:r>
      <w:r>
        <w:rPr>
          <w:rFonts w:eastAsia="方正仿宋_GBK"/>
          <w:color w:val="000000"/>
          <w:kern w:val="0"/>
          <w:sz w:val="32"/>
          <w:szCs w:val="32"/>
        </w:rPr>
        <w:t>镇街综合应急救援队</w:t>
      </w:r>
      <w:r>
        <w:rPr>
          <w:rFonts w:hint="eastAsia" w:eastAsia="方正仿宋_GBK"/>
          <w:color w:val="000000"/>
          <w:kern w:val="0"/>
          <w:sz w:val="32"/>
          <w:szCs w:val="32"/>
        </w:rPr>
        <w:t>和</w:t>
      </w:r>
      <w:r>
        <w:rPr>
          <w:rFonts w:eastAsia="方正仿宋_GBK"/>
          <w:color w:val="000000"/>
          <w:kern w:val="0"/>
          <w:sz w:val="32"/>
          <w:szCs w:val="32"/>
        </w:rPr>
        <w:t>民兵应急救援队等我区扑火力量。需要有关区县专业森林消防队伍、市级救援队伍增援扑火时，由区森防指请求市森防指协调，由拟调出单位组织实施。请求解放军、武警部队执行扑火任务，由区人武部按有关规定办理。</w:t>
      </w:r>
    </w:p>
    <w:p>
      <w:pPr>
        <w:pageBreakBefore w:val="0"/>
        <w:widowControl w:val="0"/>
        <w:kinsoku/>
        <w:wordWrap/>
        <w:overflowPunct/>
        <w:topLinePunct w:val="0"/>
        <w:bidi w:val="0"/>
        <w:adjustRightInd w:val="0"/>
        <w:snapToGrid w:val="0"/>
        <w:spacing w:line="570" w:lineRule="exact"/>
        <w:ind w:firstLine="632" w:firstLineChars="200"/>
        <w:jc w:val="both"/>
        <w:textAlignment w:val="auto"/>
        <w:outlineLvl w:val="0"/>
        <w:rPr>
          <w:rFonts w:eastAsia="方正仿宋_GBK"/>
          <w:kern w:val="44"/>
          <w:sz w:val="32"/>
          <w:szCs w:val="24"/>
        </w:rPr>
      </w:pPr>
      <w:bookmarkStart w:id="49" w:name="_Toc4203"/>
      <w:bookmarkStart w:id="50" w:name="_Toc30833"/>
      <w:r>
        <w:rPr>
          <w:rFonts w:eastAsia="方正黑体_GBK"/>
          <w:kern w:val="44"/>
          <w:sz w:val="32"/>
          <w:szCs w:val="24"/>
        </w:rPr>
        <w:t>5  监测预警和信息报告</w:t>
      </w:r>
      <w:bookmarkEnd w:id="49"/>
      <w:bookmarkEnd w:id="50"/>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51" w:name="_Toc29391"/>
      <w:bookmarkStart w:id="52" w:name="_Toc4401"/>
      <w:r>
        <w:rPr>
          <w:rFonts w:eastAsia="方正楷体_GBK"/>
          <w:sz w:val="32"/>
          <w:szCs w:val="20"/>
        </w:rPr>
        <w:t>5.1  监测</w:t>
      </w:r>
      <w:bookmarkEnd w:id="51"/>
      <w:bookmarkEnd w:id="52"/>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区应急局、区规划自然资源局（林业局）、区气象局等部门和各镇街要充分利用卫星监测、空中巡护、视频监控、高山瞭望、地面巡护等手段，及时掌握森林火情。</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53" w:name="_Toc31403"/>
      <w:bookmarkStart w:id="54" w:name="_Toc3623"/>
      <w:r>
        <w:rPr>
          <w:rFonts w:eastAsia="方正楷体_GBK"/>
          <w:sz w:val="32"/>
          <w:szCs w:val="20"/>
        </w:rPr>
        <w:t>5.2  预警</w:t>
      </w:r>
      <w:bookmarkEnd w:id="53"/>
      <w:bookmarkEnd w:id="54"/>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2"/>
        <w:rPr>
          <w:rFonts w:eastAsia="方正仿宋_GBK"/>
          <w:sz w:val="32"/>
          <w:szCs w:val="20"/>
        </w:rPr>
      </w:pPr>
      <w:bookmarkStart w:id="55" w:name="_Toc25299"/>
      <w:bookmarkStart w:id="56" w:name="_Toc16173"/>
      <w:r>
        <w:rPr>
          <w:rFonts w:eastAsia="方正仿宋_GBK"/>
          <w:sz w:val="32"/>
          <w:szCs w:val="20"/>
        </w:rPr>
        <w:t>5.2.1  预警分级标准</w:t>
      </w:r>
      <w:bookmarkEnd w:id="55"/>
      <w:bookmarkEnd w:id="56"/>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hint="eastAsia" w:eastAsia="方正仿宋_GBK"/>
          <w:kern w:val="0"/>
          <w:sz w:val="32"/>
          <w:szCs w:val="32"/>
        </w:rPr>
      </w:pPr>
      <w:r>
        <w:rPr>
          <w:rFonts w:hint="eastAsia" w:eastAsia="方正仿宋_GBK"/>
          <w:kern w:val="0"/>
          <w:sz w:val="32"/>
          <w:szCs w:val="32"/>
        </w:rPr>
        <w:t>根据风速、降雨量、气温、相对湿度、连续无降水日等因素，</w:t>
      </w:r>
      <w:r>
        <w:rPr>
          <w:rFonts w:eastAsia="方正仿宋_GBK"/>
          <w:kern w:val="0"/>
          <w:sz w:val="32"/>
          <w:szCs w:val="32"/>
        </w:rPr>
        <w:t>森林火险气象等级</w:t>
      </w:r>
      <w:r>
        <w:rPr>
          <w:rFonts w:hint="eastAsia" w:eastAsia="方正仿宋_GBK"/>
          <w:kern w:val="0"/>
          <w:sz w:val="32"/>
          <w:szCs w:val="32"/>
        </w:rPr>
        <w:t>由低到高</w:t>
      </w:r>
      <w:r>
        <w:rPr>
          <w:rFonts w:eastAsia="方正仿宋_GBK"/>
          <w:kern w:val="0"/>
          <w:sz w:val="32"/>
          <w:szCs w:val="32"/>
        </w:rPr>
        <w:t>分为一级、二级、三级、四级、五级，</w:t>
      </w:r>
      <w:r>
        <w:rPr>
          <w:rFonts w:hint="eastAsia" w:eastAsia="方正仿宋_GBK"/>
          <w:kern w:val="0"/>
          <w:sz w:val="32"/>
          <w:szCs w:val="32"/>
        </w:rPr>
        <w:t>具体</w:t>
      </w:r>
      <w:r>
        <w:rPr>
          <w:rFonts w:eastAsia="方正仿宋_GBK"/>
          <w:kern w:val="0"/>
          <w:sz w:val="32"/>
          <w:szCs w:val="32"/>
        </w:rPr>
        <w:t>由区气象局根据《森林火险气象等级》（GBT36743－2018）确定</w:t>
      </w:r>
      <w:r>
        <w:rPr>
          <w:rFonts w:hint="eastAsia" w:eastAsia="方正仿宋_GBK"/>
          <w:kern w:val="0"/>
          <w:sz w:val="32"/>
          <w:szCs w:val="32"/>
        </w:rPr>
        <w:t>。依据森林火险气象等级，</w:t>
      </w:r>
      <w:r>
        <w:rPr>
          <w:rFonts w:hint="eastAsia" w:eastAsia="方正仿宋_GBK"/>
          <w:spacing w:val="-4"/>
          <w:kern w:val="0"/>
          <w:sz w:val="32"/>
          <w:szCs w:val="32"/>
        </w:rPr>
        <w:t>森林火险预警级别划分为四个等级，由低到高依次用</w:t>
      </w:r>
      <w:r>
        <w:rPr>
          <w:rFonts w:hint="eastAsia" w:eastAsia="方正仿宋_GBK"/>
          <w:kern w:val="0"/>
          <w:sz w:val="32"/>
          <w:szCs w:val="32"/>
        </w:rPr>
        <w:t>四</w:t>
      </w:r>
      <w:r>
        <w:rPr>
          <w:rFonts w:eastAsia="方正仿宋_GBK"/>
          <w:kern w:val="0"/>
          <w:sz w:val="32"/>
          <w:szCs w:val="32"/>
        </w:rPr>
        <w:t>级</w:t>
      </w:r>
      <w:r>
        <w:rPr>
          <w:rFonts w:hint="eastAsia" w:eastAsia="方正仿宋_GBK"/>
          <w:kern w:val="0"/>
          <w:sz w:val="32"/>
          <w:szCs w:val="32"/>
        </w:rPr>
        <w:t>（蓝色）</w:t>
      </w:r>
      <w:r>
        <w:rPr>
          <w:rFonts w:eastAsia="方正仿宋_GBK"/>
          <w:kern w:val="0"/>
          <w:sz w:val="32"/>
          <w:szCs w:val="32"/>
        </w:rPr>
        <w:t>、</w:t>
      </w:r>
      <w:r>
        <w:rPr>
          <w:rFonts w:hint="eastAsia" w:eastAsia="方正仿宋_GBK"/>
          <w:kern w:val="0"/>
          <w:sz w:val="32"/>
          <w:szCs w:val="32"/>
        </w:rPr>
        <w:t>三</w:t>
      </w:r>
      <w:r>
        <w:rPr>
          <w:rFonts w:eastAsia="方正仿宋_GBK"/>
          <w:kern w:val="0"/>
          <w:sz w:val="32"/>
          <w:szCs w:val="32"/>
        </w:rPr>
        <w:t>级</w:t>
      </w:r>
      <w:r>
        <w:rPr>
          <w:rFonts w:hint="eastAsia" w:eastAsia="方正仿宋_GBK"/>
          <w:kern w:val="0"/>
          <w:sz w:val="32"/>
          <w:szCs w:val="32"/>
        </w:rPr>
        <w:t>（黄色）</w:t>
      </w:r>
      <w:r>
        <w:rPr>
          <w:rFonts w:eastAsia="方正仿宋_GBK"/>
          <w:kern w:val="0"/>
          <w:sz w:val="32"/>
          <w:szCs w:val="32"/>
        </w:rPr>
        <w:t>、</w:t>
      </w:r>
      <w:r>
        <w:rPr>
          <w:rFonts w:hint="eastAsia" w:eastAsia="方正仿宋_GBK"/>
          <w:kern w:val="0"/>
          <w:sz w:val="32"/>
          <w:szCs w:val="32"/>
        </w:rPr>
        <w:t>二</w:t>
      </w:r>
      <w:r>
        <w:rPr>
          <w:rFonts w:eastAsia="方正仿宋_GBK"/>
          <w:kern w:val="0"/>
          <w:sz w:val="32"/>
          <w:szCs w:val="32"/>
        </w:rPr>
        <w:t>级</w:t>
      </w:r>
      <w:r>
        <w:rPr>
          <w:rFonts w:hint="eastAsia" w:eastAsia="方正仿宋_GBK"/>
          <w:kern w:val="0"/>
          <w:sz w:val="32"/>
          <w:szCs w:val="32"/>
        </w:rPr>
        <w:t>（</w:t>
      </w:r>
      <w:r>
        <w:rPr>
          <w:rFonts w:hint="eastAsia" w:eastAsia="方正仿宋_GBK"/>
          <w:spacing w:val="-4"/>
          <w:kern w:val="0"/>
          <w:sz w:val="32"/>
          <w:szCs w:val="32"/>
        </w:rPr>
        <w:t>橙色</w:t>
      </w:r>
      <w:r>
        <w:rPr>
          <w:rFonts w:hint="eastAsia" w:eastAsia="方正仿宋_GBK"/>
          <w:kern w:val="0"/>
          <w:sz w:val="32"/>
          <w:szCs w:val="32"/>
        </w:rPr>
        <w:t>）</w:t>
      </w:r>
      <w:r>
        <w:rPr>
          <w:rFonts w:eastAsia="方正仿宋_GBK"/>
          <w:kern w:val="0"/>
          <w:sz w:val="32"/>
          <w:szCs w:val="32"/>
        </w:rPr>
        <w:t>、</w:t>
      </w:r>
      <w:r>
        <w:rPr>
          <w:rFonts w:hint="eastAsia" w:eastAsia="方正仿宋_GBK"/>
          <w:kern w:val="0"/>
          <w:sz w:val="32"/>
          <w:szCs w:val="32"/>
        </w:rPr>
        <w:t>一级（</w:t>
      </w:r>
      <w:r>
        <w:rPr>
          <w:rFonts w:hint="eastAsia" w:eastAsia="方正仿宋_GBK"/>
          <w:spacing w:val="-4"/>
          <w:kern w:val="0"/>
          <w:sz w:val="32"/>
          <w:szCs w:val="32"/>
        </w:rPr>
        <w:t>红色</w:t>
      </w:r>
      <w:r>
        <w:rPr>
          <w:rFonts w:hint="eastAsia" w:eastAsia="方正仿宋_GBK"/>
          <w:kern w:val="0"/>
          <w:sz w:val="32"/>
          <w:szCs w:val="32"/>
        </w:rPr>
        <w:t>）表示。</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kern w:val="0"/>
          <w:sz w:val="32"/>
          <w:szCs w:val="32"/>
        </w:rPr>
      </w:pPr>
      <w:r>
        <w:rPr>
          <w:rFonts w:eastAsia="方正仿宋_GBK"/>
          <w:kern w:val="0"/>
          <w:sz w:val="32"/>
          <w:szCs w:val="32"/>
        </w:rPr>
        <w:t>四级（蓝色）预警：</w:t>
      </w:r>
      <w:r>
        <w:rPr>
          <w:rFonts w:eastAsia="方正仿宋_GBK"/>
          <w:sz w:val="32"/>
          <w:szCs w:val="32"/>
        </w:rPr>
        <w:t>连续3天出现三级</w:t>
      </w:r>
      <w:r>
        <w:rPr>
          <w:rFonts w:hint="eastAsia" w:eastAsia="方正仿宋_GBK"/>
          <w:sz w:val="32"/>
          <w:szCs w:val="32"/>
        </w:rPr>
        <w:t>及以上</w:t>
      </w:r>
      <w:r>
        <w:rPr>
          <w:rFonts w:eastAsia="方正仿宋_GBK"/>
          <w:sz w:val="32"/>
          <w:szCs w:val="32"/>
        </w:rPr>
        <w:t>森林火险气象等级，低度危险，存在发生森林火灾可能。</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三级（黄色）预警：连续3天出现三级</w:t>
      </w:r>
      <w:r>
        <w:rPr>
          <w:rFonts w:hint="eastAsia" w:ascii="Times New Roman" w:hAnsi="Times New Roman" w:eastAsia="方正仿宋_GBK" w:cs="Times New Roman"/>
          <w:kern w:val="0"/>
          <w:sz w:val="32"/>
          <w:szCs w:val="32"/>
        </w:rPr>
        <w:t>及以上</w:t>
      </w:r>
      <w:r>
        <w:rPr>
          <w:rFonts w:ascii="Times New Roman" w:hAnsi="Times New Roman" w:eastAsia="方正仿宋_GBK" w:cs="Times New Roman"/>
          <w:kern w:val="0"/>
          <w:sz w:val="32"/>
          <w:szCs w:val="32"/>
        </w:rPr>
        <w:t>森林火险气象等级，且未来2天以上还将出现三级</w:t>
      </w:r>
      <w:r>
        <w:rPr>
          <w:rFonts w:hint="eastAsia" w:ascii="Times New Roman" w:hAnsi="Times New Roman" w:eastAsia="方正仿宋_GBK" w:cs="Times New Roman"/>
          <w:kern w:val="0"/>
          <w:sz w:val="32"/>
          <w:szCs w:val="32"/>
        </w:rPr>
        <w:t>及以上</w:t>
      </w:r>
      <w:r>
        <w:rPr>
          <w:rFonts w:ascii="Times New Roman" w:hAnsi="Times New Roman" w:eastAsia="方正仿宋_GBK" w:cs="Times New Roman"/>
          <w:kern w:val="0"/>
          <w:sz w:val="32"/>
          <w:szCs w:val="32"/>
        </w:rPr>
        <w:t>森林火险气象等级，中度危险，引发森林火灾的可能性大。</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kern w:val="0"/>
          <w:sz w:val="32"/>
          <w:szCs w:val="32"/>
        </w:rPr>
      </w:pPr>
      <w:r>
        <w:rPr>
          <w:rFonts w:eastAsia="方正仿宋_GBK"/>
          <w:kern w:val="0"/>
          <w:sz w:val="32"/>
          <w:szCs w:val="32"/>
        </w:rPr>
        <w:t>二级（橙色）预警：连续3天出现四级及以上森林火险气象等级，且未来2天以上还将出现四级及以上森林火险气象等级，高度危险，引发森林火灾的可能性较大。</w:t>
      </w:r>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一级（红色）预警：连续5天出现四级及以上森林火险气象等级，且未来2天以上还将出现四级以上森林火险气象等级，极度危险，引发森林火灾可能性非常大。</w:t>
      </w:r>
    </w:p>
    <w:p>
      <w:pPr>
        <w:pageBreakBefore w:val="0"/>
        <w:widowControl w:val="0"/>
        <w:kinsoku/>
        <w:wordWrap/>
        <w:overflowPunct/>
        <w:topLinePunct w:val="0"/>
        <w:bidi w:val="0"/>
        <w:adjustRightInd w:val="0"/>
        <w:snapToGrid w:val="0"/>
        <w:spacing w:line="570" w:lineRule="exact"/>
        <w:ind w:firstLine="631"/>
        <w:jc w:val="both"/>
        <w:textAlignment w:val="auto"/>
        <w:rPr>
          <w:rFonts w:eastAsia="方正仿宋_GBK"/>
          <w:sz w:val="32"/>
          <w:szCs w:val="20"/>
        </w:rPr>
      </w:pPr>
      <w:bookmarkStart w:id="57" w:name="_Toc25043"/>
      <w:r>
        <w:rPr>
          <w:rFonts w:eastAsia="方正仿宋_GBK"/>
          <w:sz w:val="32"/>
          <w:szCs w:val="20"/>
        </w:rPr>
        <w:t>5.2.2  预警发布</w:t>
      </w:r>
      <w:bookmarkEnd w:id="57"/>
    </w:p>
    <w:p>
      <w:pPr>
        <w:pageBreakBefore w:val="0"/>
        <w:widowControl w:val="0"/>
        <w:kinsoku/>
        <w:wordWrap/>
        <w:overflowPunct/>
        <w:topLinePunct w:val="0"/>
        <w:bidi w:val="0"/>
        <w:adjustRightInd w:val="0"/>
        <w:snapToGrid w:val="0"/>
        <w:spacing w:line="570" w:lineRule="exact"/>
        <w:ind w:firstLine="631"/>
        <w:jc w:val="both"/>
        <w:textAlignment w:val="auto"/>
        <w:rPr>
          <w:rFonts w:eastAsia="方正仿宋_GBK"/>
          <w:kern w:val="0"/>
          <w:sz w:val="32"/>
          <w:szCs w:val="32"/>
        </w:rPr>
      </w:pPr>
      <w:r>
        <w:rPr>
          <w:rFonts w:eastAsia="方正仿宋_GBK"/>
          <w:kern w:val="0"/>
          <w:sz w:val="32"/>
          <w:szCs w:val="32"/>
        </w:rPr>
        <w:t>区森防办</w:t>
      </w:r>
      <w:r>
        <w:rPr>
          <w:rFonts w:hint="eastAsia" w:eastAsia="方正仿宋_GBK"/>
          <w:kern w:val="0"/>
          <w:sz w:val="32"/>
          <w:szCs w:val="32"/>
        </w:rPr>
        <w:t>会同</w:t>
      </w:r>
      <w:r>
        <w:rPr>
          <w:rFonts w:eastAsia="方正仿宋_GBK"/>
          <w:kern w:val="0"/>
          <w:sz w:val="32"/>
          <w:szCs w:val="32"/>
        </w:rPr>
        <w:t>应急、林业和气象等部门加强会商，</w:t>
      </w:r>
      <w:r>
        <w:rPr>
          <w:rFonts w:hint="eastAsia" w:eastAsia="方正仿宋_GBK"/>
          <w:kern w:val="0"/>
          <w:sz w:val="32"/>
          <w:szCs w:val="32"/>
        </w:rPr>
        <w:t>按分级标准</w:t>
      </w:r>
      <w:r>
        <w:rPr>
          <w:rFonts w:eastAsia="方正仿宋_GBK"/>
          <w:kern w:val="0"/>
          <w:sz w:val="32"/>
          <w:szCs w:val="32"/>
        </w:rPr>
        <w:t>确定森林火险预警</w:t>
      </w:r>
      <w:r>
        <w:rPr>
          <w:rFonts w:hint="eastAsia" w:eastAsia="方正仿宋_GBK"/>
          <w:kern w:val="0"/>
          <w:sz w:val="32"/>
          <w:szCs w:val="32"/>
        </w:rPr>
        <w:t>等级，四级（蓝色）预警、三级（黄色）预警一般不发布预警信号，</w:t>
      </w:r>
      <w:r>
        <w:rPr>
          <w:rFonts w:hint="eastAsia" w:eastAsia="方正仿宋_GBK"/>
          <w:sz w:val="32"/>
          <w:szCs w:val="20"/>
        </w:rPr>
        <w:t>由区气象局发布《沙坪坝区森林火险气象条件等级预报》。</w:t>
      </w:r>
      <w:r>
        <w:rPr>
          <w:rFonts w:hint="eastAsia" w:eastAsia="方正仿宋_GBK"/>
          <w:kern w:val="0"/>
          <w:sz w:val="32"/>
          <w:szCs w:val="32"/>
        </w:rPr>
        <w:t>二级（</w:t>
      </w:r>
      <w:r>
        <w:rPr>
          <w:rFonts w:eastAsia="方正仿宋_GBK"/>
          <w:kern w:val="0"/>
          <w:sz w:val="32"/>
          <w:szCs w:val="32"/>
        </w:rPr>
        <w:t>橙色</w:t>
      </w:r>
      <w:r>
        <w:rPr>
          <w:rFonts w:hint="eastAsia" w:eastAsia="方正仿宋_GBK"/>
          <w:kern w:val="0"/>
          <w:sz w:val="32"/>
          <w:szCs w:val="32"/>
        </w:rPr>
        <w:t>）</w:t>
      </w:r>
      <w:r>
        <w:rPr>
          <w:rFonts w:eastAsia="方正仿宋_GBK"/>
          <w:kern w:val="0"/>
          <w:sz w:val="32"/>
          <w:szCs w:val="32"/>
        </w:rPr>
        <w:t>预警</w:t>
      </w:r>
      <w:r>
        <w:rPr>
          <w:rFonts w:hint="eastAsia" w:eastAsia="方正仿宋_GBK"/>
          <w:kern w:val="0"/>
          <w:sz w:val="32"/>
          <w:szCs w:val="32"/>
        </w:rPr>
        <w:t>、一级（</w:t>
      </w:r>
      <w:r>
        <w:rPr>
          <w:rFonts w:eastAsia="方正仿宋_GBK"/>
          <w:kern w:val="0"/>
          <w:sz w:val="32"/>
          <w:szCs w:val="32"/>
        </w:rPr>
        <w:t>红色</w:t>
      </w:r>
      <w:r>
        <w:rPr>
          <w:rFonts w:hint="eastAsia" w:eastAsia="方正仿宋_GBK"/>
          <w:kern w:val="0"/>
          <w:sz w:val="32"/>
          <w:szCs w:val="32"/>
        </w:rPr>
        <w:t>）</w:t>
      </w:r>
      <w:r>
        <w:rPr>
          <w:rFonts w:eastAsia="方正仿宋_GBK"/>
          <w:kern w:val="0"/>
          <w:sz w:val="32"/>
          <w:szCs w:val="32"/>
        </w:rPr>
        <w:t>预警</w:t>
      </w:r>
      <w:r>
        <w:rPr>
          <w:rFonts w:hint="eastAsia" w:eastAsia="方正仿宋_GBK"/>
          <w:kern w:val="0"/>
          <w:sz w:val="32"/>
          <w:szCs w:val="32"/>
        </w:rPr>
        <w:t>由区森防指指挥长、常务副指挥长或相关副指挥长批准后发布</w:t>
      </w:r>
      <w:r>
        <w:rPr>
          <w:rFonts w:eastAsia="方正仿宋_GBK"/>
          <w:kern w:val="0"/>
          <w:sz w:val="32"/>
          <w:szCs w:val="32"/>
        </w:rPr>
        <w:t>。区森防办、区预警信息中心、区规划自然资源局（林业局）、区公安分局、有关镇街通过政府内网、预警信息发布平台、广播、电视、报刊、信息网络、微信公众号等方式向涉险区域相关镇街、部门、村</w:t>
      </w:r>
      <w:r>
        <w:rPr>
          <w:rFonts w:hint="eastAsia" w:eastAsia="方正仿宋_GBK"/>
          <w:kern w:val="0"/>
          <w:sz w:val="32"/>
          <w:szCs w:val="32"/>
        </w:rPr>
        <w:t>（社区）</w:t>
      </w:r>
      <w:r>
        <w:rPr>
          <w:rFonts w:eastAsia="方正仿宋_GBK"/>
          <w:kern w:val="0"/>
          <w:sz w:val="32"/>
          <w:szCs w:val="32"/>
        </w:rPr>
        <w:t>、企事业单位和社会公众发布。</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2"/>
        <w:rPr>
          <w:rFonts w:eastAsia="方正仿宋_GBK"/>
          <w:sz w:val="32"/>
          <w:szCs w:val="20"/>
        </w:rPr>
      </w:pPr>
      <w:bookmarkStart w:id="58" w:name="_Toc10390"/>
      <w:bookmarkStart w:id="59" w:name="_Toc23563"/>
      <w:r>
        <w:rPr>
          <w:rFonts w:eastAsia="方正仿宋_GBK"/>
          <w:sz w:val="32"/>
          <w:szCs w:val="20"/>
        </w:rPr>
        <w:t>5.2.3  预警响应措施</w:t>
      </w:r>
      <w:bookmarkEnd w:id="58"/>
      <w:bookmarkEnd w:id="59"/>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kern w:val="0"/>
          <w:sz w:val="32"/>
          <w:szCs w:val="32"/>
        </w:rPr>
      </w:pPr>
      <w:r>
        <w:rPr>
          <w:rFonts w:hint="eastAsia" w:eastAsia="方正仿宋_GBK"/>
          <w:kern w:val="0"/>
          <w:sz w:val="32"/>
          <w:szCs w:val="32"/>
        </w:rPr>
        <w:t>四级（蓝色）预警、三级（黄色）预警：</w:t>
      </w:r>
      <w:r>
        <w:rPr>
          <w:rFonts w:eastAsia="方正仿宋_GBK"/>
          <w:kern w:val="0"/>
          <w:sz w:val="32"/>
          <w:szCs w:val="32"/>
        </w:rPr>
        <w:t>区规划自然资源局（林业局）、区公安分局组织涉林镇街加强组织领导，强化监测预警，加大火源管控，深化隐患整治，严格值班值守，切实落实各项防灭火工作措施。</w:t>
      </w:r>
      <w:r>
        <w:rPr>
          <w:rFonts w:hint="eastAsia" w:eastAsia="方正仿宋_GBK"/>
          <w:kern w:val="0"/>
          <w:sz w:val="32"/>
          <w:szCs w:val="32"/>
        </w:rPr>
        <w:t>区应急局督促涉林镇街</w:t>
      </w:r>
      <w:r>
        <w:rPr>
          <w:rFonts w:eastAsia="方正仿宋_GBK"/>
          <w:kern w:val="0"/>
          <w:sz w:val="32"/>
          <w:szCs w:val="32"/>
        </w:rPr>
        <w:t>做好</w:t>
      </w:r>
      <w:r>
        <w:rPr>
          <w:rFonts w:hint="eastAsia" w:eastAsia="方正仿宋_GBK"/>
          <w:kern w:val="0"/>
          <w:sz w:val="32"/>
          <w:szCs w:val="32"/>
        </w:rPr>
        <w:t>人员、物资、装备等应急准备。</w:t>
      </w:r>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hint="eastAsia" w:eastAsia="方正仿宋_GBK"/>
          <w:kern w:val="0"/>
          <w:sz w:val="32"/>
          <w:szCs w:val="32"/>
        </w:rPr>
        <w:t xml:space="preserve">    二级（</w:t>
      </w:r>
      <w:r>
        <w:rPr>
          <w:rFonts w:eastAsia="方正仿宋_GBK"/>
          <w:kern w:val="0"/>
          <w:sz w:val="32"/>
          <w:szCs w:val="32"/>
        </w:rPr>
        <w:t>橙色</w:t>
      </w:r>
      <w:r>
        <w:rPr>
          <w:rFonts w:hint="eastAsia" w:eastAsia="方正仿宋_GBK"/>
          <w:kern w:val="0"/>
          <w:sz w:val="32"/>
          <w:szCs w:val="32"/>
        </w:rPr>
        <w:t>）</w:t>
      </w:r>
      <w:r>
        <w:rPr>
          <w:rFonts w:eastAsia="方正仿宋_GBK"/>
          <w:kern w:val="0"/>
          <w:sz w:val="32"/>
          <w:szCs w:val="32"/>
        </w:rPr>
        <w:t>预警：区森防办组织区应急局、区规划自然资源局（林业局）、区气象局、区公安分局等部门会商，适时报请区森防指调整预警等级。区规划自然资源局（林业局）、区公安分局组织涉林镇街加强野外火源管理、执法，停止一切野外用火审批，严禁一切野外用火；加强森林防火检查和巡山监测力度，严格执行人员扫码进山入林，做好卫星林火监测核查；加大宣传教育力度，加强老幼痴呆等特殊群体管理。涉林镇街灭火救援队伍做好灭火人员、物资、装备、机具准备。</w:t>
      </w:r>
    </w:p>
    <w:p>
      <w:pPr>
        <w:pageBreakBefore w:val="0"/>
        <w:widowControl w:val="0"/>
        <w:kinsoku/>
        <w:wordWrap/>
        <w:overflowPunct/>
        <w:topLinePunct w:val="0"/>
        <w:bidi w:val="0"/>
        <w:adjustRightInd w:val="0"/>
        <w:snapToGrid w:val="0"/>
        <w:spacing w:line="570" w:lineRule="exact"/>
        <w:jc w:val="both"/>
        <w:textAlignment w:val="auto"/>
        <w:rPr>
          <w:rFonts w:eastAsia="方正仿宋_GBK"/>
          <w:sz w:val="32"/>
          <w:szCs w:val="20"/>
        </w:rPr>
      </w:pPr>
      <w:r>
        <w:rPr>
          <w:rFonts w:hint="eastAsia" w:eastAsia="方正仿宋_GBK"/>
          <w:kern w:val="0"/>
          <w:sz w:val="32"/>
          <w:szCs w:val="32"/>
        </w:rPr>
        <w:t xml:space="preserve">    一级（</w:t>
      </w:r>
      <w:r>
        <w:rPr>
          <w:rFonts w:eastAsia="方正仿宋_GBK"/>
          <w:kern w:val="0"/>
          <w:sz w:val="32"/>
          <w:szCs w:val="32"/>
        </w:rPr>
        <w:t>红色</w:t>
      </w:r>
      <w:r>
        <w:rPr>
          <w:rFonts w:hint="eastAsia" w:eastAsia="方正仿宋_GBK"/>
          <w:kern w:val="0"/>
          <w:sz w:val="32"/>
          <w:szCs w:val="32"/>
        </w:rPr>
        <w:t>）</w:t>
      </w:r>
      <w:r>
        <w:rPr>
          <w:rFonts w:eastAsia="方正仿宋_GBK"/>
          <w:kern w:val="0"/>
          <w:sz w:val="32"/>
          <w:szCs w:val="32"/>
        </w:rPr>
        <w:t>预警：区委、区政府和区森防指领导视情况检查森林防灭火工作。区政府视情况发布封山令或禁火令。区森防办组织区应急局、区规划自然资源局（林业局）、区气象局、区公安分局等部门会商，加密森林火险气象等级播报频次，适时报请区森防指调整预警等级。区规划自然资源局（林业局）、区公安分局组织涉林镇街加强野外火源管理、执法，停止一切野外用火审批，严禁一切野外用火；加大防火检查和巡山监测力度，增设林区路口检查卡点，增加巡山护林人员，严格执行人员扫码进山入林，做好卫星林火监测核查；加大宣传教育力度，加强老幼痴呆等特殊群体管理。区应急局指导涉林镇街灭火救援队伍进入待命状态，做好灭火机具准备。</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60" w:name="_Toc28375"/>
      <w:bookmarkStart w:id="61" w:name="_Toc21154"/>
      <w:r>
        <w:rPr>
          <w:rFonts w:eastAsia="方正楷体_GBK"/>
          <w:sz w:val="32"/>
          <w:szCs w:val="20"/>
        </w:rPr>
        <w:t>5.3  信息报告</w:t>
      </w:r>
      <w:bookmarkEnd w:id="60"/>
      <w:bookmarkEnd w:id="61"/>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区森防指、镇街森防指按照</w:t>
      </w:r>
      <w:r>
        <w:rPr>
          <w:rFonts w:hint="eastAsia" w:eastAsia="方正仿宋_GBK"/>
          <w:kern w:val="0"/>
          <w:sz w:val="32"/>
          <w:szCs w:val="32"/>
        </w:rPr>
        <w:t>“</w:t>
      </w:r>
      <w:r>
        <w:rPr>
          <w:rFonts w:eastAsia="方正仿宋_GBK"/>
          <w:kern w:val="0"/>
          <w:sz w:val="32"/>
          <w:szCs w:val="32"/>
        </w:rPr>
        <w:t>有火必报、归口上报</w:t>
      </w:r>
      <w:r>
        <w:rPr>
          <w:rFonts w:hint="eastAsia" w:eastAsia="方正仿宋_GBK"/>
          <w:kern w:val="0"/>
          <w:sz w:val="32"/>
          <w:szCs w:val="32"/>
        </w:rPr>
        <w:t>”</w:t>
      </w:r>
      <w:r>
        <w:rPr>
          <w:rFonts w:eastAsia="方正仿宋_GBK"/>
          <w:kern w:val="0"/>
          <w:sz w:val="32"/>
          <w:szCs w:val="32"/>
        </w:rPr>
        <w:t>的原则，及时、准确、逐级、规范报告森林火灾信息。全区森林防火视频监控、防火巡查巡护人员、社会公众、</w:t>
      </w:r>
      <w:r>
        <w:rPr>
          <w:rFonts w:hint="eastAsia" w:eastAsia="方正仿宋_GBK"/>
          <w:kern w:val="0"/>
          <w:sz w:val="32"/>
          <w:szCs w:val="32"/>
        </w:rPr>
        <w:t>经营主体、</w:t>
      </w:r>
      <w:r>
        <w:rPr>
          <w:rFonts w:eastAsia="方正仿宋_GBK"/>
          <w:kern w:val="0"/>
          <w:sz w:val="32"/>
          <w:szCs w:val="32"/>
        </w:rPr>
        <w:t>政府机关、社会团体、企事业单位等一旦发现森林火情，应立即向区森防办（65512350、6546</w:t>
      </w:r>
      <w:r>
        <w:rPr>
          <w:rFonts w:hint="eastAsia" w:eastAsia="方正仿宋_GBK"/>
          <w:kern w:val="0"/>
          <w:sz w:val="32"/>
          <w:szCs w:val="32"/>
        </w:rPr>
        <w:t>5</w:t>
      </w:r>
      <w:r>
        <w:rPr>
          <w:rFonts w:eastAsia="方正仿宋_GBK"/>
          <w:kern w:val="0"/>
          <w:sz w:val="32"/>
          <w:szCs w:val="32"/>
        </w:rPr>
        <w:t>906）报告，并拨打12350、119、110及属地镇街值班室等电话报警。属地镇街、区规划自然资源局（林业局）获悉火情后，应立即派人赶赴现场调查核实，经核查确定为森林火灾的，应立即报告区森防办，属地镇街同时向区规划自然资源局（林业局）报告。区森防办接到火情（火灾）报告后，应迅速通知属地镇街、有关部门或迅速派人赶赴现场调查核实（应急处置）。经核查确定为森林火灾的，应在30分钟内电话报告、60分钟内书面报告区委、区政府和市森防办。属地镇街、区森防办应根据处置进展情况及时书面续报、终报信息；对于情况复杂或当天难以勘查现场的，可先简要报送书面材料，调查清楚后尽快报送终报。</w:t>
      </w:r>
    </w:p>
    <w:p>
      <w:pPr>
        <w:pageBreakBefore w:val="0"/>
        <w:widowControl w:val="0"/>
        <w:kinsoku/>
        <w:wordWrap/>
        <w:overflowPunct/>
        <w:topLinePunct w:val="0"/>
        <w:bidi w:val="0"/>
        <w:adjustRightInd w:val="0"/>
        <w:snapToGrid w:val="0"/>
        <w:spacing w:line="570" w:lineRule="exact"/>
        <w:ind w:firstLine="632" w:firstLineChars="200"/>
        <w:jc w:val="both"/>
        <w:textAlignment w:val="auto"/>
        <w:outlineLvl w:val="0"/>
        <w:rPr>
          <w:rFonts w:eastAsia="方正黑体_GBK"/>
          <w:kern w:val="44"/>
          <w:sz w:val="32"/>
          <w:szCs w:val="24"/>
        </w:rPr>
      </w:pPr>
      <w:bookmarkStart w:id="62" w:name="_Toc15526"/>
      <w:bookmarkStart w:id="63" w:name="_Toc31304"/>
      <w:r>
        <w:rPr>
          <w:rFonts w:eastAsia="方正黑体_GBK"/>
          <w:kern w:val="44"/>
          <w:sz w:val="32"/>
          <w:szCs w:val="24"/>
        </w:rPr>
        <w:t>6  应急响应</w:t>
      </w:r>
      <w:bookmarkEnd w:id="62"/>
      <w:bookmarkEnd w:id="63"/>
      <w:bookmarkStart w:id="64" w:name="_Toc7589"/>
      <w:bookmarkStart w:id="65" w:name="_Toc12659"/>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66" w:name="_Toc29675"/>
      <w:bookmarkStart w:id="67" w:name="_Toc1423"/>
      <w:r>
        <w:rPr>
          <w:rFonts w:eastAsia="方正楷体_GBK"/>
          <w:sz w:val="32"/>
          <w:szCs w:val="20"/>
        </w:rPr>
        <w:t>6.1  火情早期处置</w:t>
      </w:r>
      <w:bookmarkEnd w:id="64"/>
      <w:bookmarkEnd w:id="65"/>
      <w:bookmarkEnd w:id="66"/>
      <w:bookmarkEnd w:id="67"/>
    </w:p>
    <w:p>
      <w:pPr>
        <w:pageBreakBefore w:val="0"/>
        <w:widowControl w:val="0"/>
        <w:kinsoku/>
        <w:wordWrap/>
        <w:overflowPunct/>
        <w:topLinePunct w:val="0"/>
        <w:bidi w:val="0"/>
        <w:adjustRightInd w:val="0"/>
        <w:snapToGrid w:val="0"/>
        <w:spacing w:line="570" w:lineRule="exact"/>
        <w:jc w:val="both"/>
        <w:textAlignment w:val="auto"/>
        <w:rPr>
          <w:rFonts w:hint="eastAsia" w:eastAsia="方正仿宋_GBK"/>
          <w:kern w:val="0"/>
          <w:sz w:val="32"/>
          <w:szCs w:val="32"/>
        </w:rPr>
      </w:pPr>
      <w:r>
        <w:rPr>
          <w:rFonts w:hint="eastAsia" w:eastAsia="方正仿宋_GBK"/>
          <w:kern w:val="0"/>
          <w:sz w:val="32"/>
          <w:szCs w:val="32"/>
        </w:rPr>
        <w:t xml:space="preserve">    区规划自然资源局（林业局）、属地镇街、林区经营主体负责森林火情早期处置工作。森林火情发生后，镇街、村（社区）、林区经营主体及相关单位等第一时间采取措施，做到打早、打小、打了。</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68" w:name="_Toc15567"/>
      <w:bookmarkStart w:id="69" w:name="_Toc6055"/>
      <w:r>
        <w:rPr>
          <w:rFonts w:eastAsia="方正楷体_GBK"/>
          <w:sz w:val="32"/>
          <w:szCs w:val="20"/>
        </w:rPr>
        <w:t>6.2  分级响应</w:t>
      </w:r>
      <w:bookmarkEnd w:id="68"/>
      <w:bookmarkEnd w:id="69"/>
    </w:p>
    <w:p>
      <w:pPr>
        <w:pageBreakBefore w:val="0"/>
        <w:widowControl w:val="0"/>
        <w:kinsoku/>
        <w:wordWrap/>
        <w:overflowPunct/>
        <w:topLinePunct w:val="0"/>
        <w:bidi w:val="0"/>
        <w:adjustRightInd w:val="0"/>
        <w:snapToGrid w:val="0"/>
        <w:spacing w:line="570" w:lineRule="exact"/>
        <w:ind w:firstLine="631"/>
        <w:jc w:val="both"/>
        <w:textAlignment w:val="auto"/>
        <w:rPr>
          <w:rFonts w:eastAsia="方正仿宋_GBK"/>
          <w:kern w:val="0"/>
          <w:sz w:val="32"/>
          <w:szCs w:val="32"/>
        </w:rPr>
      </w:pPr>
      <w:r>
        <w:rPr>
          <w:rFonts w:eastAsia="方正仿宋_GBK"/>
          <w:kern w:val="0"/>
          <w:sz w:val="32"/>
          <w:szCs w:val="32"/>
        </w:rPr>
        <w:t>森林火灾发生后，</w:t>
      </w:r>
      <w:r>
        <w:rPr>
          <w:rFonts w:hint="eastAsia" w:eastAsia="方正仿宋_GBK"/>
          <w:kern w:val="0"/>
          <w:sz w:val="32"/>
          <w:szCs w:val="32"/>
        </w:rPr>
        <w:t>区森防办</w:t>
      </w:r>
      <w:r>
        <w:rPr>
          <w:rFonts w:eastAsia="方正仿宋_GBK"/>
          <w:kern w:val="0"/>
          <w:sz w:val="32"/>
          <w:szCs w:val="32"/>
        </w:rPr>
        <w:t>根据火灾严重程度、火场发展态势和扑救情况，</w:t>
      </w:r>
      <w:r>
        <w:rPr>
          <w:rFonts w:hint="eastAsia" w:eastAsia="方正仿宋_GBK"/>
          <w:kern w:val="0"/>
          <w:sz w:val="32"/>
          <w:szCs w:val="32"/>
        </w:rPr>
        <w:t>报请区森防指决定启动相应等级应急响应，并通过值班电话、微信工作群等方式向相关部门发布响应指令。收悉响应指令后，有关镇街、区级有关部门应急队伍立即携带运水车水泵、油锯、风力灭火机、铁扫把、十字镐等物资装备赶赴事发现场开展灭火救援工作。</w:t>
      </w:r>
      <w:r>
        <w:rPr>
          <w:rFonts w:eastAsia="方正仿宋_GBK"/>
          <w:kern w:val="0"/>
          <w:sz w:val="32"/>
          <w:szCs w:val="32"/>
        </w:rPr>
        <w:t>全区应对工作设定</w:t>
      </w:r>
      <w:r>
        <w:rPr>
          <w:rFonts w:hint="eastAsia" w:ascii="宋体" w:hAnsi="宋体" w:cs="宋体"/>
          <w:kern w:val="0"/>
          <w:sz w:val="32"/>
          <w:szCs w:val="32"/>
        </w:rPr>
        <w:t>Ⅳ</w:t>
      </w:r>
      <w:r>
        <w:rPr>
          <w:rFonts w:eastAsia="方正仿宋_GBK"/>
          <w:kern w:val="0"/>
          <w:sz w:val="32"/>
          <w:szCs w:val="32"/>
        </w:rPr>
        <w:t>级、</w:t>
      </w:r>
      <w:r>
        <w:rPr>
          <w:rFonts w:hint="eastAsia" w:ascii="宋体" w:hAnsi="宋体" w:cs="宋体"/>
          <w:kern w:val="0"/>
          <w:sz w:val="32"/>
          <w:szCs w:val="32"/>
        </w:rPr>
        <w:t>Ⅲ</w:t>
      </w:r>
      <w:r>
        <w:rPr>
          <w:rFonts w:eastAsia="方正仿宋_GBK"/>
          <w:kern w:val="0"/>
          <w:sz w:val="32"/>
          <w:szCs w:val="32"/>
        </w:rPr>
        <w:t>级、</w:t>
      </w:r>
      <w:r>
        <w:rPr>
          <w:rFonts w:hint="eastAsia" w:ascii="宋体" w:hAnsi="宋体" w:cs="宋体"/>
          <w:kern w:val="0"/>
          <w:sz w:val="32"/>
          <w:szCs w:val="32"/>
        </w:rPr>
        <w:t>Ⅱ</w:t>
      </w:r>
      <w:r>
        <w:rPr>
          <w:rFonts w:eastAsia="方正仿宋_GBK"/>
          <w:kern w:val="0"/>
          <w:sz w:val="32"/>
          <w:szCs w:val="32"/>
        </w:rPr>
        <w:t>级、</w:t>
      </w:r>
      <w:r>
        <w:rPr>
          <w:rFonts w:hint="eastAsia" w:ascii="宋体" w:hAnsi="宋体" w:cs="宋体"/>
          <w:kern w:val="0"/>
          <w:sz w:val="32"/>
          <w:szCs w:val="32"/>
        </w:rPr>
        <w:t>Ⅰ</w:t>
      </w:r>
      <w:r>
        <w:rPr>
          <w:rFonts w:eastAsia="方正仿宋_GBK"/>
          <w:kern w:val="0"/>
          <w:sz w:val="32"/>
          <w:szCs w:val="32"/>
        </w:rPr>
        <w:t>级</w:t>
      </w:r>
      <w:r>
        <w:rPr>
          <w:rFonts w:hint="eastAsia" w:eastAsia="方正仿宋_GBK"/>
          <w:kern w:val="0"/>
          <w:sz w:val="32"/>
          <w:szCs w:val="32"/>
        </w:rPr>
        <w:t>共</w:t>
      </w:r>
      <w:r>
        <w:rPr>
          <w:rFonts w:eastAsia="方正仿宋_GBK"/>
          <w:kern w:val="0"/>
          <w:sz w:val="32"/>
          <w:szCs w:val="32"/>
        </w:rPr>
        <w:t>四个</w:t>
      </w:r>
      <w:r>
        <w:rPr>
          <w:rFonts w:hint="eastAsia" w:eastAsia="方正仿宋_GBK"/>
          <w:kern w:val="0"/>
          <w:sz w:val="32"/>
          <w:szCs w:val="32"/>
        </w:rPr>
        <w:t>应急</w:t>
      </w:r>
      <w:r>
        <w:rPr>
          <w:rFonts w:eastAsia="方正仿宋_GBK"/>
          <w:kern w:val="0"/>
          <w:sz w:val="32"/>
          <w:szCs w:val="32"/>
        </w:rPr>
        <w:t>响应等级。</w:t>
      </w:r>
    </w:p>
    <w:p>
      <w:pPr>
        <w:pageBreakBefore w:val="0"/>
        <w:widowControl w:val="0"/>
        <w:kinsoku/>
        <w:wordWrap/>
        <w:overflowPunct/>
        <w:topLinePunct w:val="0"/>
        <w:bidi w:val="0"/>
        <w:adjustRightInd w:val="0"/>
        <w:snapToGrid w:val="0"/>
        <w:spacing w:line="570" w:lineRule="exact"/>
        <w:ind w:firstLine="631"/>
        <w:jc w:val="both"/>
        <w:textAlignment w:val="auto"/>
        <w:rPr>
          <w:rFonts w:eastAsia="方正仿宋_GBK"/>
          <w:color w:val="FF0000"/>
          <w:sz w:val="32"/>
          <w:szCs w:val="20"/>
        </w:rPr>
      </w:pPr>
      <w:r>
        <w:rPr>
          <w:rFonts w:eastAsia="方正仿宋_GBK"/>
          <w:sz w:val="32"/>
          <w:szCs w:val="20"/>
        </w:rPr>
        <w:t>焚烧垃圾、焚烧疫木、烧草焐灰</w:t>
      </w:r>
      <w:r>
        <w:rPr>
          <w:rFonts w:hint="eastAsia" w:eastAsia="方正仿宋_GBK"/>
          <w:sz w:val="32"/>
          <w:szCs w:val="20"/>
        </w:rPr>
        <w:t>等</w:t>
      </w:r>
      <w:r>
        <w:rPr>
          <w:rFonts w:eastAsia="方正仿宋_GBK"/>
          <w:sz w:val="32"/>
          <w:szCs w:val="20"/>
        </w:rPr>
        <w:t>火警；经济林、可变林、荒坡等区域起火，火势处于可控、可灭状态，不会造成大面积林木着火的火情，由镇街、消防等单位立即组织扑救，区森防办、区应急局、区规划自然资源局（林业局）密切关注，视情况赶赴现场开展处置。属地镇街及时向区森防办报送信息。</w:t>
      </w:r>
    </w:p>
    <w:p>
      <w:pPr>
        <w:keepNext/>
        <w:keepLines/>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2"/>
        <w:rPr>
          <w:rFonts w:eastAsia="方正仿宋_GBK"/>
          <w:sz w:val="32"/>
          <w:szCs w:val="20"/>
        </w:rPr>
      </w:pPr>
      <w:bookmarkStart w:id="70" w:name="_Toc23839"/>
      <w:bookmarkStart w:id="71" w:name="_Toc21977"/>
      <w:bookmarkStart w:id="72" w:name="_Toc13323"/>
      <w:bookmarkStart w:id="73" w:name="_Toc25519"/>
      <w:r>
        <w:rPr>
          <w:rFonts w:eastAsia="方正仿宋_GBK"/>
          <w:sz w:val="32"/>
          <w:szCs w:val="20"/>
        </w:rPr>
        <w:t xml:space="preserve">6.2.1 </w:t>
      </w:r>
      <w:r>
        <w:rPr>
          <w:rFonts w:hint="eastAsia" w:ascii="宋体" w:hAnsi="宋体" w:cs="宋体"/>
          <w:sz w:val="32"/>
          <w:szCs w:val="20"/>
        </w:rPr>
        <w:t>Ⅳ</w:t>
      </w:r>
      <w:r>
        <w:rPr>
          <w:rFonts w:eastAsia="方正仿宋_GBK"/>
          <w:sz w:val="32"/>
          <w:szCs w:val="20"/>
        </w:rPr>
        <w:t>级响应</w:t>
      </w:r>
      <w:bookmarkEnd w:id="70"/>
      <w:bookmarkEnd w:id="71"/>
      <w:bookmarkEnd w:id="72"/>
      <w:bookmarkEnd w:id="73"/>
    </w:p>
    <w:p>
      <w:pPr>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eastAsia="方正仿宋_GBK"/>
          <w:color w:val="000000"/>
          <w:kern w:val="0"/>
          <w:sz w:val="32"/>
          <w:szCs w:val="32"/>
        </w:rPr>
      </w:pPr>
      <w:r>
        <w:rPr>
          <w:rFonts w:eastAsia="方正仿宋_GBK"/>
          <w:color w:val="000000"/>
          <w:kern w:val="0"/>
          <w:sz w:val="32"/>
          <w:szCs w:val="32"/>
        </w:rPr>
        <w:t>6.2.1.1启动条件</w:t>
      </w:r>
      <w:r>
        <w:rPr>
          <w:rFonts w:hint="eastAsia" w:eastAsia="方正仿宋_GBK"/>
          <w:color w:val="000000"/>
          <w:kern w:val="0"/>
          <w:sz w:val="32"/>
          <w:szCs w:val="32"/>
        </w:rPr>
        <w:t>（符合下列条件之一）</w:t>
      </w:r>
    </w:p>
    <w:p>
      <w:pPr>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（1）火势失控</w:t>
      </w:r>
      <w:r>
        <w:rPr>
          <w:rFonts w:hint="eastAsia" w:eastAsia="方正仿宋_GBK"/>
          <w:sz w:val="32"/>
          <w:szCs w:val="20"/>
        </w:rPr>
        <w:t>、持续蔓延</w:t>
      </w:r>
      <w:r>
        <w:rPr>
          <w:rFonts w:eastAsia="方正仿宋_GBK"/>
          <w:sz w:val="32"/>
          <w:szCs w:val="20"/>
        </w:rPr>
        <w:t>的森林火灾。</w:t>
      </w:r>
    </w:p>
    <w:p>
      <w:pPr>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w:t>
      </w:r>
      <w:r>
        <w:rPr>
          <w:rFonts w:hint="eastAsia" w:eastAsia="方正仿宋_GBK"/>
          <w:sz w:val="32"/>
          <w:szCs w:val="20"/>
        </w:rPr>
        <w:t>2</w:t>
      </w:r>
      <w:r>
        <w:rPr>
          <w:rFonts w:eastAsia="方正仿宋_GBK"/>
          <w:sz w:val="32"/>
          <w:szCs w:val="20"/>
        </w:rPr>
        <w:t>）发生在敏感时间、敏感区域，不直接威胁镇街、村社居民区以及重要设施安全的森林火灾。</w:t>
      </w:r>
    </w:p>
    <w:p>
      <w:pPr>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w:t>
      </w:r>
      <w:r>
        <w:rPr>
          <w:rFonts w:hint="eastAsia" w:eastAsia="方正仿宋_GBK"/>
          <w:sz w:val="32"/>
          <w:szCs w:val="20"/>
        </w:rPr>
        <w:t>3</w:t>
      </w:r>
      <w:r>
        <w:rPr>
          <w:rFonts w:eastAsia="方正仿宋_GBK"/>
          <w:sz w:val="32"/>
          <w:szCs w:val="20"/>
        </w:rPr>
        <w:t>）周边区发生可能蔓延至我区的森林火灾。</w:t>
      </w:r>
    </w:p>
    <w:p>
      <w:pPr>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eastAsia="方正仿宋_GBK"/>
          <w:color w:val="000000"/>
          <w:kern w:val="0"/>
          <w:sz w:val="32"/>
          <w:szCs w:val="32"/>
        </w:rPr>
      </w:pPr>
      <w:r>
        <w:rPr>
          <w:rFonts w:eastAsia="方正仿宋_GBK"/>
          <w:color w:val="000000"/>
          <w:kern w:val="0"/>
          <w:sz w:val="32"/>
          <w:szCs w:val="32"/>
        </w:rPr>
        <w:t>6.2.1.2 响应措施</w:t>
      </w:r>
    </w:p>
    <w:p>
      <w:pPr>
        <w:pageBreakBefore w:val="0"/>
        <w:widowControl w:val="0"/>
        <w:shd w:val="clear" w:color="auto" w:fill="FFFFFF"/>
        <w:kinsoku/>
        <w:wordWrap/>
        <w:overflowPunct/>
        <w:topLinePunct w:val="0"/>
        <w:bidi w:val="0"/>
        <w:adjustRightInd w:val="0"/>
        <w:snapToGrid w:val="0"/>
        <w:spacing w:line="570" w:lineRule="exact"/>
        <w:ind w:firstLine="631"/>
        <w:jc w:val="both"/>
        <w:textAlignment w:val="auto"/>
        <w:rPr>
          <w:rFonts w:eastAsia="方正仿宋_GBK"/>
          <w:sz w:val="32"/>
          <w:szCs w:val="20"/>
        </w:rPr>
      </w:pPr>
      <w:r>
        <w:rPr>
          <w:rFonts w:eastAsia="方正仿宋_GBK"/>
          <w:sz w:val="32"/>
          <w:szCs w:val="20"/>
        </w:rPr>
        <w:t>（1）视情况成立扑火前指，由区森防指常务副指挥长任总指挥，区森防指副指挥长及人武、消防、属地镇街负责人任副总指挥，有关镇街、区级有关部门组成工作小组。明确各工作组牵头人及职责任务，全力开展灭火救援工作。</w:t>
      </w:r>
    </w:p>
    <w:p>
      <w:pPr>
        <w:pageBreakBefore w:val="0"/>
        <w:widowControl w:val="0"/>
        <w:shd w:val="clear" w:color="auto" w:fill="FFFFFF"/>
        <w:kinsoku/>
        <w:wordWrap/>
        <w:overflowPunct/>
        <w:topLinePunct w:val="0"/>
        <w:bidi w:val="0"/>
        <w:adjustRightInd w:val="0"/>
        <w:snapToGrid w:val="0"/>
        <w:spacing w:line="570" w:lineRule="exact"/>
        <w:ind w:firstLine="631"/>
        <w:jc w:val="both"/>
        <w:textAlignment w:val="auto"/>
        <w:rPr>
          <w:rFonts w:eastAsia="方正仿宋_GBK"/>
          <w:sz w:val="32"/>
          <w:szCs w:val="20"/>
        </w:rPr>
      </w:pPr>
      <w:r>
        <w:rPr>
          <w:rFonts w:eastAsia="方正仿宋_GBK"/>
          <w:sz w:val="32"/>
          <w:szCs w:val="20"/>
        </w:rPr>
        <w:t>（2）及时向区委、区政府和市森防指报告信息。</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2"/>
        <w:rPr>
          <w:rFonts w:eastAsia="方正仿宋_GBK"/>
          <w:sz w:val="32"/>
          <w:szCs w:val="20"/>
        </w:rPr>
      </w:pPr>
      <w:bookmarkStart w:id="74" w:name="_Toc19716"/>
      <w:bookmarkStart w:id="75" w:name="_Toc16794"/>
      <w:r>
        <w:rPr>
          <w:rFonts w:eastAsia="方正仿宋_GBK"/>
          <w:sz w:val="32"/>
          <w:szCs w:val="20"/>
        </w:rPr>
        <w:t xml:space="preserve">6.2.2 </w:t>
      </w:r>
      <w:r>
        <w:rPr>
          <w:rFonts w:hint="eastAsia" w:ascii="宋体" w:hAnsi="宋体" w:cs="宋体"/>
          <w:sz w:val="32"/>
          <w:szCs w:val="20"/>
        </w:rPr>
        <w:t>Ⅲ</w:t>
      </w:r>
      <w:r>
        <w:rPr>
          <w:rFonts w:eastAsia="方正仿宋_GBK"/>
          <w:sz w:val="32"/>
          <w:szCs w:val="20"/>
        </w:rPr>
        <w:t>级响应</w:t>
      </w:r>
      <w:bookmarkEnd w:id="74"/>
      <w:bookmarkEnd w:id="75"/>
      <w:r>
        <w:rPr>
          <w:rFonts w:hint="eastAsia" w:eastAsia="方正仿宋_GBK"/>
          <w:color w:val="000000"/>
          <w:kern w:val="0"/>
          <w:sz w:val="32"/>
          <w:szCs w:val="32"/>
        </w:rPr>
        <w:t>（符合下列条件之一）</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6.2.2.1 启动条件</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（1）燃烧时间2小时以上的森林火灾。</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（2）过火面积</w:t>
      </w:r>
      <w:r>
        <w:rPr>
          <w:rFonts w:hint="eastAsia" w:eastAsia="方正仿宋_GBK"/>
          <w:sz w:val="32"/>
          <w:szCs w:val="20"/>
        </w:rPr>
        <w:t>达到或预判达到</w:t>
      </w:r>
      <w:r>
        <w:rPr>
          <w:rFonts w:eastAsia="方正仿宋_GBK"/>
          <w:sz w:val="32"/>
          <w:szCs w:val="20"/>
        </w:rPr>
        <w:t>0.5公顷以上的森林火灾。</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（3）直接威胁镇街、村社居民区以及重要设施安全，无人员伤亡、被困的森林火灾。</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（4）发生可能蔓延至周边区的森林火灾。</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6.2.2.2 响应措施</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在</w:t>
      </w:r>
      <w:r>
        <w:rPr>
          <w:rFonts w:hint="eastAsia" w:ascii="宋体" w:hAnsi="宋体" w:cs="宋体"/>
          <w:sz w:val="32"/>
          <w:szCs w:val="20"/>
        </w:rPr>
        <w:t>Ⅳ</w:t>
      </w:r>
      <w:r>
        <w:rPr>
          <w:rFonts w:eastAsia="方正仿宋_GBK"/>
          <w:sz w:val="32"/>
          <w:szCs w:val="20"/>
        </w:rPr>
        <w:t>级响应基础上，加强以下应急措施：</w:t>
      </w:r>
      <w:bookmarkStart w:id="76" w:name="_Toc21564"/>
      <w:bookmarkStart w:id="77" w:name="_Toc20608"/>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（1）成立扑火前指，由区森防指指挥长任总指挥。</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（2）视情况向市森防指请求支援，请求调派市森林航空消防飞机支援扑火。</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（3）必要且条件成熟情况下，气象部门实施人工影响天气作业。</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（4）做好舆情导控工作。</w:t>
      </w:r>
    </w:p>
    <w:bookmarkEnd w:id="76"/>
    <w:bookmarkEnd w:id="77"/>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2"/>
        <w:rPr>
          <w:rFonts w:eastAsia="方正仿宋_GBK"/>
          <w:sz w:val="32"/>
          <w:szCs w:val="20"/>
        </w:rPr>
      </w:pPr>
      <w:bookmarkStart w:id="78" w:name="_Toc19751"/>
      <w:bookmarkStart w:id="79" w:name="_Toc25774"/>
      <w:bookmarkStart w:id="80" w:name="_Toc27300"/>
      <w:bookmarkStart w:id="81" w:name="_Toc24217"/>
      <w:r>
        <w:rPr>
          <w:rFonts w:eastAsia="方正仿宋_GBK"/>
          <w:sz w:val="32"/>
          <w:szCs w:val="20"/>
        </w:rPr>
        <w:t xml:space="preserve">6.2.3 </w:t>
      </w:r>
      <w:r>
        <w:rPr>
          <w:rFonts w:hint="eastAsia" w:ascii="宋体" w:hAnsi="宋体" w:cs="宋体"/>
          <w:sz w:val="32"/>
          <w:szCs w:val="20"/>
        </w:rPr>
        <w:t>Ⅱ</w:t>
      </w:r>
      <w:r>
        <w:rPr>
          <w:rFonts w:eastAsia="方正仿宋_GBK"/>
          <w:sz w:val="32"/>
          <w:szCs w:val="20"/>
        </w:rPr>
        <w:t>级响应</w:t>
      </w:r>
      <w:bookmarkEnd w:id="78"/>
      <w:bookmarkEnd w:id="79"/>
      <w:bookmarkEnd w:id="80"/>
      <w:bookmarkEnd w:id="81"/>
      <w:r>
        <w:rPr>
          <w:rFonts w:hint="eastAsia" w:eastAsia="方正仿宋_GBK"/>
          <w:color w:val="000000"/>
          <w:kern w:val="0"/>
          <w:sz w:val="32"/>
          <w:szCs w:val="32"/>
        </w:rPr>
        <w:t>（符合下列条件之一）</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6.2.3.1 启动条件</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（1）燃烧时间6小时以上的森林火灾。</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（2）过火面积</w:t>
      </w:r>
      <w:r>
        <w:rPr>
          <w:rFonts w:hint="eastAsia" w:eastAsia="方正仿宋_GBK"/>
          <w:sz w:val="32"/>
          <w:szCs w:val="20"/>
        </w:rPr>
        <w:t>达到或预判达到</w:t>
      </w:r>
      <w:r>
        <w:rPr>
          <w:rFonts w:eastAsia="方正仿宋_GBK"/>
          <w:sz w:val="32"/>
          <w:szCs w:val="20"/>
        </w:rPr>
        <w:t>5公顷的森林火灾。</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（3）造成1人以上、3人以下人员死亡、被困或者1人以上10</w:t>
      </w:r>
      <w:r>
        <w:rPr>
          <w:rFonts w:hint="eastAsia" w:eastAsia="方正仿宋_GBK"/>
          <w:sz w:val="32"/>
          <w:szCs w:val="20"/>
        </w:rPr>
        <w:t>人</w:t>
      </w:r>
      <w:r>
        <w:rPr>
          <w:rFonts w:eastAsia="方正仿宋_GBK"/>
          <w:sz w:val="32"/>
          <w:szCs w:val="20"/>
        </w:rPr>
        <w:t>以下重伤或者重大财产损失的森林火灾。</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6.2.3.2 响应方案</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在</w:t>
      </w:r>
      <w:r>
        <w:rPr>
          <w:rFonts w:hint="eastAsia" w:ascii="宋体" w:hAnsi="宋体" w:cs="宋体"/>
          <w:sz w:val="32"/>
          <w:szCs w:val="20"/>
        </w:rPr>
        <w:t>Ⅲ</w:t>
      </w:r>
      <w:r>
        <w:rPr>
          <w:rFonts w:eastAsia="方正仿宋_GBK"/>
          <w:sz w:val="32"/>
          <w:szCs w:val="20"/>
        </w:rPr>
        <w:t>级响应基础上，加强以下应急措施：</w:t>
      </w:r>
      <w:bookmarkStart w:id="82" w:name="_Toc7769"/>
      <w:bookmarkStart w:id="83" w:name="_Toc13644"/>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（1）成立扑火前指，报请区政府主要领导任总指挥，增派民兵队伍、消防救援队伍、公安干警、医疗救治等力量参与灭火工作。</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（2）视情况向市森防指请求相关支援。</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（3）组织统一发布森林火灾信息，收集分析舆情，协调指导森林火灾扑救宣传报道及舆论导控工作。</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2"/>
        <w:rPr>
          <w:rFonts w:eastAsia="方正仿宋_GBK"/>
          <w:sz w:val="32"/>
          <w:szCs w:val="20"/>
        </w:rPr>
      </w:pPr>
      <w:bookmarkStart w:id="84" w:name="_Toc11999"/>
      <w:bookmarkStart w:id="85" w:name="_Toc14290"/>
      <w:r>
        <w:rPr>
          <w:rFonts w:eastAsia="方正仿宋_GBK"/>
          <w:sz w:val="32"/>
          <w:szCs w:val="20"/>
        </w:rPr>
        <w:t xml:space="preserve">6.2.4 </w:t>
      </w:r>
      <w:r>
        <w:rPr>
          <w:rFonts w:hint="eastAsia" w:ascii="宋体" w:hAnsi="宋体" w:cs="宋体"/>
          <w:sz w:val="32"/>
          <w:szCs w:val="20"/>
        </w:rPr>
        <w:t>Ⅰ</w:t>
      </w:r>
      <w:r>
        <w:rPr>
          <w:rFonts w:eastAsia="方正仿宋_GBK"/>
          <w:sz w:val="32"/>
          <w:szCs w:val="20"/>
        </w:rPr>
        <w:t>级响应</w:t>
      </w:r>
      <w:bookmarkEnd w:id="82"/>
      <w:bookmarkEnd w:id="83"/>
      <w:bookmarkEnd w:id="84"/>
      <w:bookmarkEnd w:id="85"/>
      <w:r>
        <w:rPr>
          <w:rFonts w:hint="eastAsia" w:eastAsia="方正仿宋_GBK"/>
          <w:color w:val="000000"/>
          <w:kern w:val="0"/>
          <w:sz w:val="32"/>
          <w:szCs w:val="32"/>
        </w:rPr>
        <w:t>（符合下列条件之一）</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6.2.4.1 启动条件</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（1）燃烧时间12小时以上的森林火灾。</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（2）过火面积</w:t>
      </w:r>
      <w:r>
        <w:rPr>
          <w:rFonts w:hint="eastAsia" w:eastAsia="方正仿宋_GBK"/>
          <w:sz w:val="32"/>
          <w:szCs w:val="20"/>
        </w:rPr>
        <w:t>达到或预判达到</w:t>
      </w:r>
      <w:r>
        <w:rPr>
          <w:rFonts w:eastAsia="方正仿宋_GBK"/>
          <w:sz w:val="32"/>
          <w:szCs w:val="20"/>
        </w:rPr>
        <w:t>30公顷以上的森林火灾。</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（3）造成3人以上人员死亡、被困或者重伤10人以上的森林火灾。</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（4）威胁到重要军事目标和大型军工、危险化学品生产企业以及居民区、重要设施和原始森林、市级以上自然保护区、森林公园、风景名胜区的森林火灾。</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6.2.4.2 响应措施</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在</w:t>
      </w:r>
      <w:r>
        <w:rPr>
          <w:rFonts w:hint="eastAsia" w:ascii="宋体" w:hAnsi="宋体" w:cs="宋体"/>
          <w:sz w:val="32"/>
          <w:szCs w:val="20"/>
        </w:rPr>
        <w:t>Ⅱ</w:t>
      </w:r>
      <w:r>
        <w:rPr>
          <w:rFonts w:eastAsia="方正仿宋_GBK"/>
          <w:sz w:val="32"/>
          <w:szCs w:val="20"/>
        </w:rPr>
        <w:t>级响应的基础上，加强以下应急措施：</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（1）成立扑火前指，报请区委或区政府主要领导任总指挥，扑火前指调度全区交通运输、民兵队伍、消防救援队伍、公安干警、医疗救治等各类应急资源参与灭火工作。</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（2）视情况向市森防指、消防救援、武警、部队等各方请求支援。</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（3）视情况召开新闻发布会，做好宣传报道和舆情导控工作。</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（4）如市森防指成立了现场指挥部，我区全力配合做好各个阶段的扑火救灾工作。</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86" w:name="_Toc17067"/>
      <w:bookmarkStart w:id="87" w:name="_Toc1369"/>
      <w:r>
        <w:rPr>
          <w:rFonts w:eastAsia="方正楷体_GBK"/>
          <w:sz w:val="32"/>
          <w:szCs w:val="20"/>
        </w:rPr>
        <w:t>6.3  启动条件调整</w:t>
      </w:r>
      <w:bookmarkEnd w:id="86"/>
      <w:bookmarkEnd w:id="87"/>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根据森林火灾发生的地区、时间敏感度，受害森林资源损失程度，经济、社会影响程度，启动应急响应的标准可酌情调整。</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88" w:name="_Toc5060"/>
      <w:bookmarkStart w:id="89" w:name="_Toc32349"/>
      <w:r>
        <w:rPr>
          <w:rFonts w:eastAsia="方正楷体_GBK"/>
          <w:sz w:val="32"/>
          <w:szCs w:val="20"/>
        </w:rPr>
        <w:t>6.4  主要工作</w:t>
      </w:r>
      <w:bookmarkEnd w:id="88"/>
      <w:bookmarkEnd w:id="89"/>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火灾发生后，扑火前指及各工作组要先研判气象、地形、环境等情况以及是否威胁人员密集居住地和重要危险设施，科学组织施救。</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1）扑救火灾。立即就地就近组织镇街综合应急救援队、消防救援、民兵队伍等力量参与扑救，力争将火灾扑灭在初起阶段。各扑火力量在扑火前指的统一调度指挥下，在确保扑火人员安全的情况下，迅速有序开展扑救工作，严防各类次生灾害发生。现场指挥员要认真分析地理环境和火场态势，在扑火队伍行进路线、宿营地选择和扑火作业时，时刻注意观察天气和火势变化，提前预设紧急避险措施，严格按照</w:t>
      </w:r>
      <w:r>
        <w:rPr>
          <w:rFonts w:hint="eastAsia" w:eastAsia="方正仿宋_GBK"/>
          <w:sz w:val="32"/>
          <w:szCs w:val="20"/>
        </w:rPr>
        <w:t>“</w:t>
      </w:r>
      <w:r>
        <w:rPr>
          <w:rFonts w:eastAsia="方正仿宋_GBK"/>
          <w:sz w:val="32"/>
          <w:szCs w:val="20"/>
        </w:rPr>
        <w:t>火情不明先侦查、气象不利先等待、地形不利先规避</w:t>
      </w:r>
      <w:r>
        <w:rPr>
          <w:rFonts w:hint="eastAsia" w:eastAsia="方正仿宋_GBK"/>
          <w:sz w:val="32"/>
          <w:szCs w:val="20"/>
        </w:rPr>
        <w:t>”</w:t>
      </w:r>
      <w:r>
        <w:rPr>
          <w:rFonts w:eastAsia="方正仿宋_GBK"/>
          <w:sz w:val="32"/>
          <w:szCs w:val="20"/>
        </w:rPr>
        <w:t>的原则，确保各类扑火人员安全。不得动员未经专业培训以及老年人、残疾人和未成年人等其他不适宜参加森林火灾扑救的人员参加扑救工作。</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2）转移安置人员。当居民点、人员密集区受到森林火灾威胁时，及时采取有效阻火措施，按照紧急疏散方案，有组织、有秩序地及时疏散居民和受威胁人员，确保人民群众生命安全。妥善做好转移群众安置工作，确保群众有饭吃、有水喝、有衣穿、有住处和必要的医疗救治。</w:t>
      </w:r>
    </w:p>
    <w:p>
      <w:pPr>
        <w:pageBreakBefore w:val="0"/>
        <w:widowControl w:val="0"/>
        <w:kinsoku/>
        <w:wordWrap/>
        <w:overflowPunct/>
        <w:topLinePunct w:val="0"/>
        <w:bidi w:val="0"/>
        <w:adjustRightInd w:val="0"/>
        <w:snapToGrid w:val="0"/>
        <w:spacing w:line="570" w:lineRule="exact"/>
        <w:ind w:firstLine="608" w:firstLineChars="200"/>
        <w:jc w:val="both"/>
        <w:textAlignment w:val="auto"/>
        <w:rPr>
          <w:rFonts w:eastAsia="方正仿宋_GBK"/>
          <w:spacing w:val="-6"/>
          <w:sz w:val="32"/>
          <w:szCs w:val="20"/>
        </w:rPr>
      </w:pPr>
      <w:r>
        <w:rPr>
          <w:rFonts w:eastAsia="方正仿宋_GBK"/>
          <w:spacing w:val="-6"/>
          <w:sz w:val="32"/>
          <w:szCs w:val="20"/>
        </w:rPr>
        <w:t>（3）救治伤员。组织医护人员和救护车辆在扑救现场待命，如有伤病员迅速治疗，必要时对重伤员实施异地救治。视情派出卫生应急队伍赶赴火灾发生地，成立临时医院或医疗点，实施现场救治。</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（4）保护重要目标。当军事设施、危险化学品生产储存设备、油气管道、铁路线路等重要目标物和公共卫生、社会安全等重大危险源受到火灾威胁时，迅速调集</w:t>
      </w:r>
      <w:r>
        <w:rPr>
          <w:rFonts w:hint="eastAsia" w:eastAsia="方正仿宋_GBK"/>
          <w:sz w:val="32"/>
          <w:szCs w:val="20"/>
        </w:rPr>
        <w:t>扑火力量</w:t>
      </w:r>
      <w:r>
        <w:rPr>
          <w:rFonts w:eastAsia="方正仿宋_GBK"/>
          <w:sz w:val="32"/>
          <w:szCs w:val="20"/>
        </w:rPr>
        <w:t>，在专业人员指导并确保扑火人员安全的前提下消除威胁，组织抢救、转移物资，确保目标安全。</w:t>
      </w:r>
    </w:p>
    <w:p>
      <w:pPr>
        <w:pageBreakBefore w:val="0"/>
        <w:widowControl w:val="0"/>
        <w:kinsoku/>
        <w:wordWrap/>
        <w:overflowPunct/>
        <w:topLinePunct w:val="0"/>
        <w:bidi w:val="0"/>
        <w:adjustRightInd w:val="0"/>
        <w:snapToGrid w:val="0"/>
        <w:spacing w:line="570" w:lineRule="exact"/>
        <w:ind w:firstLine="608" w:firstLineChars="200"/>
        <w:jc w:val="both"/>
        <w:textAlignment w:val="auto"/>
        <w:rPr>
          <w:rFonts w:eastAsia="方正仿宋_GBK"/>
          <w:spacing w:val="-6"/>
          <w:sz w:val="32"/>
          <w:szCs w:val="20"/>
        </w:rPr>
      </w:pPr>
      <w:r>
        <w:rPr>
          <w:rFonts w:eastAsia="方正仿宋_GBK"/>
          <w:spacing w:val="-6"/>
          <w:sz w:val="32"/>
          <w:szCs w:val="20"/>
        </w:rPr>
        <w:t>（5）维护社会稳定。加强火灾受影响区域社会治安、道路交通等管理，严厉打击盗窃、抢劫、哄抢救灾物资、传播谣言、堵塞交通等违法犯罪行为。在重要场所加强治安巡逻，维护社会稳定。</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6）发布信息。通过授权发布、发布新闻稿、接受记者采访、举行新闻发布会和专业网站、官方微博、微信公众号等多种方式、途径，及时、准确、客观、全面向社会发布森林火灾和应对工作信息，回应社会关切。发布内容包括起火时间、起火原因、火灾地点、过火面积、损失情况、扑救过程和火案查处、责任追究情况等。</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7）火场清理看守。森林火灾明火扑灭后，继续组织扑火人员做好余火清理工作，划分责任区域，并留足人员看守火场。经检查验收，达到无火、无烟、无汽后，看守人员方可撤离。原则上，增援的扑火力量不担负后续清理和看守火场任务。</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（8）应急结束。在森林火灾全部扑灭、火场清理验收合格、次生灾害后果基本消除后，由扑火前指宣布应急结束。</w:t>
      </w:r>
    </w:p>
    <w:p>
      <w:pPr>
        <w:pageBreakBefore w:val="0"/>
        <w:widowControl w:val="0"/>
        <w:kinsoku/>
        <w:wordWrap/>
        <w:overflowPunct/>
        <w:topLinePunct w:val="0"/>
        <w:bidi w:val="0"/>
        <w:adjustRightInd w:val="0"/>
        <w:snapToGrid w:val="0"/>
        <w:spacing w:line="570" w:lineRule="exact"/>
        <w:ind w:firstLine="632" w:firstLineChars="200"/>
        <w:jc w:val="both"/>
        <w:textAlignment w:val="auto"/>
        <w:rPr>
          <w:rFonts w:eastAsia="方正仿宋_GBK"/>
          <w:sz w:val="32"/>
          <w:szCs w:val="20"/>
        </w:rPr>
      </w:pPr>
      <w:r>
        <w:rPr>
          <w:rFonts w:eastAsia="方正仿宋_GBK"/>
          <w:sz w:val="32"/>
          <w:szCs w:val="20"/>
        </w:rPr>
        <w:t>（9）善后处置。做好遇难人员的善后工作，抚慰遇难者家属。对因扑救森林火灾负伤、致残或者死亡的人员，按照国家有关规定做好医疗、抚恤、褒扬等工作。</w:t>
      </w:r>
    </w:p>
    <w:p>
      <w:pPr>
        <w:keepNext/>
        <w:keepLines/>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1"/>
        <w:rPr>
          <w:rFonts w:eastAsia="方正楷体_GBK"/>
          <w:sz w:val="32"/>
          <w:szCs w:val="20"/>
        </w:rPr>
      </w:pPr>
      <w:bookmarkStart w:id="90" w:name="_Toc241"/>
      <w:bookmarkStart w:id="91" w:name="_Toc15220"/>
      <w:r>
        <w:rPr>
          <w:rFonts w:eastAsia="方正楷体_GBK"/>
          <w:sz w:val="32"/>
          <w:szCs w:val="20"/>
        </w:rPr>
        <w:t>6.5  响应终止</w:t>
      </w:r>
      <w:bookmarkEnd w:id="90"/>
      <w:bookmarkEnd w:id="91"/>
    </w:p>
    <w:p>
      <w:pPr>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eastAsia="方正仿宋_GBK"/>
          <w:spacing w:val="-4"/>
          <w:kern w:val="0"/>
          <w:sz w:val="32"/>
          <w:szCs w:val="32"/>
        </w:rPr>
      </w:pPr>
      <w:r>
        <w:rPr>
          <w:rFonts w:eastAsia="方正仿宋_GBK"/>
          <w:kern w:val="0"/>
          <w:sz w:val="32"/>
          <w:szCs w:val="32"/>
        </w:rPr>
        <w:t>森林火灾扑救工作结束后，由区森防办报请区森防指决定终止应急响应。</w:t>
      </w:r>
    </w:p>
    <w:p>
      <w:pPr>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0"/>
        <w:rPr>
          <w:rFonts w:eastAsia="方正黑体_GBK"/>
          <w:kern w:val="44"/>
          <w:sz w:val="32"/>
          <w:szCs w:val="24"/>
        </w:rPr>
      </w:pPr>
      <w:bookmarkStart w:id="92" w:name="_Toc14287"/>
      <w:bookmarkStart w:id="93" w:name="_Toc29532"/>
      <w:r>
        <w:rPr>
          <w:rFonts w:eastAsia="方正黑体_GBK"/>
          <w:kern w:val="44"/>
          <w:sz w:val="32"/>
          <w:szCs w:val="24"/>
        </w:rPr>
        <w:t>7  综合保障</w:t>
      </w:r>
      <w:bookmarkEnd w:id="92"/>
      <w:bookmarkEnd w:id="93"/>
    </w:p>
    <w:p>
      <w:pPr>
        <w:keepNext/>
        <w:keepLines/>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1"/>
        <w:rPr>
          <w:rFonts w:eastAsia="方正楷体_GBK"/>
          <w:sz w:val="32"/>
          <w:szCs w:val="20"/>
        </w:rPr>
      </w:pPr>
      <w:bookmarkStart w:id="94" w:name="_Toc32529"/>
      <w:bookmarkStart w:id="95" w:name="_Toc244"/>
      <w:r>
        <w:rPr>
          <w:rFonts w:eastAsia="方正楷体_GBK"/>
          <w:sz w:val="32"/>
          <w:szCs w:val="20"/>
        </w:rPr>
        <w:t>7.1</w:t>
      </w:r>
      <w:bookmarkStart w:id="96" w:name="_Toc12851"/>
      <w:bookmarkStart w:id="97" w:name="_Toc31428"/>
      <w:r>
        <w:rPr>
          <w:rFonts w:eastAsia="方正楷体_GBK"/>
          <w:sz w:val="32"/>
          <w:szCs w:val="20"/>
        </w:rPr>
        <w:t xml:space="preserve">  物资装备保障</w:t>
      </w:r>
      <w:bookmarkEnd w:id="94"/>
      <w:bookmarkEnd w:id="95"/>
      <w:bookmarkEnd w:id="96"/>
      <w:bookmarkEnd w:id="97"/>
    </w:p>
    <w:p>
      <w:pPr>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eastAsia="方正仿宋_GBK"/>
          <w:kern w:val="0"/>
          <w:sz w:val="32"/>
          <w:szCs w:val="32"/>
        </w:rPr>
      </w:pPr>
      <w:r>
        <w:rPr>
          <w:rFonts w:eastAsia="方正仿宋_GBK"/>
          <w:color w:val="000000"/>
          <w:kern w:val="0"/>
          <w:sz w:val="32"/>
          <w:szCs w:val="32"/>
        </w:rPr>
        <w:t>区应急局、区规划自然资源局（林业局）加强森林防灭火装备器材储备，涉林镇街根据森林防灭火工作需要，分别建立森林防灭火物资储备库，储备所需的扑火机具、装备和物资。区交通局加强森林灭火队伍、物资、装备投送运输能力建设，做好运力保障。区商务委加强灭火救援相关</w:t>
      </w:r>
      <w:r>
        <w:rPr>
          <w:rFonts w:hint="eastAsia" w:eastAsia="方正仿宋_GBK"/>
          <w:color w:val="000000"/>
          <w:kern w:val="0"/>
          <w:sz w:val="32"/>
          <w:szCs w:val="32"/>
        </w:rPr>
        <w:t>生活物资</w:t>
      </w:r>
      <w:r>
        <w:rPr>
          <w:rFonts w:eastAsia="方正仿宋_GBK"/>
          <w:color w:val="000000"/>
          <w:kern w:val="0"/>
          <w:sz w:val="32"/>
          <w:szCs w:val="32"/>
        </w:rPr>
        <w:t>保障。区经信委、区城管局、水电气讯等单位加强水电气讯设施设备抢险及保障</w:t>
      </w:r>
      <w:r>
        <w:rPr>
          <w:rFonts w:hint="eastAsia" w:eastAsia="方正仿宋_GBK"/>
          <w:color w:val="000000"/>
          <w:kern w:val="0"/>
          <w:sz w:val="32"/>
          <w:szCs w:val="32"/>
        </w:rPr>
        <w:t>。</w:t>
      </w:r>
      <w:r>
        <w:rPr>
          <w:rFonts w:hint="eastAsia" w:eastAsia="方正仿宋_GBK"/>
          <w:sz w:val="32"/>
          <w:szCs w:val="20"/>
        </w:rPr>
        <w:t>跨镇街输送扑火力量由增援队伍所在镇街负责该队伍的装备、物资、运力等保障</w:t>
      </w:r>
      <w:r>
        <w:rPr>
          <w:rFonts w:eastAsia="方正仿宋_GBK"/>
          <w:kern w:val="0"/>
          <w:sz w:val="32"/>
          <w:szCs w:val="32"/>
        </w:rPr>
        <w:t>。</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98" w:name="_Toc24952"/>
      <w:bookmarkStart w:id="99" w:name="_Toc32472"/>
      <w:bookmarkStart w:id="100" w:name="_Toc870"/>
      <w:bookmarkStart w:id="101" w:name="_Toc18960"/>
      <w:r>
        <w:rPr>
          <w:rFonts w:eastAsia="方正楷体_GBK"/>
          <w:sz w:val="32"/>
          <w:szCs w:val="20"/>
        </w:rPr>
        <w:t>7.2  资金保障</w:t>
      </w:r>
      <w:bookmarkEnd w:id="98"/>
      <w:bookmarkEnd w:id="99"/>
      <w:bookmarkEnd w:id="100"/>
      <w:bookmarkEnd w:id="101"/>
    </w:p>
    <w:p>
      <w:pPr>
        <w:pageBreakBefore w:val="0"/>
        <w:widowControl w:val="0"/>
        <w:shd w:val="clear" w:color="auto" w:fill="FFFFFF"/>
        <w:kinsoku/>
        <w:wordWrap/>
        <w:overflowPunct/>
        <w:topLinePunct w:val="0"/>
        <w:bidi w:val="0"/>
        <w:adjustRightInd w:val="0"/>
        <w:snapToGrid w:val="0"/>
        <w:spacing w:line="570" w:lineRule="exact"/>
        <w:jc w:val="both"/>
        <w:textAlignment w:val="auto"/>
        <w:rPr>
          <w:rFonts w:eastAsia="方正仿宋_GBK"/>
          <w:color w:val="000000"/>
          <w:kern w:val="0"/>
          <w:sz w:val="32"/>
          <w:szCs w:val="32"/>
        </w:rPr>
      </w:pPr>
      <w:r>
        <w:rPr>
          <w:rFonts w:eastAsia="方正仿宋_GBK"/>
          <w:color w:val="000000"/>
          <w:kern w:val="0"/>
          <w:sz w:val="32"/>
          <w:szCs w:val="32"/>
        </w:rPr>
        <w:t xml:space="preserve">    区发改委、区财政局将森林防灭火基础设施建设纳入国民经济和社会发展规划，保障森林防灭火所需支出。</w:t>
      </w:r>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102" w:name="_Toc15494"/>
      <w:bookmarkStart w:id="103" w:name="_Toc9970"/>
      <w:bookmarkStart w:id="104" w:name="_Toc7997"/>
      <w:bookmarkStart w:id="105" w:name="_Toc8356"/>
      <w:r>
        <w:rPr>
          <w:rFonts w:eastAsia="方正楷体_GBK"/>
          <w:sz w:val="32"/>
          <w:szCs w:val="20"/>
        </w:rPr>
        <w:t>7.3  航空消防飞机保障</w:t>
      </w:r>
      <w:bookmarkEnd w:id="102"/>
      <w:bookmarkEnd w:id="103"/>
      <w:bookmarkEnd w:id="104"/>
      <w:bookmarkEnd w:id="105"/>
    </w:p>
    <w:p>
      <w:pPr>
        <w:pageBreakBefore w:val="0"/>
        <w:widowControl w:val="0"/>
        <w:shd w:val="clear" w:color="auto" w:fill="FFFFFF"/>
        <w:kinsoku/>
        <w:wordWrap/>
        <w:overflowPunct/>
        <w:topLinePunct w:val="0"/>
        <w:bidi w:val="0"/>
        <w:adjustRightInd w:val="0"/>
        <w:snapToGrid w:val="0"/>
        <w:spacing w:line="570" w:lineRule="exact"/>
        <w:jc w:val="both"/>
        <w:textAlignment w:val="auto"/>
        <w:rPr>
          <w:rFonts w:eastAsia="方正仿宋_GBK"/>
          <w:bCs/>
          <w:color w:val="333333"/>
          <w:spacing w:val="-6"/>
          <w:kern w:val="0"/>
          <w:sz w:val="32"/>
          <w:szCs w:val="32"/>
        </w:rPr>
      </w:pPr>
      <w:r>
        <w:rPr>
          <w:rFonts w:eastAsia="方正仿宋_GBK"/>
          <w:kern w:val="0"/>
          <w:sz w:val="32"/>
          <w:szCs w:val="32"/>
        </w:rPr>
        <w:t xml:space="preserve">    </w:t>
      </w:r>
      <w:r>
        <w:rPr>
          <w:rFonts w:eastAsia="方正仿宋_GBK"/>
          <w:spacing w:val="-6"/>
          <w:kern w:val="0"/>
          <w:sz w:val="32"/>
          <w:szCs w:val="32"/>
        </w:rPr>
        <w:t>发生森林火灾后，需要实施森林航空消防灭火时，由区森防指向市森防指申请救援，由市森防指协调市航空应急救援总队组织实施。</w:t>
      </w:r>
    </w:p>
    <w:p>
      <w:pPr>
        <w:pageBreakBefore w:val="0"/>
        <w:widowControl w:val="0"/>
        <w:kinsoku/>
        <w:wordWrap/>
        <w:overflowPunct/>
        <w:topLinePunct w:val="0"/>
        <w:bidi w:val="0"/>
        <w:adjustRightInd w:val="0"/>
        <w:snapToGrid w:val="0"/>
        <w:spacing w:line="570" w:lineRule="exact"/>
        <w:ind w:firstLine="632" w:firstLineChars="200"/>
        <w:jc w:val="both"/>
        <w:textAlignment w:val="auto"/>
        <w:outlineLvl w:val="0"/>
        <w:rPr>
          <w:rFonts w:eastAsia="方正黑体_GBK"/>
          <w:kern w:val="44"/>
          <w:sz w:val="32"/>
          <w:szCs w:val="24"/>
        </w:rPr>
      </w:pPr>
      <w:bookmarkStart w:id="106" w:name="_Toc25657"/>
      <w:bookmarkStart w:id="107" w:name="_Toc1424"/>
      <w:r>
        <w:rPr>
          <w:rFonts w:eastAsia="方正黑体_GBK"/>
          <w:kern w:val="44"/>
          <w:sz w:val="32"/>
          <w:szCs w:val="24"/>
        </w:rPr>
        <w:t>8  后期处置</w:t>
      </w:r>
      <w:bookmarkEnd w:id="106"/>
      <w:bookmarkEnd w:id="107"/>
    </w:p>
    <w:p>
      <w:pPr>
        <w:keepNext/>
        <w:keepLines/>
        <w:pageBreakBefore w:val="0"/>
        <w:widowControl w:val="0"/>
        <w:kinsoku/>
        <w:wordWrap/>
        <w:overflowPunct/>
        <w:topLinePunct w:val="0"/>
        <w:bidi w:val="0"/>
        <w:adjustRightInd w:val="0"/>
        <w:snapToGrid w:val="0"/>
        <w:spacing w:line="570" w:lineRule="exact"/>
        <w:ind w:firstLine="632" w:firstLineChars="200"/>
        <w:jc w:val="both"/>
        <w:textAlignment w:val="auto"/>
        <w:outlineLvl w:val="1"/>
        <w:rPr>
          <w:rFonts w:eastAsia="方正楷体_GBK"/>
          <w:sz w:val="32"/>
          <w:szCs w:val="20"/>
        </w:rPr>
      </w:pPr>
      <w:bookmarkStart w:id="108" w:name="_Toc18433"/>
      <w:bookmarkStart w:id="109" w:name="_Toc30331"/>
      <w:r>
        <w:rPr>
          <w:rFonts w:eastAsia="方正楷体_GBK"/>
          <w:sz w:val="32"/>
          <w:szCs w:val="20"/>
        </w:rPr>
        <w:t>8.1  火灾评估及火案查处</w:t>
      </w:r>
      <w:bookmarkEnd w:id="108"/>
      <w:bookmarkEnd w:id="109"/>
    </w:p>
    <w:p>
      <w:pPr>
        <w:pageBreakBefore w:val="0"/>
        <w:widowControl w:val="0"/>
        <w:kinsoku/>
        <w:wordWrap/>
        <w:overflowPunct/>
        <w:topLinePunct w:val="0"/>
        <w:bidi w:val="0"/>
        <w:adjustRightInd w:val="0"/>
        <w:snapToGrid w:val="0"/>
        <w:spacing w:line="570" w:lineRule="exact"/>
        <w:jc w:val="both"/>
        <w:textAlignment w:val="auto"/>
        <w:rPr>
          <w:rFonts w:eastAsia="方正仿宋_GBK"/>
          <w:kern w:val="0"/>
          <w:sz w:val="32"/>
          <w:szCs w:val="32"/>
        </w:rPr>
      </w:pPr>
      <w:r>
        <w:rPr>
          <w:rFonts w:eastAsia="方正仿宋_GBK"/>
          <w:kern w:val="0"/>
          <w:sz w:val="32"/>
          <w:szCs w:val="32"/>
        </w:rPr>
        <w:t xml:space="preserve">    一般和较大森林火灾，组建由区应急局、区规划自然资源局（林业局）、区公安分局、属地镇街等单位组成的调查评估组。区公安分局负责对森林火灾发生原因、肇事者等情况进行调查，</w:t>
      </w:r>
      <w:r>
        <w:rPr>
          <w:rFonts w:eastAsia="方正仿宋_GBK"/>
          <w:spacing w:val="-4"/>
          <w:kern w:val="0"/>
          <w:sz w:val="32"/>
          <w:szCs w:val="32"/>
        </w:rPr>
        <w:t>依法查处涉火案件，打击涉火违法犯罪行为，严惩火灾肇事者。</w:t>
      </w:r>
      <w:r>
        <w:rPr>
          <w:rFonts w:eastAsia="方正仿宋_GBK"/>
          <w:kern w:val="0"/>
          <w:sz w:val="32"/>
          <w:szCs w:val="32"/>
        </w:rPr>
        <w:t>区应急局、区林业局负责对受害森林面积、人员伤亡、经济损失等情况进行调查和评估。重大森林火灾由市级负责调查评估，特别重大森林火灾按照有关规定执行。</w:t>
      </w:r>
    </w:p>
    <w:p>
      <w:pPr>
        <w:keepNext/>
        <w:keepLines/>
        <w:pageBreakBefore w:val="0"/>
        <w:widowControl w:val="0"/>
        <w:kinsoku/>
        <w:wordWrap/>
        <w:overflowPunct/>
        <w:topLinePunct w:val="0"/>
        <w:bidi w:val="0"/>
        <w:adjustRightInd w:val="0"/>
        <w:snapToGrid w:val="0"/>
        <w:spacing w:line="570" w:lineRule="exact"/>
        <w:ind w:firstLine="632" w:firstLineChars="200"/>
        <w:jc w:val="left"/>
        <w:textAlignment w:val="auto"/>
        <w:outlineLvl w:val="1"/>
        <w:rPr>
          <w:rFonts w:eastAsia="方正楷体_GBK"/>
          <w:sz w:val="32"/>
          <w:szCs w:val="20"/>
        </w:rPr>
      </w:pPr>
      <w:bookmarkStart w:id="110" w:name="_Toc18388"/>
      <w:bookmarkStart w:id="111" w:name="_Toc31906"/>
      <w:r>
        <w:rPr>
          <w:rFonts w:eastAsia="方正楷体_GBK"/>
          <w:sz w:val="32"/>
          <w:szCs w:val="20"/>
        </w:rPr>
        <w:t>8.2  约谈整改</w:t>
      </w:r>
      <w:bookmarkEnd w:id="110"/>
      <w:bookmarkEnd w:id="111"/>
    </w:p>
    <w:p>
      <w:pPr>
        <w:pageBreakBefore w:val="0"/>
        <w:widowControl w:val="0"/>
        <w:kinsoku/>
        <w:wordWrap/>
        <w:overflowPunct/>
        <w:topLinePunct w:val="0"/>
        <w:bidi w:val="0"/>
        <w:adjustRightInd w:val="0"/>
        <w:snapToGrid w:val="0"/>
        <w:spacing w:line="570" w:lineRule="exact"/>
        <w:jc w:val="left"/>
        <w:textAlignment w:val="auto"/>
        <w:rPr>
          <w:rFonts w:eastAsia="方正仿宋_GBK"/>
          <w:kern w:val="0"/>
          <w:sz w:val="32"/>
          <w:szCs w:val="32"/>
        </w:rPr>
      </w:pPr>
      <w:r>
        <w:rPr>
          <w:rFonts w:eastAsia="方正仿宋_GBK"/>
          <w:kern w:val="0"/>
          <w:sz w:val="32"/>
          <w:szCs w:val="32"/>
        </w:rPr>
        <w:t xml:space="preserve">    对森林防灭火工作不力，人为火灾多发频发的镇街</w:t>
      </w:r>
      <w:r>
        <w:rPr>
          <w:rFonts w:hint="eastAsia" w:eastAsia="方正仿宋_GBK"/>
          <w:sz w:val="32"/>
          <w:szCs w:val="20"/>
        </w:rPr>
        <w:t>、经营主体</w:t>
      </w:r>
      <w:r>
        <w:rPr>
          <w:rFonts w:eastAsia="方正仿宋_GBK"/>
          <w:kern w:val="0"/>
          <w:sz w:val="32"/>
          <w:szCs w:val="32"/>
        </w:rPr>
        <w:t>，由区森防指或区级有关部门约谈</w:t>
      </w:r>
      <w:r>
        <w:rPr>
          <w:rFonts w:hint="eastAsia" w:eastAsia="方正仿宋_GBK"/>
          <w:kern w:val="0"/>
          <w:sz w:val="32"/>
          <w:szCs w:val="32"/>
        </w:rPr>
        <w:t>其</w:t>
      </w:r>
      <w:r>
        <w:rPr>
          <w:rFonts w:eastAsia="方正仿宋_GBK"/>
          <w:kern w:val="0"/>
          <w:sz w:val="32"/>
          <w:szCs w:val="32"/>
        </w:rPr>
        <w:t>主要负责人，要求其采取措施及时整改。</w:t>
      </w:r>
    </w:p>
    <w:p>
      <w:pPr>
        <w:keepNext/>
        <w:keepLines/>
        <w:pageBreakBefore w:val="0"/>
        <w:widowControl w:val="0"/>
        <w:kinsoku/>
        <w:wordWrap/>
        <w:overflowPunct/>
        <w:topLinePunct w:val="0"/>
        <w:bidi w:val="0"/>
        <w:adjustRightInd w:val="0"/>
        <w:snapToGrid w:val="0"/>
        <w:spacing w:line="570" w:lineRule="exact"/>
        <w:ind w:firstLine="632" w:firstLineChars="200"/>
        <w:jc w:val="left"/>
        <w:textAlignment w:val="auto"/>
        <w:outlineLvl w:val="1"/>
        <w:rPr>
          <w:rFonts w:eastAsia="方正楷体_GBK"/>
          <w:sz w:val="32"/>
          <w:szCs w:val="20"/>
        </w:rPr>
      </w:pPr>
      <w:bookmarkStart w:id="112" w:name="_Toc5713"/>
      <w:bookmarkStart w:id="113" w:name="_Toc3807"/>
      <w:r>
        <w:rPr>
          <w:rFonts w:eastAsia="方正楷体_GBK"/>
          <w:sz w:val="32"/>
          <w:szCs w:val="20"/>
        </w:rPr>
        <w:t>8.3  责任追究</w:t>
      </w:r>
      <w:bookmarkEnd w:id="112"/>
      <w:bookmarkEnd w:id="113"/>
    </w:p>
    <w:p>
      <w:pPr>
        <w:pageBreakBefore w:val="0"/>
        <w:widowControl w:val="0"/>
        <w:kinsoku/>
        <w:wordWrap/>
        <w:overflowPunct/>
        <w:topLinePunct w:val="0"/>
        <w:bidi w:val="0"/>
        <w:adjustRightInd w:val="0"/>
        <w:snapToGrid w:val="0"/>
        <w:spacing w:line="570" w:lineRule="exact"/>
        <w:jc w:val="left"/>
        <w:textAlignment w:val="auto"/>
        <w:rPr>
          <w:rFonts w:eastAsia="方正仿宋_GBK"/>
          <w:kern w:val="0"/>
          <w:sz w:val="32"/>
          <w:szCs w:val="32"/>
        </w:rPr>
      </w:pPr>
      <w:r>
        <w:rPr>
          <w:rFonts w:eastAsia="方正仿宋_GBK"/>
          <w:kern w:val="0"/>
          <w:sz w:val="32"/>
          <w:szCs w:val="32"/>
        </w:rPr>
        <w:t xml:space="preserve">    对森林火灾预防和扑救工作中责任不落实、发现隐患不作为、发生事故隐瞒不报、处置不得力等失职渎职行为，依法依规追究属地责任、部门监管责任、经营主体责任、火源管理责任和组织扑救责任。</w:t>
      </w:r>
    </w:p>
    <w:p>
      <w:pPr>
        <w:keepNext/>
        <w:keepLines/>
        <w:pageBreakBefore w:val="0"/>
        <w:widowControl w:val="0"/>
        <w:kinsoku/>
        <w:wordWrap/>
        <w:overflowPunct/>
        <w:topLinePunct w:val="0"/>
        <w:bidi w:val="0"/>
        <w:adjustRightInd w:val="0"/>
        <w:snapToGrid w:val="0"/>
        <w:spacing w:line="570" w:lineRule="exact"/>
        <w:ind w:firstLine="632" w:firstLineChars="200"/>
        <w:jc w:val="left"/>
        <w:textAlignment w:val="auto"/>
        <w:outlineLvl w:val="1"/>
        <w:rPr>
          <w:rFonts w:eastAsia="方正楷体_GBK"/>
          <w:sz w:val="32"/>
          <w:szCs w:val="20"/>
        </w:rPr>
      </w:pPr>
      <w:bookmarkStart w:id="114" w:name="_Toc24634"/>
      <w:bookmarkStart w:id="115" w:name="_Toc20011"/>
      <w:r>
        <w:rPr>
          <w:rFonts w:eastAsia="方正楷体_GBK"/>
          <w:sz w:val="32"/>
          <w:szCs w:val="20"/>
        </w:rPr>
        <w:t>8.4  工作总结</w:t>
      </w:r>
      <w:bookmarkEnd w:id="114"/>
      <w:bookmarkEnd w:id="115"/>
    </w:p>
    <w:p>
      <w:pPr>
        <w:pageBreakBefore w:val="0"/>
        <w:widowControl w:val="0"/>
        <w:kinsoku/>
        <w:wordWrap/>
        <w:overflowPunct/>
        <w:topLinePunct w:val="0"/>
        <w:bidi w:val="0"/>
        <w:adjustRightInd w:val="0"/>
        <w:snapToGrid w:val="0"/>
        <w:spacing w:line="570" w:lineRule="exact"/>
        <w:jc w:val="left"/>
        <w:textAlignment w:val="auto"/>
        <w:rPr>
          <w:rFonts w:eastAsia="方正仿宋_GBK"/>
          <w:kern w:val="0"/>
          <w:sz w:val="32"/>
          <w:szCs w:val="32"/>
        </w:rPr>
      </w:pPr>
      <w:r>
        <w:rPr>
          <w:rFonts w:eastAsia="方正仿宋_GBK"/>
          <w:kern w:val="0"/>
          <w:sz w:val="32"/>
          <w:szCs w:val="32"/>
        </w:rPr>
        <w:t xml:space="preserve">    区森防指、各镇街要及时总结、分析火灾发生的原因和应吸取的经验教训，提出改进措施。上级党委、政府领导</w:t>
      </w:r>
      <w:r>
        <w:rPr>
          <w:rFonts w:eastAsia="方正仿宋_GBK"/>
          <w:spacing w:val="-4"/>
          <w:kern w:val="0"/>
          <w:sz w:val="32"/>
          <w:szCs w:val="32"/>
        </w:rPr>
        <w:t>作出重要指示批示</w:t>
      </w:r>
      <w:r>
        <w:rPr>
          <w:rFonts w:hint="eastAsia" w:eastAsia="方正仿宋_GBK"/>
          <w:spacing w:val="-4"/>
          <w:kern w:val="0"/>
          <w:sz w:val="32"/>
          <w:szCs w:val="32"/>
        </w:rPr>
        <w:t>或</w:t>
      </w:r>
      <w:r>
        <w:rPr>
          <w:rFonts w:eastAsia="方正仿宋_GBK"/>
          <w:spacing w:val="-4"/>
          <w:kern w:val="0"/>
          <w:sz w:val="32"/>
          <w:szCs w:val="32"/>
        </w:rPr>
        <w:t>较大及以上森林火灾</w:t>
      </w:r>
      <w:r>
        <w:rPr>
          <w:rFonts w:eastAsia="方正仿宋_GBK"/>
          <w:kern w:val="0"/>
          <w:sz w:val="32"/>
          <w:szCs w:val="32"/>
        </w:rPr>
        <w:t>扑救工作结束后，属地镇街要向区森防指报送火灾扑救工作总结，区森防指要向区政府报送工作总结。</w:t>
      </w:r>
    </w:p>
    <w:p>
      <w:pPr>
        <w:keepNext/>
        <w:keepLines/>
        <w:pageBreakBefore w:val="0"/>
        <w:widowControl w:val="0"/>
        <w:kinsoku/>
        <w:wordWrap/>
        <w:overflowPunct/>
        <w:topLinePunct w:val="0"/>
        <w:bidi w:val="0"/>
        <w:adjustRightInd w:val="0"/>
        <w:snapToGrid w:val="0"/>
        <w:spacing w:line="570" w:lineRule="exact"/>
        <w:ind w:firstLine="632" w:firstLineChars="200"/>
        <w:jc w:val="left"/>
        <w:textAlignment w:val="auto"/>
        <w:outlineLvl w:val="1"/>
        <w:rPr>
          <w:rFonts w:eastAsia="方正楷体_GBK"/>
          <w:sz w:val="32"/>
          <w:szCs w:val="20"/>
        </w:rPr>
      </w:pPr>
      <w:bookmarkStart w:id="116" w:name="_Toc17554"/>
      <w:bookmarkStart w:id="117" w:name="_Toc16876"/>
      <w:r>
        <w:rPr>
          <w:rFonts w:eastAsia="方正楷体_GBK"/>
          <w:sz w:val="32"/>
          <w:szCs w:val="20"/>
        </w:rPr>
        <w:t>8.5  表彰奖励</w:t>
      </w:r>
      <w:bookmarkEnd w:id="116"/>
      <w:bookmarkEnd w:id="117"/>
    </w:p>
    <w:p>
      <w:pPr>
        <w:pageBreakBefore w:val="0"/>
        <w:widowControl w:val="0"/>
        <w:kinsoku/>
        <w:wordWrap/>
        <w:overflowPunct/>
        <w:topLinePunct w:val="0"/>
        <w:bidi w:val="0"/>
        <w:adjustRightInd w:val="0"/>
        <w:snapToGrid w:val="0"/>
        <w:spacing w:line="570" w:lineRule="exact"/>
        <w:jc w:val="left"/>
        <w:textAlignment w:val="auto"/>
        <w:rPr>
          <w:rFonts w:eastAsia="方正仿宋_GBK"/>
          <w:kern w:val="0"/>
          <w:sz w:val="32"/>
          <w:szCs w:val="32"/>
        </w:rPr>
      </w:pPr>
      <w:r>
        <w:rPr>
          <w:rFonts w:eastAsia="方正仿宋_GBK"/>
          <w:kern w:val="0"/>
          <w:sz w:val="32"/>
          <w:szCs w:val="32"/>
        </w:rPr>
        <w:t xml:space="preserve">    对在扑火工作中贡献突出的单位、个人，根据有关规定给予表彰奖励；对扑火工作中牺牲人员符合评定烈士条件的，按有关规定办理。</w:t>
      </w:r>
    </w:p>
    <w:p>
      <w:pPr>
        <w:pageBreakBefore w:val="0"/>
        <w:widowControl w:val="0"/>
        <w:kinsoku/>
        <w:wordWrap/>
        <w:overflowPunct/>
        <w:topLinePunct w:val="0"/>
        <w:bidi w:val="0"/>
        <w:adjustRightInd w:val="0"/>
        <w:snapToGrid w:val="0"/>
        <w:spacing w:line="570" w:lineRule="exact"/>
        <w:ind w:firstLine="632" w:firstLineChars="200"/>
        <w:jc w:val="left"/>
        <w:textAlignment w:val="auto"/>
        <w:outlineLvl w:val="0"/>
        <w:rPr>
          <w:rFonts w:eastAsia="方正黑体_GBK"/>
          <w:kern w:val="44"/>
          <w:sz w:val="32"/>
          <w:szCs w:val="24"/>
        </w:rPr>
      </w:pPr>
      <w:bookmarkStart w:id="118" w:name="_Toc17646"/>
      <w:bookmarkStart w:id="119" w:name="_Toc31878"/>
      <w:r>
        <w:rPr>
          <w:rFonts w:eastAsia="方正黑体_GBK"/>
          <w:kern w:val="44"/>
          <w:sz w:val="32"/>
          <w:szCs w:val="24"/>
        </w:rPr>
        <w:t>9  附则</w:t>
      </w:r>
      <w:bookmarkEnd w:id="118"/>
      <w:bookmarkEnd w:id="119"/>
    </w:p>
    <w:p>
      <w:pPr>
        <w:keepNext/>
        <w:keepLines/>
        <w:pageBreakBefore w:val="0"/>
        <w:widowControl w:val="0"/>
        <w:kinsoku/>
        <w:wordWrap/>
        <w:overflowPunct/>
        <w:topLinePunct w:val="0"/>
        <w:bidi w:val="0"/>
        <w:adjustRightInd w:val="0"/>
        <w:snapToGrid w:val="0"/>
        <w:spacing w:line="570" w:lineRule="exact"/>
        <w:ind w:firstLine="632" w:firstLineChars="200"/>
        <w:jc w:val="left"/>
        <w:textAlignment w:val="auto"/>
        <w:outlineLvl w:val="1"/>
        <w:rPr>
          <w:rFonts w:eastAsia="方正楷体_GBK"/>
          <w:sz w:val="32"/>
          <w:szCs w:val="20"/>
        </w:rPr>
      </w:pPr>
      <w:bookmarkStart w:id="120" w:name="_Toc25633"/>
      <w:bookmarkStart w:id="121" w:name="_Toc1925"/>
      <w:r>
        <w:rPr>
          <w:rFonts w:eastAsia="方正楷体_GBK"/>
          <w:sz w:val="32"/>
          <w:szCs w:val="20"/>
        </w:rPr>
        <w:t>9.1  灾害分级标准</w:t>
      </w:r>
      <w:bookmarkEnd w:id="120"/>
      <w:bookmarkEnd w:id="121"/>
    </w:p>
    <w:p>
      <w:pPr>
        <w:pageBreakBefore w:val="0"/>
        <w:widowControl w:val="0"/>
        <w:kinsoku/>
        <w:wordWrap/>
        <w:overflowPunct/>
        <w:topLinePunct w:val="0"/>
        <w:bidi w:val="0"/>
        <w:adjustRightInd w:val="0"/>
        <w:snapToGrid w:val="0"/>
        <w:spacing w:line="570" w:lineRule="exact"/>
        <w:jc w:val="left"/>
        <w:textAlignment w:val="auto"/>
        <w:rPr>
          <w:rFonts w:eastAsia="方正仿宋_GBK"/>
          <w:sz w:val="32"/>
          <w:szCs w:val="32"/>
        </w:rPr>
      </w:pPr>
      <w:r>
        <w:rPr>
          <w:rFonts w:eastAsia="方正仿宋_GBK"/>
          <w:sz w:val="32"/>
          <w:szCs w:val="32"/>
        </w:rPr>
        <w:t xml:space="preserve">    一般森林火灾：受灾森林面积在</w:t>
      </w:r>
      <w:r>
        <w:rPr>
          <w:rFonts w:eastAsia="方正仿宋_GBK"/>
          <w:kern w:val="0"/>
          <w:sz w:val="32"/>
          <w:szCs w:val="32"/>
        </w:rPr>
        <w:t>1</w:t>
      </w:r>
      <w:r>
        <w:rPr>
          <w:rFonts w:eastAsia="方正仿宋_GBK"/>
          <w:sz w:val="32"/>
          <w:szCs w:val="32"/>
        </w:rPr>
        <w:t>公顷以下或者其他林地起</w:t>
      </w:r>
      <w:r>
        <w:rPr>
          <w:rFonts w:eastAsia="方正仿宋_GBK"/>
          <w:spacing w:val="-4"/>
          <w:kern w:val="0"/>
          <w:sz w:val="32"/>
          <w:szCs w:val="32"/>
        </w:rPr>
        <w:t>火的，或者死亡1人以上3人以下的，或者重伤1人以上10人以</w:t>
      </w:r>
      <w:r>
        <w:rPr>
          <w:rFonts w:eastAsia="方正仿宋_GBK"/>
          <w:sz w:val="32"/>
          <w:szCs w:val="32"/>
        </w:rPr>
        <w:t>下的；</w:t>
      </w:r>
    </w:p>
    <w:p>
      <w:pPr>
        <w:pageBreakBefore w:val="0"/>
        <w:widowControl w:val="0"/>
        <w:kinsoku/>
        <w:wordWrap/>
        <w:overflowPunct/>
        <w:topLinePunct w:val="0"/>
        <w:bidi w:val="0"/>
        <w:adjustRightInd w:val="0"/>
        <w:snapToGrid w:val="0"/>
        <w:spacing w:line="570" w:lineRule="exact"/>
        <w:jc w:val="left"/>
        <w:textAlignment w:val="auto"/>
        <w:rPr>
          <w:rFonts w:eastAsia="方正仿宋_GBK"/>
          <w:spacing w:val="-6"/>
          <w:kern w:val="0"/>
          <w:sz w:val="32"/>
          <w:szCs w:val="32"/>
        </w:rPr>
      </w:pPr>
      <w:r>
        <w:rPr>
          <w:rFonts w:eastAsia="方正仿宋_GBK"/>
          <w:spacing w:val="-4"/>
          <w:kern w:val="0"/>
          <w:sz w:val="32"/>
          <w:szCs w:val="32"/>
        </w:rPr>
        <w:t xml:space="preserve">    较大森林火灾：受灾森林面积在1公顷以上100公顷以下的，</w:t>
      </w:r>
      <w:r>
        <w:rPr>
          <w:rFonts w:eastAsia="方正仿宋_GBK"/>
          <w:spacing w:val="-6"/>
          <w:kern w:val="0"/>
          <w:sz w:val="32"/>
          <w:szCs w:val="32"/>
        </w:rPr>
        <w:t>或者死亡3人以上10人以下的，或者重伤10人以上50人以下的；</w:t>
      </w:r>
    </w:p>
    <w:p>
      <w:pPr>
        <w:pageBreakBefore w:val="0"/>
        <w:widowControl w:val="0"/>
        <w:kinsoku/>
        <w:wordWrap/>
        <w:overflowPunct/>
        <w:topLinePunct w:val="0"/>
        <w:autoSpaceDE/>
        <w:autoSpaceDN/>
        <w:bidi w:val="0"/>
        <w:adjustRightInd w:val="0"/>
        <w:snapToGrid w:val="0"/>
        <w:spacing w:line="570" w:lineRule="exact"/>
        <w:ind w:firstLine="632" w:firstLineChars="200"/>
        <w:jc w:val="left"/>
        <w:textAlignment w:val="auto"/>
        <w:rPr>
          <w:rFonts w:eastAsia="方正仿宋_GBK"/>
          <w:sz w:val="32"/>
          <w:szCs w:val="32"/>
        </w:rPr>
      </w:pPr>
      <w:r>
        <w:rPr>
          <w:rFonts w:eastAsia="方正仿宋_GBK"/>
          <w:sz w:val="32"/>
          <w:szCs w:val="32"/>
        </w:rPr>
        <w:t>重大森林火灾：受灾森林面积在100公顷以上1000公顷以下的，或者死亡10人以上30人以下的，或者重伤50人以上100人以下的；</w:t>
      </w:r>
    </w:p>
    <w:p>
      <w:pPr>
        <w:pageBreakBefore w:val="0"/>
        <w:widowControl w:val="0"/>
        <w:kinsoku/>
        <w:wordWrap/>
        <w:overflowPunct/>
        <w:topLinePunct w:val="0"/>
        <w:autoSpaceDE/>
        <w:autoSpaceDN/>
        <w:bidi w:val="0"/>
        <w:adjustRightInd w:val="0"/>
        <w:snapToGrid w:val="0"/>
        <w:spacing w:line="570" w:lineRule="exact"/>
        <w:ind w:firstLine="632" w:firstLineChars="200"/>
        <w:jc w:val="left"/>
        <w:textAlignment w:val="auto"/>
        <w:rPr>
          <w:rFonts w:eastAsia="方正仿宋_GBK"/>
          <w:sz w:val="32"/>
          <w:szCs w:val="32"/>
        </w:rPr>
      </w:pPr>
      <w:r>
        <w:rPr>
          <w:rFonts w:eastAsia="方正仿宋_GBK"/>
          <w:sz w:val="32"/>
          <w:szCs w:val="32"/>
        </w:rPr>
        <w:t>特别重大森林火灾：受灾森林面积在1000公顷以上的，或者死亡30人以上的，或者重伤100人以上的。</w:t>
      </w:r>
    </w:p>
    <w:p>
      <w:pPr>
        <w:keepNext/>
        <w:keepLines/>
        <w:pageBreakBefore w:val="0"/>
        <w:widowControl w:val="0"/>
        <w:kinsoku/>
        <w:wordWrap/>
        <w:overflowPunct/>
        <w:topLinePunct w:val="0"/>
        <w:autoSpaceDE/>
        <w:autoSpaceDN/>
        <w:bidi w:val="0"/>
        <w:adjustRightInd w:val="0"/>
        <w:snapToGrid w:val="0"/>
        <w:spacing w:line="570" w:lineRule="exact"/>
        <w:ind w:firstLine="632" w:firstLineChars="200"/>
        <w:jc w:val="left"/>
        <w:textAlignment w:val="auto"/>
        <w:outlineLvl w:val="1"/>
        <w:rPr>
          <w:rFonts w:eastAsia="方正楷体_GBK"/>
          <w:sz w:val="32"/>
          <w:szCs w:val="20"/>
        </w:rPr>
      </w:pPr>
      <w:bookmarkStart w:id="122" w:name="_Toc916"/>
      <w:bookmarkStart w:id="123" w:name="_Toc27038"/>
      <w:r>
        <w:rPr>
          <w:rFonts w:eastAsia="方正楷体_GBK"/>
          <w:sz w:val="32"/>
          <w:szCs w:val="20"/>
        </w:rPr>
        <w:t>9.2  预案培训演练</w:t>
      </w:r>
      <w:bookmarkEnd w:id="122"/>
      <w:bookmarkEnd w:id="123"/>
    </w:p>
    <w:p>
      <w:pPr>
        <w:pageBreakBefore w:val="0"/>
        <w:widowControl w:val="0"/>
        <w:kinsoku/>
        <w:wordWrap/>
        <w:overflowPunct/>
        <w:topLinePunct w:val="0"/>
        <w:autoSpaceDE/>
        <w:autoSpaceDN/>
        <w:bidi w:val="0"/>
        <w:adjustRightInd w:val="0"/>
        <w:snapToGrid w:val="0"/>
        <w:spacing w:line="570" w:lineRule="exact"/>
        <w:ind w:firstLine="632" w:firstLineChars="200"/>
        <w:jc w:val="left"/>
        <w:textAlignment w:val="auto"/>
        <w:rPr>
          <w:rFonts w:eastAsia="方正仿宋_GBK"/>
          <w:bCs/>
          <w:kern w:val="0"/>
          <w:sz w:val="32"/>
          <w:szCs w:val="32"/>
        </w:rPr>
      </w:pPr>
      <w:r>
        <w:rPr>
          <w:rFonts w:eastAsia="方正仿宋_GBK"/>
          <w:kern w:val="0"/>
          <w:sz w:val="32"/>
          <w:szCs w:val="32"/>
        </w:rPr>
        <w:t>区森防办会同指挥部成员单位制定应急演练计划并定期组织演练。各镇街每年开展不少于一次森林火灾应急预案培训和演练。</w:t>
      </w:r>
    </w:p>
    <w:p>
      <w:pPr>
        <w:keepNext/>
        <w:keepLines/>
        <w:pageBreakBefore w:val="0"/>
        <w:widowControl w:val="0"/>
        <w:kinsoku/>
        <w:wordWrap/>
        <w:overflowPunct/>
        <w:topLinePunct w:val="0"/>
        <w:autoSpaceDE/>
        <w:autoSpaceDN/>
        <w:bidi w:val="0"/>
        <w:adjustRightInd w:val="0"/>
        <w:snapToGrid w:val="0"/>
        <w:spacing w:line="570" w:lineRule="exact"/>
        <w:ind w:firstLine="632" w:firstLineChars="200"/>
        <w:jc w:val="left"/>
        <w:textAlignment w:val="auto"/>
        <w:outlineLvl w:val="1"/>
        <w:rPr>
          <w:rFonts w:eastAsia="方正楷体_GBK"/>
          <w:sz w:val="32"/>
          <w:szCs w:val="20"/>
        </w:rPr>
      </w:pPr>
      <w:bookmarkStart w:id="124" w:name="_Toc21600"/>
      <w:bookmarkStart w:id="125" w:name="_Toc24490"/>
      <w:r>
        <w:rPr>
          <w:rFonts w:eastAsia="方正楷体_GBK"/>
          <w:sz w:val="32"/>
          <w:szCs w:val="20"/>
        </w:rPr>
        <w:t>9.3  预案管理与更新</w:t>
      </w:r>
      <w:bookmarkEnd w:id="124"/>
      <w:bookmarkEnd w:id="125"/>
    </w:p>
    <w:p>
      <w:pPr>
        <w:pageBreakBefore w:val="0"/>
        <w:widowControl w:val="0"/>
        <w:kinsoku/>
        <w:wordWrap/>
        <w:overflowPunct/>
        <w:topLinePunct w:val="0"/>
        <w:autoSpaceDE/>
        <w:autoSpaceDN/>
        <w:bidi w:val="0"/>
        <w:adjustRightInd w:val="0"/>
        <w:snapToGrid w:val="0"/>
        <w:spacing w:line="570" w:lineRule="exact"/>
        <w:ind w:firstLine="632" w:firstLineChars="200"/>
        <w:jc w:val="left"/>
        <w:textAlignment w:val="auto"/>
        <w:rPr>
          <w:rFonts w:eastAsia="方正仿宋_GBK"/>
          <w:kern w:val="0"/>
          <w:sz w:val="32"/>
          <w:szCs w:val="32"/>
        </w:rPr>
      </w:pPr>
      <w:r>
        <w:rPr>
          <w:rFonts w:eastAsia="方正仿宋_GBK"/>
          <w:kern w:val="0"/>
          <w:sz w:val="32"/>
          <w:szCs w:val="32"/>
        </w:rPr>
        <w:t>预案发布实施后，区应急局、区规划自然资源局（林业局）等区级有关部门及涉林镇街要组织预案宣传。区应急局要根据实际情况，适时组织评估和修订，原则上5年内应予修订。涉林镇街</w:t>
      </w:r>
      <w:r>
        <w:rPr>
          <w:rFonts w:hint="eastAsia" w:eastAsia="方正仿宋_GBK"/>
          <w:sz w:val="32"/>
          <w:szCs w:val="20"/>
        </w:rPr>
        <w:t>、经营主体</w:t>
      </w:r>
      <w:r>
        <w:rPr>
          <w:rFonts w:eastAsia="方正仿宋_GBK"/>
          <w:kern w:val="0"/>
          <w:sz w:val="32"/>
          <w:szCs w:val="32"/>
        </w:rPr>
        <w:t>结合本辖区实际编制森林火灾应急预案，报镇人民政府或街道办事处批准，并报区应急局备案。</w:t>
      </w:r>
    </w:p>
    <w:p>
      <w:pPr>
        <w:keepNext/>
        <w:keepLines/>
        <w:pageBreakBefore w:val="0"/>
        <w:widowControl w:val="0"/>
        <w:kinsoku/>
        <w:wordWrap/>
        <w:overflowPunct/>
        <w:topLinePunct w:val="0"/>
        <w:autoSpaceDE/>
        <w:autoSpaceDN/>
        <w:bidi w:val="0"/>
        <w:adjustRightInd w:val="0"/>
        <w:snapToGrid w:val="0"/>
        <w:spacing w:line="570" w:lineRule="exact"/>
        <w:ind w:firstLine="632" w:firstLineChars="200"/>
        <w:jc w:val="left"/>
        <w:textAlignment w:val="auto"/>
        <w:outlineLvl w:val="1"/>
        <w:rPr>
          <w:rFonts w:eastAsia="方正楷体_GBK"/>
          <w:sz w:val="32"/>
          <w:szCs w:val="20"/>
        </w:rPr>
      </w:pPr>
      <w:bookmarkStart w:id="126" w:name="_Toc32447"/>
      <w:bookmarkStart w:id="127" w:name="_Toc6832"/>
      <w:r>
        <w:rPr>
          <w:rFonts w:eastAsia="方正楷体_GBK"/>
          <w:sz w:val="32"/>
          <w:szCs w:val="20"/>
        </w:rPr>
        <w:t>9.4  以上、以内、以下的含义</w:t>
      </w:r>
      <w:bookmarkEnd w:id="126"/>
      <w:bookmarkEnd w:id="127"/>
    </w:p>
    <w:p>
      <w:pPr>
        <w:pageBreakBefore w:val="0"/>
        <w:widowControl w:val="0"/>
        <w:kinsoku/>
        <w:wordWrap/>
        <w:overflowPunct/>
        <w:topLinePunct w:val="0"/>
        <w:autoSpaceDE/>
        <w:autoSpaceDN/>
        <w:bidi w:val="0"/>
        <w:adjustRightInd w:val="0"/>
        <w:snapToGrid w:val="0"/>
        <w:spacing w:line="570" w:lineRule="exact"/>
        <w:ind w:firstLine="632" w:firstLineChars="200"/>
        <w:jc w:val="left"/>
        <w:textAlignment w:val="auto"/>
        <w:rPr>
          <w:rFonts w:eastAsia="方正仿宋_GBK"/>
          <w:bCs/>
          <w:sz w:val="32"/>
          <w:szCs w:val="32"/>
          <w:shd w:val="clear" w:color="auto" w:fill="FFFFFF"/>
        </w:rPr>
      </w:pPr>
      <w:r>
        <w:rPr>
          <w:rFonts w:eastAsia="方正仿宋_GBK"/>
          <w:bCs/>
          <w:sz w:val="32"/>
          <w:szCs w:val="32"/>
          <w:shd w:val="clear" w:color="auto" w:fill="FFFFFF"/>
        </w:rPr>
        <w:t>本预案所称以上、以内包括本数，以下不包括本数。</w:t>
      </w:r>
    </w:p>
    <w:p>
      <w:pPr>
        <w:keepNext/>
        <w:keepLines/>
        <w:pageBreakBefore w:val="0"/>
        <w:widowControl w:val="0"/>
        <w:kinsoku/>
        <w:wordWrap/>
        <w:overflowPunct/>
        <w:topLinePunct w:val="0"/>
        <w:autoSpaceDE/>
        <w:autoSpaceDN/>
        <w:bidi w:val="0"/>
        <w:adjustRightInd w:val="0"/>
        <w:snapToGrid w:val="0"/>
        <w:spacing w:line="570" w:lineRule="exact"/>
        <w:ind w:firstLine="632" w:firstLineChars="200"/>
        <w:jc w:val="left"/>
        <w:textAlignment w:val="auto"/>
        <w:outlineLvl w:val="1"/>
        <w:rPr>
          <w:rFonts w:eastAsia="方正楷体_GBK"/>
          <w:sz w:val="32"/>
          <w:szCs w:val="20"/>
        </w:rPr>
      </w:pPr>
      <w:bookmarkStart w:id="128" w:name="_Toc27342"/>
      <w:bookmarkStart w:id="129" w:name="_Toc31629"/>
      <w:r>
        <w:rPr>
          <w:rFonts w:eastAsia="方正楷体_GBK"/>
          <w:sz w:val="32"/>
          <w:szCs w:val="20"/>
        </w:rPr>
        <w:t>9.5  敏感</w:t>
      </w:r>
      <w:r>
        <w:rPr>
          <w:rFonts w:hint="eastAsia" w:eastAsia="方正楷体_GBK"/>
          <w:sz w:val="32"/>
          <w:szCs w:val="20"/>
        </w:rPr>
        <w:t>区域</w:t>
      </w:r>
      <w:r>
        <w:rPr>
          <w:rFonts w:eastAsia="方正楷体_GBK"/>
          <w:sz w:val="32"/>
          <w:szCs w:val="20"/>
        </w:rPr>
        <w:t>、敏感时段的含义</w:t>
      </w:r>
      <w:bookmarkEnd w:id="128"/>
      <w:bookmarkEnd w:id="129"/>
    </w:p>
    <w:p>
      <w:pPr>
        <w:pageBreakBefore w:val="0"/>
        <w:widowControl w:val="0"/>
        <w:kinsoku/>
        <w:wordWrap/>
        <w:overflowPunct/>
        <w:topLinePunct w:val="0"/>
        <w:autoSpaceDE/>
        <w:autoSpaceDN/>
        <w:bidi w:val="0"/>
        <w:adjustRightInd w:val="0"/>
        <w:snapToGrid w:val="0"/>
        <w:spacing w:line="570" w:lineRule="exact"/>
        <w:ind w:firstLine="632" w:firstLineChars="200"/>
        <w:jc w:val="left"/>
        <w:textAlignment w:val="auto"/>
        <w:rPr>
          <w:rFonts w:eastAsia="方正仿宋_GBK"/>
          <w:kern w:val="0"/>
          <w:sz w:val="32"/>
          <w:szCs w:val="32"/>
        </w:rPr>
      </w:pPr>
      <w:r>
        <w:rPr>
          <w:rFonts w:eastAsia="方正仿宋_GBK"/>
          <w:kern w:val="0"/>
          <w:sz w:val="32"/>
          <w:szCs w:val="32"/>
        </w:rPr>
        <w:t>敏感</w:t>
      </w:r>
      <w:r>
        <w:rPr>
          <w:rFonts w:hint="eastAsia" w:eastAsia="方正仿宋_GBK"/>
          <w:kern w:val="0"/>
          <w:sz w:val="32"/>
          <w:szCs w:val="32"/>
        </w:rPr>
        <w:t>区域</w:t>
      </w:r>
      <w:r>
        <w:rPr>
          <w:rFonts w:eastAsia="方正仿宋_GBK"/>
          <w:kern w:val="0"/>
          <w:sz w:val="32"/>
          <w:szCs w:val="32"/>
        </w:rPr>
        <w:t>：自然保护区、森林公园、风景名胜区等。</w:t>
      </w:r>
    </w:p>
    <w:p>
      <w:pPr>
        <w:pageBreakBefore w:val="0"/>
        <w:widowControl w:val="0"/>
        <w:kinsoku/>
        <w:wordWrap/>
        <w:overflowPunct/>
        <w:topLinePunct w:val="0"/>
        <w:autoSpaceDE/>
        <w:autoSpaceDN/>
        <w:bidi w:val="0"/>
        <w:adjustRightInd w:val="0"/>
        <w:snapToGrid w:val="0"/>
        <w:spacing w:line="570" w:lineRule="exact"/>
        <w:ind w:firstLine="632" w:firstLineChars="200"/>
        <w:jc w:val="left"/>
        <w:textAlignment w:val="auto"/>
        <w:rPr>
          <w:rFonts w:eastAsia="方正仿宋_GBK"/>
          <w:kern w:val="0"/>
          <w:sz w:val="32"/>
          <w:szCs w:val="32"/>
        </w:rPr>
      </w:pPr>
      <w:r>
        <w:rPr>
          <w:rFonts w:eastAsia="方正仿宋_GBK"/>
          <w:kern w:val="0"/>
          <w:sz w:val="32"/>
          <w:szCs w:val="32"/>
        </w:rPr>
        <w:t>敏感时段：国家法定节假日，国际性、全国性、全市性重大活动，高温伏旱期。</w:t>
      </w:r>
    </w:p>
    <w:p>
      <w:pPr>
        <w:keepNext/>
        <w:keepLines/>
        <w:pageBreakBefore w:val="0"/>
        <w:widowControl w:val="0"/>
        <w:kinsoku/>
        <w:wordWrap/>
        <w:overflowPunct/>
        <w:topLinePunct w:val="0"/>
        <w:autoSpaceDE/>
        <w:autoSpaceDN/>
        <w:bidi w:val="0"/>
        <w:adjustRightInd w:val="0"/>
        <w:snapToGrid w:val="0"/>
        <w:spacing w:line="570" w:lineRule="exact"/>
        <w:ind w:firstLine="632" w:firstLineChars="200"/>
        <w:jc w:val="left"/>
        <w:textAlignment w:val="auto"/>
        <w:outlineLvl w:val="1"/>
        <w:rPr>
          <w:rFonts w:eastAsia="方正楷体_GBK"/>
          <w:sz w:val="32"/>
          <w:szCs w:val="20"/>
        </w:rPr>
      </w:pPr>
      <w:bookmarkStart w:id="130" w:name="_Toc9950"/>
      <w:bookmarkStart w:id="131" w:name="_Toc24782"/>
      <w:r>
        <w:rPr>
          <w:rFonts w:eastAsia="方正楷体_GBK"/>
          <w:sz w:val="32"/>
          <w:szCs w:val="20"/>
        </w:rPr>
        <w:t>9.6  预案解释</w:t>
      </w:r>
      <w:bookmarkEnd w:id="130"/>
      <w:bookmarkEnd w:id="131"/>
    </w:p>
    <w:p>
      <w:pPr>
        <w:pageBreakBefore w:val="0"/>
        <w:widowControl w:val="0"/>
        <w:kinsoku/>
        <w:wordWrap/>
        <w:overflowPunct/>
        <w:topLinePunct w:val="0"/>
        <w:bidi w:val="0"/>
        <w:adjustRightInd w:val="0"/>
        <w:snapToGrid w:val="0"/>
        <w:spacing w:line="570" w:lineRule="exact"/>
        <w:ind w:firstLine="632" w:firstLineChars="200"/>
        <w:jc w:val="left"/>
        <w:textAlignment w:val="auto"/>
        <w:rPr>
          <w:rFonts w:eastAsia="方正仿宋_GBK"/>
          <w:kern w:val="0"/>
          <w:sz w:val="32"/>
          <w:szCs w:val="32"/>
        </w:rPr>
      </w:pPr>
      <w:r>
        <w:rPr>
          <w:rFonts w:eastAsia="方正仿宋_GBK"/>
          <w:kern w:val="0"/>
          <w:sz w:val="32"/>
          <w:szCs w:val="32"/>
        </w:rPr>
        <w:t>本预案由区森防办负责解释。</w:t>
      </w:r>
    </w:p>
    <w:p>
      <w:pPr>
        <w:keepNext/>
        <w:keepLines/>
        <w:pageBreakBefore w:val="0"/>
        <w:widowControl w:val="0"/>
        <w:kinsoku/>
        <w:wordWrap/>
        <w:overflowPunct/>
        <w:topLinePunct w:val="0"/>
        <w:bidi w:val="0"/>
        <w:adjustRightInd w:val="0"/>
        <w:snapToGrid w:val="0"/>
        <w:spacing w:line="570" w:lineRule="exact"/>
        <w:ind w:firstLine="632" w:firstLineChars="200"/>
        <w:jc w:val="left"/>
        <w:textAlignment w:val="auto"/>
        <w:outlineLvl w:val="1"/>
        <w:rPr>
          <w:rFonts w:eastAsia="方正楷体_GBK"/>
          <w:sz w:val="32"/>
          <w:szCs w:val="20"/>
        </w:rPr>
      </w:pPr>
      <w:bookmarkStart w:id="132" w:name="_Toc28704"/>
      <w:bookmarkStart w:id="133" w:name="_Toc7474"/>
      <w:r>
        <w:rPr>
          <w:rFonts w:eastAsia="方正楷体_GBK"/>
          <w:sz w:val="32"/>
          <w:szCs w:val="20"/>
        </w:rPr>
        <w:t>9.7  预案实施时间</w:t>
      </w:r>
      <w:bookmarkEnd w:id="132"/>
      <w:bookmarkEnd w:id="133"/>
    </w:p>
    <w:p>
      <w:pPr>
        <w:pageBreakBefore w:val="0"/>
        <w:widowControl w:val="0"/>
        <w:kinsoku/>
        <w:wordWrap/>
        <w:overflowPunct/>
        <w:topLinePunct w:val="0"/>
        <w:bidi w:val="0"/>
        <w:adjustRightInd w:val="0"/>
        <w:snapToGrid w:val="0"/>
        <w:spacing w:line="570" w:lineRule="exact"/>
        <w:ind w:firstLine="632" w:firstLineChars="200"/>
        <w:jc w:val="left"/>
        <w:textAlignment w:val="auto"/>
        <w:rPr>
          <w:rFonts w:eastAsia="方正仿宋_GBK"/>
          <w:sz w:val="32"/>
          <w:szCs w:val="20"/>
        </w:rPr>
      </w:pPr>
      <w:r>
        <w:rPr>
          <w:rFonts w:eastAsia="方正仿宋_GBK"/>
          <w:sz w:val="32"/>
          <w:szCs w:val="20"/>
        </w:rPr>
        <w:t>本预案自印发之日起实施。原《重庆市沙坪坝区森林防灭火指挥部关于印发〈重庆市沙坪坝区森林火灾应急预案（暂行）〉的通知》（沙森防指〔2020〕8号）同时废止。</w:t>
      </w:r>
    </w:p>
    <w:p>
      <w:pPr>
        <w:pageBreakBefore w:val="0"/>
        <w:widowControl w:val="0"/>
        <w:kinsoku/>
        <w:wordWrap/>
        <w:overflowPunct/>
        <w:topLinePunct w:val="0"/>
        <w:bidi w:val="0"/>
        <w:adjustRightInd w:val="0"/>
        <w:snapToGrid w:val="0"/>
        <w:spacing w:line="570" w:lineRule="exact"/>
        <w:ind w:firstLine="632" w:firstLineChars="200"/>
        <w:jc w:val="left"/>
        <w:textAlignment w:val="auto"/>
        <w:rPr>
          <w:rFonts w:eastAsia="方正仿宋_GBK"/>
          <w:sz w:val="32"/>
          <w:szCs w:val="20"/>
        </w:rPr>
      </w:pPr>
      <w:r>
        <w:rPr>
          <w:rFonts w:eastAsia="方正仿宋_GBK"/>
          <w:sz w:val="32"/>
          <w:szCs w:val="20"/>
        </w:rPr>
        <w:t>附件：1. 区森林防灭火指挥部成员单位防灭火工作职责</w:t>
      </w:r>
    </w:p>
    <w:p>
      <w:pPr>
        <w:pageBreakBefore w:val="0"/>
        <w:widowControl w:val="0"/>
        <w:kinsoku/>
        <w:wordWrap/>
        <w:overflowPunct/>
        <w:topLinePunct w:val="0"/>
        <w:bidi w:val="0"/>
        <w:adjustRightInd w:val="0"/>
        <w:snapToGrid w:val="0"/>
        <w:spacing w:line="570" w:lineRule="exact"/>
        <w:ind w:firstLine="632" w:firstLineChars="200"/>
        <w:jc w:val="left"/>
        <w:textAlignment w:val="auto"/>
        <w:rPr>
          <w:rFonts w:eastAsia="方正仿宋_GBK"/>
          <w:sz w:val="32"/>
          <w:szCs w:val="20"/>
        </w:rPr>
      </w:pPr>
      <w:r>
        <w:rPr>
          <w:rFonts w:hint="eastAsia" w:eastAsia="方正仿宋_GBK"/>
          <w:sz w:val="32"/>
          <w:szCs w:val="20"/>
        </w:rPr>
        <w:t xml:space="preserve">      </w:t>
      </w:r>
      <w:r>
        <w:rPr>
          <w:rFonts w:eastAsia="方正仿宋_GBK"/>
          <w:sz w:val="32"/>
          <w:szCs w:val="20"/>
        </w:rPr>
        <w:t>2. 区森林防灭火指挥部成员单位联系方式</w:t>
      </w:r>
    </w:p>
    <w:p>
      <w:pPr>
        <w:pageBreakBefore w:val="0"/>
        <w:widowControl w:val="0"/>
        <w:kinsoku/>
        <w:wordWrap/>
        <w:overflowPunct/>
        <w:topLinePunct w:val="0"/>
        <w:bidi w:val="0"/>
        <w:adjustRightInd w:val="0"/>
        <w:snapToGrid w:val="0"/>
        <w:spacing w:line="570" w:lineRule="exact"/>
        <w:ind w:firstLine="632" w:firstLineChars="200"/>
        <w:jc w:val="left"/>
        <w:textAlignment w:val="auto"/>
        <w:rPr>
          <w:rFonts w:eastAsia="方正仿宋_GBK"/>
          <w:sz w:val="32"/>
          <w:szCs w:val="20"/>
        </w:rPr>
      </w:pPr>
      <w:r>
        <w:rPr>
          <w:rFonts w:hint="eastAsia" w:eastAsia="方正仿宋_GBK"/>
          <w:sz w:val="32"/>
          <w:szCs w:val="20"/>
        </w:rPr>
        <w:t xml:space="preserve">      </w:t>
      </w:r>
      <w:r>
        <w:rPr>
          <w:rFonts w:eastAsia="方正仿宋_GBK"/>
          <w:sz w:val="32"/>
          <w:szCs w:val="20"/>
        </w:rPr>
        <w:t>3. 应急处置工作流程图</w:t>
      </w:r>
    </w:p>
    <w:p>
      <w:pPr>
        <w:pageBreakBefore w:val="0"/>
        <w:widowControl w:val="0"/>
        <w:kinsoku/>
        <w:wordWrap/>
        <w:overflowPunct/>
        <w:topLinePunct w:val="0"/>
        <w:autoSpaceDE w:val="0"/>
        <w:autoSpaceDN w:val="0"/>
        <w:bidi w:val="0"/>
        <w:adjustRightInd w:val="0"/>
        <w:spacing w:line="570" w:lineRule="exact"/>
        <w:ind w:firstLine="632" w:firstLineChars="200"/>
        <w:jc w:val="left"/>
        <w:textAlignment w:val="auto"/>
        <w:rPr>
          <w:rFonts w:eastAsia="方正仿宋_GBK"/>
          <w:sz w:val="32"/>
          <w:szCs w:val="20"/>
        </w:rPr>
      </w:pPr>
      <w:r>
        <w:rPr>
          <w:rFonts w:hint="eastAsia" w:eastAsia="方正仿宋_GBK"/>
          <w:sz w:val="32"/>
          <w:szCs w:val="20"/>
        </w:rPr>
        <w:t xml:space="preserve">      </w:t>
      </w:r>
      <w:r>
        <w:rPr>
          <w:rFonts w:eastAsia="方正仿宋_GBK"/>
          <w:sz w:val="32"/>
          <w:szCs w:val="20"/>
        </w:rPr>
        <w:t>4. 扑火前指工作组组成及职责分工</w:t>
      </w:r>
    </w:p>
    <w:p>
      <w:pPr>
        <w:adjustRightInd w:val="0"/>
        <w:spacing w:line="560" w:lineRule="exact"/>
        <w:jc w:val="left"/>
        <w:rPr>
          <w:rFonts w:eastAsia="方正仿宋_GBK"/>
          <w:sz w:val="32"/>
          <w:szCs w:val="20"/>
        </w:rPr>
      </w:pPr>
      <w:r>
        <w:rPr>
          <w:rFonts w:ascii="Times New Roman" w:hAnsi="Times New Roman" w:eastAsia="方正黑体_GBK" w:cs="Times New Roman"/>
          <w:color w:val="000000"/>
          <w:kern w:val="0"/>
          <w:sz w:val="32"/>
          <w:szCs w:val="32"/>
        </w:rPr>
        <w:br w:type="page"/>
      </w:r>
      <w:bookmarkStart w:id="134" w:name="_Hlk68280949"/>
      <w:r>
        <w:rPr>
          <w:rFonts w:hint="eastAsia" w:ascii="方正黑体_GBK" w:hAnsi="方正黑体_GBK" w:eastAsia="方正黑体_GBK" w:cs="方正黑体_GBK"/>
          <w:sz w:val="32"/>
          <w:szCs w:val="20"/>
        </w:rPr>
        <w:t>附件1</w:t>
      </w:r>
    </w:p>
    <w:p>
      <w:pPr>
        <w:adjustRightInd w:val="0"/>
        <w:spacing w:line="560" w:lineRule="exact"/>
        <w:ind w:firstLine="632" w:firstLineChars="200"/>
        <w:jc w:val="left"/>
        <w:rPr>
          <w:rFonts w:eastAsia="方正仿宋_GBK"/>
          <w:sz w:val="32"/>
          <w:szCs w:val="20"/>
        </w:rPr>
      </w:pPr>
    </w:p>
    <w:p>
      <w:pPr>
        <w:adjustRightInd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区森林防灭火指挥部成员单位防灭火工作职责</w:t>
      </w:r>
    </w:p>
    <w:p>
      <w:pPr>
        <w:adjustRightInd w:val="0"/>
        <w:spacing w:line="580" w:lineRule="exact"/>
        <w:ind w:firstLine="784" w:firstLineChars="200"/>
        <w:jc w:val="center"/>
        <w:rPr>
          <w:rFonts w:eastAsia="方正小标宋简体"/>
          <w:b/>
          <w:color w:val="FF0000"/>
          <w:w w:val="90"/>
          <w:sz w:val="44"/>
          <w:szCs w:val="44"/>
        </w:rPr>
      </w:pPr>
    </w:p>
    <w:p>
      <w:pPr>
        <w:adjustRightInd w:val="0"/>
        <w:spacing w:line="580" w:lineRule="exact"/>
        <w:ind w:firstLine="632" w:firstLineChars="200"/>
        <w:jc w:val="left"/>
        <w:rPr>
          <w:rFonts w:eastAsia="方正仿宋_GBK"/>
          <w:sz w:val="32"/>
          <w:szCs w:val="32"/>
        </w:rPr>
      </w:pPr>
      <w:r>
        <w:rPr>
          <w:rFonts w:eastAsia="方正仿宋_GBK"/>
          <w:sz w:val="32"/>
          <w:szCs w:val="32"/>
        </w:rPr>
        <w:t>区森林防灭火指挥部成员单位是区森林防灭火组织领导体系的重要组成部分，应根据职责分工，各司其职，各负其责，密切协作，确保各项森林防灭火工作任务顺利完成。各成员单位主要职责如下：</w:t>
      </w:r>
    </w:p>
    <w:p>
      <w:pPr>
        <w:adjustRightInd w:val="0"/>
        <w:spacing w:line="580" w:lineRule="exact"/>
        <w:ind w:firstLine="632" w:firstLineChars="200"/>
        <w:jc w:val="left"/>
        <w:rPr>
          <w:rFonts w:eastAsia="方正仿宋_GBK"/>
          <w:sz w:val="32"/>
          <w:szCs w:val="32"/>
        </w:rPr>
      </w:pPr>
      <w:r>
        <w:rPr>
          <w:rFonts w:eastAsia="方正仿宋_GBK"/>
          <w:sz w:val="32"/>
          <w:szCs w:val="32"/>
        </w:rPr>
        <w:t>区委宣传部：负责组织媒体做好森林防灭火政策解读、成效和公益宣传；指导有关部门做好重大突发事件信息发布和舆论引导；指导有关部门开展森林防灭火知识宣传教育。负责协调、指导和组织广播电视系统开展森林防灭火的宣传报道工作，组织有关部门发布经区森防指审定的森林火灾信息和扑救情况。</w:t>
      </w:r>
    </w:p>
    <w:p>
      <w:pPr>
        <w:adjustRightInd w:val="0"/>
        <w:spacing w:line="580" w:lineRule="exact"/>
        <w:ind w:firstLine="632" w:firstLineChars="200"/>
        <w:jc w:val="left"/>
        <w:rPr>
          <w:rFonts w:eastAsia="方正仿宋_GBK"/>
          <w:sz w:val="32"/>
          <w:szCs w:val="32"/>
        </w:rPr>
      </w:pPr>
      <w:r>
        <w:rPr>
          <w:rFonts w:eastAsia="方正仿宋_GBK"/>
          <w:sz w:val="32"/>
          <w:szCs w:val="32"/>
        </w:rPr>
        <w:t>区委网信办：负责统筹协调指导森林火灾网络舆情的引导处置工作。</w:t>
      </w:r>
    </w:p>
    <w:p>
      <w:pPr>
        <w:adjustRightInd w:val="0"/>
        <w:spacing w:line="580" w:lineRule="exact"/>
        <w:ind w:firstLine="632" w:firstLineChars="200"/>
        <w:jc w:val="left"/>
        <w:rPr>
          <w:rFonts w:eastAsia="方正仿宋_GBK"/>
          <w:sz w:val="32"/>
          <w:szCs w:val="32"/>
        </w:rPr>
      </w:pPr>
      <w:r>
        <w:rPr>
          <w:rFonts w:eastAsia="方正仿宋_GBK"/>
          <w:sz w:val="32"/>
          <w:szCs w:val="32"/>
        </w:rPr>
        <w:t>区发展改革委：负责做好全区森林防灭火基础设施建设规划同全区总体发展规划的衔接统一，做好森林防灭火基础设施项目与国民经济与社会发展规划的衔接平衡。</w:t>
      </w:r>
    </w:p>
    <w:p>
      <w:pPr>
        <w:adjustRightInd w:val="0"/>
        <w:spacing w:line="560" w:lineRule="exact"/>
        <w:ind w:firstLine="632" w:firstLineChars="200"/>
        <w:jc w:val="left"/>
        <w:rPr>
          <w:rFonts w:hint="eastAsia" w:ascii="方正仿宋_GBK" w:hAnsi="Courier New" w:eastAsia="方正仿宋_GBK" w:cs="Courier New"/>
          <w:sz w:val="32"/>
          <w:szCs w:val="32"/>
        </w:rPr>
      </w:pPr>
      <w:r>
        <w:rPr>
          <w:rFonts w:hint="eastAsia" w:ascii="方正仿宋_GBK" w:eastAsia="方正仿宋_GBK"/>
          <w:sz w:val="32"/>
          <w:szCs w:val="32"/>
        </w:rPr>
        <w:t>区教委：负责指导全区中小学生的森林防火宣传教育工作。将森林防火知识纳入安全教育大纲，协同森林防火部门做好中小学校森林防火宣传工作。</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hint="eastAsia" w:ascii="方正仿宋_GBK" w:eastAsia="方正仿宋_GBK"/>
          <w:sz w:val="32"/>
          <w:szCs w:val="32"/>
        </w:rPr>
      </w:pPr>
      <w:r>
        <w:rPr>
          <w:rFonts w:hint="eastAsia" w:ascii="方正仿宋_GBK" w:eastAsia="方正仿宋_GBK"/>
          <w:sz w:val="32"/>
          <w:szCs w:val="32"/>
        </w:rPr>
        <w:t>区经济信息委：协调落实免收森林防灭火抢险救灾专用无线电频率占用费等政策；协调森林火灾有关抢险救援工业产品的应急保障和区级医药储备的紧急调用；协助森林火灾扑救中的应急通信保障工作。</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hint="eastAsia" w:ascii="方正仿宋_GBK" w:eastAsia="方正仿宋_GBK"/>
          <w:sz w:val="32"/>
          <w:szCs w:val="32"/>
        </w:rPr>
      </w:pPr>
      <w:r>
        <w:rPr>
          <w:rFonts w:hint="eastAsia" w:ascii="方正仿宋_GBK" w:eastAsia="方正仿宋_GBK"/>
          <w:sz w:val="32"/>
          <w:szCs w:val="32"/>
        </w:rPr>
        <w:t>区民政局：推进殡葬改革，倡导文明祭扫，配合做好减少传统祭祀方式造成的森林火灾风险工作。</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hint="eastAsia" w:ascii="方正仿宋_GBK" w:eastAsia="方正仿宋_GBK"/>
          <w:sz w:val="32"/>
          <w:szCs w:val="32"/>
        </w:rPr>
      </w:pPr>
      <w:r>
        <w:rPr>
          <w:rFonts w:hint="eastAsia" w:ascii="方正仿宋_GBK" w:eastAsia="方正仿宋_GBK"/>
          <w:sz w:val="32"/>
          <w:szCs w:val="32"/>
        </w:rPr>
        <w:t>区财政局：负责保障全区森林防灭火经费，按程序及时下拨并监督使用。</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hint="eastAsia" w:ascii="方正仿宋_GBK" w:hAnsi="Courier New" w:eastAsia="方正仿宋_GBK" w:cs="Courier New"/>
          <w:sz w:val="32"/>
          <w:szCs w:val="32"/>
        </w:rPr>
      </w:pPr>
      <w:r>
        <w:rPr>
          <w:rFonts w:hint="eastAsia" w:ascii="方正仿宋_GBK" w:eastAsia="方正仿宋_GBK"/>
          <w:sz w:val="32"/>
          <w:szCs w:val="32"/>
        </w:rPr>
        <w:t>区城管局：负责组织运水人员、车辆开展森林灭火救援。</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eastAsia="方正仿宋_GBK"/>
          <w:sz w:val="32"/>
          <w:szCs w:val="32"/>
        </w:rPr>
      </w:pPr>
      <w:r>
        <w:rPr>
          <w:rFonts w:eastAsia="方正仿宋_GBK"/>
          <w:sz w:val="32"/>
          <w:szCs w:val="32"/>
        </w:rPr>
        <w:t>区生态环境局：</w:t>
      </w:r>
      <w:r>
        <w:rPr>
          <w:rFonts w:hint="eastAsia" w:eastAsia="方正仿宋_GBK"/>
          <w:sz w:val="32"/>
          <w:szCs w:val="32"/>
        </w:rPr>
        <w:t>负责对火灾事故次生突发环境事件周围区域环境开展应急监测，提出防止事态扩大和控制污染的要求或者建议；指导开展事故现场污染物的清除、生态破坏的恢复等工作。</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eastAsia="方正仿宋_GBK"/>
          <w:sz w:val="32"/>
          <w:szCs w:val="32"/>
        </w:rPr>
      </w:pPr>
      <w:r>
        <w:rPr>
          <w:rFonts w:eastAsia="方正仿宋_GBK"/>
          <w:sz w:val="32"/>
          <w:szCs w:val="32"/>
        </w:rPr>
        <w:t>区交通局：负责组织协调运力，为扑火人员和物资快速运输提供支持保障</w:t>
      </w:r>
      <w:r>
        <w:rPr>
          <w:rFonts w:hint="eastAsia" w:eastAsia="方正仿宋_GBK"/>
          <w:sz w:val="32"/>
          <w:szCs w:val="32"/>
        </w:rPr>
        <w:t>，</w:t>
      </w:r>
      <w:r>
        <w:rPr>
          <w:rFonts w:eastAsia="方正仿宋_GBK"/>
          <w:sz w:val="32"/>
          <w:szCs w:val="32"/>
        </w:rPr>
        <w:t>做好森林防灭火车辆公路通行保障。</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eastAsia="方正仿宋_GBK"/>
          <w:sz w:val="32"/>
          <w:szCs w:val="32"/>
        </w:rPr>
      </w:pPr>
      <w:r>
        <w:rPr>
          <w:rFonts w:eastAsia="方正仿宋_GBK"/>
          <w:sz w:val="32"/>
          <w:szCs w:val="32"/>
        </w:rPr>
        <w:t>区农业农村委：负责</w:t>
      </w:r>
      <w:r>
        <w:rPr>
          <w:rFonts w:hint="eastAsia" w:eastAsia="方正仿宋_GBK"/>
          <w:sz w:val="32"/>
          <w:szCs w:val="32"/>
        </w:rPr>
        <w:t>农村</w:t>
      </w:r>
      <w:r>
        <w:rPr>
          <w:rFonts w:eastAsia="方正仿宋_GBK"/>
          <w:sz w:val="32"/>
          <w:szCs w:val="32"/>
        </w:rPr>
        <w:t>野外安全用火的宣传教育，加强农事生产用火管控工作；会同林业部门组织指导做好林耕结合部区域火灾预防工作；配合有关部门做好林区内人饮抗旱设施规划建设，为森林防灭火有关工作提供支持和保障。</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eastAsia="方正仿宋_GBK"/>
          <w:sz w:val="32"/>
          <w:szCs w:val="32"/>
        </w:rPr>
      </w:pPr>
      <w:r>
        <w:rPr>
          <w:rFonts w:eastAsia="方正仿宋_GBK"/>
          <w:sz w:val="32"/>
          <w:szCs w:val="32"/>
        </w:rPr>
        <w:t>区商务委：负责组织和协调区内跨地区应急生活物资供应，按程序动用区级储备物资，稳定市场供应；协助组织森林火灾扑救相关物资。</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eastAsia="方正仿宋_GBK"/>
          <w:sz w:val="32"/>
          <w:szCs w:val="32"/>
        </w:rPr>
      </w:pPr>
      <w:r>
        <w:rPr>
          <w:rFonts w:eastAsia="方正仿宋_GBK"/>
          <w:sz w:val="32"/>
          <w:szCs w:val="32"/>
        </w:rPr>
        <w:t>区文化旅游委：配合有关部门指导督促落实旅游景区内森林火灾防控措施，开展防火宣传。</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eastAsia="方正仿宋_GBK"/>
          <w:sz w:val="32"/>
          <w:szCs w:val="32"/>
        </w:rPr>
      </w:pPr>
      <w:r>
        <w:rPr>
          <w:rFonts w:eastAsia="方正仿宋_GBK"/>
          <w:sz w:val="32"/>
          <w:szCs w:val="32"/>
        </w:rPr>
        <w:t>区卫生健康委：负责组建卫生应急专业技术队伍，根据需要及时赴现场开展医疗救治、疾病预防控制等卫生应急工作。做好卫生应急队伍人员、车辆、装备的调度工作。</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eastAsia="方正仿宋_GBK"/>
          <w:sz w:val="32"/>
          <w:szCs w:val="32"/>
        </w:rPr>
      </w:pPr>
      <w:r>
        <w:rPr>
          <w:rFonts w:eastAsia="方正仿宋_GBK"/>
          <w:sz w:val="32"/>
          <w:szCs w:val="32"/>
        </w:rPr>
        <w:t>区应急局：负责区森防办日常工作；协助区委、区政府组织较大以上森林火灾应急处置工作；按照分级负责原则，指导森林火灾处置工作，统筹救援力量建设，组织、协调、指导相关部门开展森林防灭火工作；组织编制森林火灾处置预案和综合防灾减灾规划，开展实施有关工作；负责火灾信息发布工作；协调指导林区受灾群众的生活救助工作。</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eastAsia="方正仿宋_GBK"/>
          <w:sz w:val="32"/>
          <w:szCs w:val="32"/>
        </w:rPr>
      </w:pPr>
      <w:r>
        <w:rPr>
          <w:rFonts w:eastAsia="方正仿宋_GBK"/>
          <w:sz w:val="32"/>
          <w:szCs w:val="32"/>
        </w:rPr>
        <w:t>区人武部：负责协调驻区部队参加森林火灾抢险行动实施统一指挥，牵头组织指导相关部队抓好遂行森林火灾抢险任务准备，协调办理兵力及军用航空器调动事宜，协调有关部门、单位做好森林航空消防航空器飞行和地面勤务保障工作。负责指导镇街人武部系统组织民兵开展扑火技能训练和参与森林火灾扑救工作；组织指导武警部队做好防扑火知识技能教育训练和参加森林火灾扑救行动。</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eastAsia="方正仿宋_GBK"/>
          <w:sz w:val="32"/>
          <w:szCs w:val="32"/>
        </w:rPr>
      </w:pPr>
      <w:r>
        <w:rPr>
          <w:rFonts w:eastAsia="方正仿宋_GBK"/>
          <w:sz w:val="32"/>
          <w:szCs w:val="32"/>
        </w:rPr>
        <w:t>区公安分局：负责做好森林火灾有关违法犯罪案件查处工作，组织对森林火灾可能造成的重大社会治安和稳定问题进行预判，并协同有关部门做好防范处置工作。</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eastAsia="方正仿宋_GBK"/>
          <w:sz w:val="32"/>
          <w:szCs w:val="32"/>
        </w:rPr>
      </w:pPr>
      <w:r>
        <w:rPr>
          <w:rFonts w:eastAsia="方正仿宋_GBK"/>
          <w:sz w:val="32"/>
          <w:szCs w:val="32"/>
        </w:rPr>
        <w:t>区规划自然资源局（林业局）：负责将森林防火基础设施建设纳入城乡建设规划；履行森林防灭火工作行业管理责任，指导开展防火巡护、火源管理、防火设施建设等工作；负责森林火情监测预警工作，发布森林火险信息；组织指导国有林场林区专业队伍建设、宣传教育、预警监测、督促检查等工作；负责落实区综合防灾减灾救灾规划有关要求，组织编制森林火灾防治规划和防护标准并指导实施。必要时，可以按程序提请，以区森防指名义部署相关防治工作。</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eastAsia="方正仿宋_GBK"/>
          <w:sz w:val="32"/>
          <w:szCs w:val="32"/>
        </w:rPr>
      </w:pPr>
      <w:r>
        <w:rPr>
          <w:rFonts w:eastAsia="方正仿宋_GBK"/>
          <w:sz w:val="32"/>
          <w:szCs w:val="32"/>
        </w:rPr>
        <w:t>区气象局：负责提供全区及重点林区、重点时段的气象监测产品，发布森林火险气象等级预报并提供火场气象服务，根据天气条件适时组织开展森林防灭火的人工影响天气作业；与林业部门联合发布高森林火险预警信息；提供卫星图像数据，参与利用遥感手段进行森林火灾监测及损失评估。</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eastAsia="方正仿宋_GBK"/>
          <w:sz w:val="32"/>
          <w:szCs w:val="32"/>
        </w:rPr>
      </w:pPr>
      <w:r>
        <w:rPr>
          <w:rFonts w:eastAsia="方正仿宋_GBK"/>
          <w:sz w:val="32"/>
          <w:szCs w:val="32"/>
        </w:rPr>
        <w:t>区消防救援支队：负责组织消防救援队伍参加森林火灾扑救工作。</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eastAsia="方正仿宋_GBK"/>
          <w:sz w:val="32"/>
          <w:szCs w:val="32"/>
        </w:rPr>
      </w:pPr>
      <w:r>
        <w:rPr>
          <w:rFonts w:eastAsia="方正仿宋_GBK"/>
          <w:sz w:val="32"/>
          <w:szCs w:val="32"/>
        </w:rPr>
        <w:t>国网市区供电分公司：负责组织对穿越林区的高压电线、电缆的线路巡护，定期进行塔架安全检查，排除森林火灾隐患。负责扑救森林火灾应急电力供应、电力安全工作。</w:t>
      </w:r>
    </w:p>
    <w:p>
      <w:pPr>
        <w:keepNext w:val="0"/>
        <w:keepLines w:val="0"/>
        <w:pageBreakBefore w:val="0"/>
        <w:widowControl w:val="0"/>
        <w:kinsoku/>
        <w:wordWrap/>
        <w:overflowPunct/>
        <w:topLinePunct w:val="0"/>
        <w:autoSpaceDE/>
        <w:autoSpaceDN/>
        <w:bidi w:val="0"/>
        <w:adjustRightInd w:val="0"/>
        <w:snapToGrid/>
        <w:spacing w:line="570" w:lineRule="exact"/>
        <w:ind w:firstLine="632" w:firstLineChars="200"/>
        <w:jc w:val="left"/>
        <w:textAlignment w:val="auto"/>
        <w:rPr>
          <w:rFonts w:eastAsia="方正仿宋_GBK"/>
          <w:color w:val="FF0000"/>
          <w:sz w:val="32"/>
          <w:szCs w:val="32"/>
        </w:rPr>
      </w:pPr>
      <w:r>
        <w:rPr>
          <w:rFonts w:eastAsia="方正仿宋_GBK"/>
          <w:sz w:val="32"/>
          <w:szCs w:val="32"/>
        </w:rPr>
        <w:t>各成员单位除承担上述职责外，还应根据区森防指的要求，承担与其职责相关的其他工作。</w:t>
      </w:r>
    </w:p>
    <w:p>
      <w:pPr>
        <w:adjustRightInd w:val="0"/>
        <w:spacing w:line="560" w:lineRule="exact"/>
        <w:ind w:firstLine="632" w:firstLineChars="200"/>
        <w:jc w:val="left"/>
        <w:rPr>
          <w:rFonts w:eastAsia="方正仿宋_GBK"/>
          <w:kern w:val="0"/>
          <w:sz w:val="32"/>
          <w:szCs w:val="20"/>
        </w:rPr>
      </w:pPr>
    </w:p>
    <w:p>
      <w:pPr>
        <w:adjustRightInd w:val="0"/>
        <w:spacing w:line="560" w:lineRule="exact"/>
        <w:ind w:firstLine="632" w:firstLineChars="200"/>
        <w:jc w:val="left"/>
        <w:rPr>
          <w:rFonts w:eastAsia="方正仿宋_GBK"/>
          <w:kern w:val="0"/>
          <w:sz w:val="32"/>
          <w:szCs w:val="20"/>
        </w:rPr>
      </w:pPr>
    </w:p>
    <w:p>
      <w:pPr>
        <w:adjustRightInd w:val="0"/>
        <w:spacing w:line="560" w:lineRule="exact"/>
        <w:ind w:firstLine="632" w:firstLineChars="200"/>
        <w:jc w:val="left"/>
        <w:rPr>
          <w:rFonts w:eastAsia="方正仿宋_GBK"/>
          <w:kern w:val="0"/>
          <w:sz w:val="32"/>
          <w:szCs w:val="20"/>
        </w:rPr>
      </w:pPr>
    </w:p>
    <w:p>
      <w:pPr>
        <w:adjustRightInd w:val="0"/>
        <w:spacing w:line="560" w:lineRule="exact"/>
        <w:jc w:val="left"/>
        <w:rPr>
          <w:rFonts w:eastAsia="方正黑体_GBK"/>
          <w:sz w:val="32"/>
          <w:szCs w:val="20"/>
        </w:rPr>
      </w:pPr>
    </w:p>
    <w:p>
      <w:pPr>
        <w:pStyle w:val="2"/>
        <w:rPr>
          <w:rFonts w:eastAsia="方正黑体_GBK"/>
          <w:sz w:val="32"/>
          <w:szCs w:val="20"/>
        </w:rPr>
      </w:pPr>
    </w:p>
    <w:p>
      <w:pPr>
        <w:pStyle w:val="2"/>
        <w:rPr>
          <w:rFonts w:eastAsia="方正黑体_GBK"/>
          <w:sz w:val="32"/>
          <w:szCs w:val="20"/>
        </w:rPr>
      </w:pPr>
    </w:p>
    <w:p>
      <w:pPr>
        <w:pStyle w:val="2"/>
        <w:rPr>
          <w:rFonts w:eastAsia="方正黑体_GBK"/>
          <w:sz w:val="32"/>
          <w:szCs w:val="20"/>
        </w:rPr>
      </w:pPr>
    </w:p>
    <w:p>
      <w:pPr>
        <w:pStyle w:val="2"/>
        <w:rPr>
          <w:rFonts w:eastAsia="方正黑体_GBK"/>
          <w:sz w:val="32"/>
          <w:szCs w:val="20"/>
        </w:rPr>
      </w:pPr>
    </w:p>
    <w:p>
      <w:pPr>
        <w:pStyle w:val="2"/>
        <w:rPr>
          <w:rFonts w:eastAsia="方正黑体_GBK"/>
          <w:sz w:val="32"/>
          <w:szCs w:val="20"/>
        </w:rPr>
      </w:pPr>
    </w:p>
    <w:p>
      <w:pPr>
        <w:pStyle w:val="2"/>
        <w:rPr>
          <w:rFonts w:eastAsia="方正黑体_GBK"/>
          <w:sz w:val="32"/>
          <w:szCs w:val="20"/>
        </w:rPr>
      </w:pPr>
    </w:p>
    <w:p>
      <w:pPr>
        <w:adjustRightInd w:val="0"/>
        <w:spacing w:line="560" w:lineRule="exact"/>
        <w:jc w:val="left"/>
        <w:rPr>
          <w:rFonts w:eastAsia="方正黑体_GBK"/>
          <w:sz w:val="32"/>
          <w:szCs w:val="20"/>
        </w:rPr>
      </w:pPr>
      <w:r>
        <w:rPr>
          <w:rFonts w:eastAsia="方正黑体_GBK"/>
          <w:sz w:val="32"/>
          <w:szCs w:val="20"/>
        </w:rPr>
        <w:t>附件2</w:t>
      </w:r>
    </w:p>
    <w:p>
      <w:pPr>
        <w:adjustRightInd w:val="0"/>
        <w:spacing w:line="560" w:lineRule="exact"/>
        <w:jc w:val="center"/>
        <w:rPr>
          <w:rFonts w:eastAsia="方正小标宋_GBK"/>
          <w:color w:val="000000"/>
          <w:w w:val="90"/>
          <w:sz w:val="44"/>
          <w:szCs w:val="44"/>
        </w:rPr>
      </w:pPr>
      <w:r>
        <w:rPr>
          <w:rFonts w:eastAsia="方正小标宋_GBK"/>
          <w:color w:val="000000"/>
          <w:w w:val="90"/>
          <w:sz w:val="44"/>
          <w:szCs w:val="44"/>
        </w:rPr>
        <w:t>区森林防灭火指挥部成员单位联系方式</w:t>
      </w:r>
    </w:p>
    <w:tbl>
      <w:tblPr>
        <w:tblStyle w:val="1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180"/>
        <w:gridCol w:w="1519"/>
        <w:gridCol w:w="1568"/>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序号</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单位名称</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办公室电话</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值班电话</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区委宣传部</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65368632</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65368632</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65361796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区委网信办</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65368630</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65368630</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区发展改革委</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65368184</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65368184</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86055600</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86055600</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86055602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区经济信息委</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65308515</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65308515</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65308595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区民政局</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65317131</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65311528</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65317131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区财政局</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65368288</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65368360</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区生态环境局</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65320607</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65314510</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65735629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区城管局</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65304696</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65304696</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65304696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区交通局</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65310028</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65310028</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65315995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区农业农村委</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89857306</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89857306</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89857306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区商务委</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65368156</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65368156</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13</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区文化旅游委</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65425336</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65425389</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65425303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14</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65464406</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65368146</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65464406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区应急局</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65912318</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65465906</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65401463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16</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区人武部</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65465908</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65465908</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89230916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17</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区公安分局</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63755109</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63755110</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63755119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18</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区规划自然资源局（林业局）</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65368776</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65368752</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65368778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19</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区气象局</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86280788</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86280788</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86234169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区消防救援支队</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65636084</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65636119</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65466030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w:t>
            </w:r>
          </w:p>
        </w:tc>
        <w:tc>
          <w:tcPr>
            <w:tcW w:w="3180"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国网市区供电分公司</w:t>
            </w:r>
          </w:p>
        </w:tc>
        <w:tc>
          <w:tcPr>
            <w:tcW w:w="1519"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63875988</w:t>
            </w:r>
          </w:p>
        </w:tc>
        <w:tc>
          <w:tcPr>
            <w:tcW w:w="1568"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63875988</w:t>
            </w:r>
          </w:p>
        </w:tc>
        <w:tc>
          <w:tcPr>
            <w:tcW w:w="1664" w:type="dxa"/>
            <w:noWrap w:val="0"/>
            <w:vAlign w:val="top"/>
          </w:tcPr>
          <w:p>
            <w:pPr>
              <w:adjustRightInd w:val="0"/>
              <w:snapToGrid w:val="0"/>
              <w:spacing w:line="500" w:lineRule="exact"/>
              <w:jc w:val="center"/>
              <w:rPr>
                <w:rFonts w:hint="default" w:ascii="Times New Roman" w:hAnsi="Times New Roman" w:eastAsia="方正仿宋_GBK" w:cs="Times New Roman"/>
                <w:sz w:val="24"/>
                <w:szCs w:val="24"/>
              </w:rPr>
            </w:pPr>
          </w:p>
        </w:tc>
      </w:tr>
    </w:tbl>
    <w:p>
      <w:pPr>
        <w:adjustRightInd w:val="0"/>
        <w:spacing w:line="560" w:lineRule="exact"/>
        <w:jc w:val="left"/>
        <w:rPr>
          <w:rFonts w:eastAsia="方正黑体_GBK"/>
          <w:sz w:val="32"/>
          <w:szCs w:val="20"/>
        </w:rPr>
      </w:pPr>
    </w:p>
    <w:p>
      <w:pPr>
        <w:adjustRightInd w:val="0"/>
        <w:spacing w:line="560" w:lineRule="exact"/>
        <w:jc w:val="left"/>
        <w:rPr>
          <w:rFonts w:eastAsia="方正黑体_GBK"/>
          <w:sz w:val="32"/>
          <w:szCs w:val="20"/>
        </w:rPr>
      </w:pPr>
      <w:r>
        <w:rPr>
          <w:rFonts w:eastAsia="方正黑体_GBK"/>
          <w:sz w:val="32"/>
          <w:szCs w:val="20"/>
        </w:rPr>
        <w:t>附件3</w:t>
      </w:r>
    </w:p>
    <w:p>
      <w:pPr>
        <w:pStyle w:val="2"/>
      </w:pPr>
      <w:r>
        <w:rPr>
          <w:rFonts w:hint="eastAsia" w:eastAsia="方正小标宋_GBK"/>
          <w:sz w:val="44"/>
          <w:szCs w:val="44"/>
        </w:rPr>
        <w:drawing>
          <wp:anchor distT="0" distB="0" distL="114300" distR="114300" simplePos="0" relativeHeight="251661312" behindDoc="0" locked="0" layoutInCell="1" allowOverlap="1">
            <wp:simplePos x="0" y="0"/>
            <wp:positionH relativeFrom="column">
              <wp:posOffset>34925</wp:posOffset>
            </wp:positionH>
            <wp:positionV relativeFrom="paragraph">
              <wp:posOffset>135255</wp:posOffset>
            </wp:positionV>
            <wp:extent cx="5496560" cy="7526020"/>
            <wp:effectExtent l="0" t="0" r="8890" b="17780"/>
            <wp:wrapNone/>
            <wp:docPr id="2" name="图片 101" descr="b64c93a05bdf199a1ea0c848ef841e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01" descr="b64c93a05bdf199a1ea0c848ef841e0"/>
                    <pic:cNvPicPr>
                      <a:picLocks noChangeAspect="true"/>
                    </pic:cNvPicPr>
                  </pic:nvPicPr>
                  <pic:blipFill>
                    <a:blip r:embed="rId13"/>
                    <a:stretch>
                      <a:fillRect/>
                    </a:stretch>
                  </pic:blipFill>
                  <pic:spPr>
                    <a:xfrm>
                      <a:off x="0" y="0"/>
                      <a:ext cx="5496560" cy="7526020"/>
                    </a:xfrm>
                    <a:prstGeom prst="rect">
                      <a:avLst/>
                    </a:prstGeom>
                    <a:noFill/>
                    <a:ln>
                      <a:noFill/>
                    </a:ln>
                  </pic:spPr>
                </pic:pic>
              </a:graphicData>
            </a:graphic>
          </wp:anchor>
        </w:drawing>
      </w:r>
    </w:p>
    <w:p>
      <w:pPr>
        <w:adjustRightInd w:val="0"/>
        <w:spacing w:line="590" w:lineRule="exact"/>
        <w:rPr>
          <w:rFonts w:eastAsia="方正小标宋_GBK"/>
          <w:sz w:val="44"/>
          <w:szCs w:val="44"/>
        </w:rPr>
      </w:pPr>
    </w:p>
    <w:p>
      <w:pPr>
        <w:adjustRightInd w:val="0"/>
        <w:spacing w:line="590" w:lineRule="exact"/>
        <w:jc w:val="center"/>
        <w:rPr>
          <w:rFonts w:eastAsia="方正小标宋_GBK"/>
          <w:sz w:val="44"/>
          <w:szCs w:val="44"/>
        </w:rPr>
      </w:pPr>
      <w:r>
        <w:rPr>
          <w:rFonts w:eastAsia="方正小标宋_GBK"/>
          <w:sz w:val="44"/>
          <w:szCs w:val="44"/>
        </w:rPr>
        <w:t>森林火灾应急处置工作流程图</w:t>
      </w:r>
    </w:p>
    <w:p>
      <w:pPr>
        <w:adjustRightInd w:val="0"/>
        <w:spacing w:line="560" w:lineRule="exact"/>
        <w:ind w:firstLine="872" w:firstLineChars="200"/>
        <w:jc w:val="left"/>
        <w:rPr>
          <w:rFonts w:hint="eastAsia" w:eastAsia="方正小标宋_GBK"/>
          <w:sz w:val="44"/>
          <w:szCs w:val="44"/>
        </w:rPr>
      </w:pPr>
    </w:p>
    <w:p>
      <w:pPr>
        <w:adjustRightInd w:val="0"/>
        <w:spacing w:line="560" w:lineRule="exact"/>
        <w:ind w:firstLine="872" w:firstLineChars="200"/>
        <w:jc w:val="left"/>
        <w:rPr>
          <w:rFonts w:eastAsia="方正小标宋_GBK"/>
          <w:sz w:val="44"/>
          <w:szCs w:val="44"/>
        </w:rPr>
      </w:pPr>
    </w:p>
    <w:p>
      <w:pPr>
        <w:adjustRightInd w:val="0"/>
        <w:spacing w:line="560" w:lineRule="exact"/>
        <w:ind w:firstLine="872" w:firstLineChars="200"/>
        <w:jc w:val="left"/>
        <w:rPr>
          <w:rFonts w:hint="eastAsia" w:eastAsia="方正小标宋_GBK"/>
          <w:sz w:val="44"/>
          <w:szCs w:val="44"/>
        </w:rPr>
      </w:pPr>
    </w:p>
    <w:p>
      <w:pPr>
        <w:adjustRightInd w:val="0"/>
        <w:spacing w:line="560" w:lineRule="exact"/>
        <w:ind w:firstLine="872" w:firstLineChars="200"/>
        <w:jc w:val="left"/>
        <w:rPr>
          <w:rFonts w:eastAsia="方正小标宋_GBK"/>
          <w:sz w:val="44"/>
          <w:szCs w:val="44"/>
        </w:rPr>
      </w:pPr>
    </w:p>
    <w:p>
      <w:pPr>
        <w:adjustRightInd w:val="0"/>
        <w:spacing w:line="560" w:lineRule="exact"/>
        <w:ind w:firstLine="872" w:firstLineChars="200"/>
        <w:jc w:val="left"/>
        <w:rPr>
          <w:rFonts w:eastAsia="方正小标宋_GBK"/>
          <w:sz w:val="44"/>
          <w:szCs w:val="44"/>
        </w:rPr>
      </w:pPr>
    </w:p>
    <w:p>
      <w:pPr>
        <w:adjustRightInd w:val="0"/>
        <w:spacing w:line="560" w:lineRule="exact"/>
        <w:ind w:firstLine="872" w:firstLineChars="200"/>
        <w:jc w:val="left"/>
        <w:rPr>
          <w:rFonts w:eastAsia="方正小标宋_GBK"/>
          <w:sz w:val="44"/>
          <w:szCs w:val="44"/>
        </w:rPr>
      </w:pPr>
    </w:p>
    <w:p>
      <w:pPr>
        <w:adjustRightInd w:val="0"/>
        <w:spacing w:line="560" w:lineRule="exact"/>
        <w:ind w:firstLine="872" w:firstLineChars="200"/>
        <w:jc w:val="left"/>
        <w:rPr>
          <w:rFonts w:eastAsia="方正小标宋_GBK"/>
          <w:sz w:val="44"/>
          <w:szCs w:val="44"/>
        </w:rPr>
      </w:pPr>
    </w:p>
    <w:p>
      <w:pPr>
        <w:adjustRightInd w:val="0"/>
        <w:spacing w:line="560" w:lineRule="exact"/>
        <w:ind w:firstLine="872" w:firstLineChars="200"/>
        <w:jc w:val="left"/>
        <w:rPr>
          <w:rFonts w:hint="eastAsia" w:eastAsia="方正小标宋_GBK"/>
          <w:sz w:val="44"/>
          <w:szCs w:val="44"/>
        </w:rPr>
      </w:pPr>
    </w:p>
    <w:p>
      <w:pPr>
        <w:adjustRightInd w:val="0"/>
        <w:spacing w:line="560" w:lineRule="exact"/>
        <w:ind w:firstLine="872" w:firstLineChars="200"/>
        <w:jc w:val="left"/>
        <w:rPr>
          <w:rFonts w:eastAsia="方正小标宋_GBK"/>
          <w:sz w:val="44"/>
          <w:szCs w:val="44"/>
        </w:rPr>
      </w:pPr>
    </w:p>
    <w:p>
      <w:pPr>
        <w:adjustRightInd w:val="0"/>
        <w:spacing w:line="560" w:lineRule="exact"/>
        <w:ind w:firstLine="872" w:firstLineChars="200"/>
        <w:jc w:val="left"/>
        <w:rPr>
          <w:rFonts w:eastAsia="方正小标宋_GBK"/>
          <w:sz w:val="44"/>
          <w:szCs w:val="44"/>
        </w:rPr>
      </w:pPr>
    </w:p>
    <w:p>
      <w:pPr>
        <w:adjustRightInd w:val="0"/>
        <w:spacing w:line="560" w:lineRule="exact"/>
        <w:ind w:firstLine="872" w:firstLineChars="200"/>
        <w:jc w:val="left"/>
        <w:rPr>
          <w:rFonts w:eastAsia="方正小标宋_GBK"/>
          <w:sz w:val="44"/>
          <w:szCs w:val="44"/>
        </w:rPr>
      </w:pPr>
    </w:p>
    <w:p>
      <w:pPr>
        <w:adjustRightInd w:val="0"/>
        <w:spacing w:line="560" w:lineRule="exact"/>
        <w:ind w:firstLine="872" w:firstLineChars="200"/>
        <w:jc w:val="left"/>
        <w:rPr>
          <w:rFonts w:eastAsia="方正小标宋_GBK"/>
          <w:sz w:val="44"/>
          <w:szCs w:val="44"/>
        </w:rPr>
      </w:pPr>
    </w:p>
    <w:p>
      <w:pPr>
        <w:adjustRightInd w:val="0"/>
        <w:spacing w:line="560" w:lineRule="exact"/>
        <w:ind w:firstLine="872" w:firstLineChars="200"/>
        <w:jc w:val="left"/>
        <w:rPr>
          <w:rFonts w:eastAsia="方正小标宋_GBK"/>
          <w:sz w:val="44"/>
          <w:szCs w:val="44"/>
        </w:rPr>
      </w:pPr>
    </w:p>
    <w:p>
      <w:pPr>
        <w:adjustRightInd w:val="0"/>
        <w:spacing w:line="560" w:lineRule="exact"/>
        <w:ind w:firstLine="872" w:firstLineChars="200"/>
        <w:jc w:val="left"/>
        <w:rPr>
          <w:rFonts w:eastAsia="方正小标宋_GBK"/>
          <w:sz w:val="44"/>
          <w:szCs w:val="44"/>
        </w:rPr>
      </w:pPr>
    </w:p>
    <w:p>
      <w:pPr>
        <w:adjustRightInd w:val="0"/>
        <w:spacing w:line="560" w:lineRule="exact"/>
        <w:ind w:firstLine="872" w:firstLineChars="200"/>
        <w:jc w:val="left"/>
        <w:rPr>
          <w:rFonts w:eastAsia="方正小标宋_GBK"/>
          <w:sz w:val="44"/>
          <w:szCs w:val="44"/>
        </w:rPr>
      </w:pPr>
    </w:p>
    <w:p>
      <w:pPr>
        <w:adjustRightInd w:val="0"/>
        <w:spacing w:line="560" w:lineRule="exact"/>
        <w:ind w:firstLine="872" w:firstLineChars="200"/>
        <w:jc w:val="left"/>
        <w:rPr>
          <w:rFonts w:eastAsia="方正小标宋_GBK"/>
          <w:sz w:val="44"/>
          <w:szCs w:val="44"/>
        </w:rPr>
      </w:pPr>
    </w:p>
    <w:p>
      <w:pPr>
        <w:adjustRightInd w:val="0"/>
        <w:spacing w:line="560" w:lineRule="exact"/>
        <w:ind w:firstLine="632" w:firstLineChars="200"/>
        <w:jc w:val="left"/>
        <w:rPr>
          <w:rFonts w:eastAsia="方正仿宋_GBK"/>
          <w:sz w:val="32"/>
          <w:szCs w:val="20"/>
        </w:rPr>
      </w:pPr>
    </w:p>
    <w:p>
      <w:pPr>
        <w:adjustRightInd w:val="0"/>
        <w:spacing w:line="560" w:lineRule="exact"/>
        <w:ind w:firstLine="632" w:firstLineChars="200"/>
        <w:jc w:val="left"/>
        <w:rPr>
          <w:rFonts w:eastAsia="方正黑体_GBK"/>
          <w:sz w:val="32"/>
          <w:szCs w:val="20"/>
        </w:rPr>
      </w:pPr>
    </w:p>
    <w:p>
      <w:pPr>
        <w:adjustRightInd w:val="0"/>
        <w:spacing w:line="560" w:lineRule="exact"/>
        <w:ind w:firstLine="632" w:firstLineChars="200"/>
        <w:jc w:val="left"/>
        <w:rPr>
          <w:rFonts w:eastAsia="方正黑体_GBK"/>
          <w:sz w:val="32"/>
          <w:szCs w:val="20"/>
        </w:rPr>
      </w:pPr>
    </w:p>
    <w:p>
      <w:pPr>
        <w:adjustRightInd w:val="0"/>
        <w:spacing w:line="560" w:lineRule="exact"/>
        <w:jc w:val="left"/>
        <w:rPr>
          <w:rFonts w:eastAsia="方正黑体_GBK"/>
          <w:sz w:val="32"/>
          <w:szCs w:val="20"/>
        </w:rPr>
      </w:pPr>
      <w:r>
        <w:rPr>
          <w:rFonts w:eastAsia="方正仿宋_GBK"/>
          <w:szCs w:val="20"/>
        </w:rPr>
        <mc:AlternateContent>
          <mc:Choice Requires="wps">
            <w:drawing>
              <wp:anchor distT="0" distB="0" distL="114300" distR="114300" simplePos="0" relativeHeight="251660288" behindDoc="0" locked="0" layoutInCell="1" allowOverlap="1">
                <wp:simplePos x="0" y="0"/>
                <wp:positionH relativeFrom="column">
                  <wp:posOffset>7660640</wp:posOffset>
                </wp:positionH>
                <wp:positionV relativeFrom="paragraph">
                  <wp:posOffset>1469390</wp:posOffset>
                </wp:positionV>
                <wp:extent cx="0" cy="147320"/>
                <wp:effectExtent l="63500" t="0" r="69850" b="5080"/>
                <wp:wrapNone/>
                <wp:docPr id="5" name="直接连接符 5"/>
                <wp:cNvGraphicFramePr/>
                <a:graphic xmlns:a="http://schemas.openxmlformats.org/drawingml/2006/main">
                  <a:graphicData uri="http://schemas.microsoft.com/office/word/2010/wordprocessingShape">
                    <wps:wsp>
                      <wps:cNvCnPr/>
                      <wps:spPr>
                        <a:xfrm>
                          <a:off x="0" y="0"/>
                          <a:ext cx="0" cy="147320"/>
                        </a:xfrm>
                        <a:prstGeom prst="line">
                          <a:avLst/>
                        </a:prstGeom>
                        <a:ln w="12700" cap="flat" cmpd="sng">
                          <a:solidFill>
                            <a:srgbClr val="000000"/>
                          </a:solidFill>
                          <a:prstDash val="solid"/>
                          <a:headEnd type="none" w="med" len="med"/>
                          <a:tailEnd type="triangle" w="lg" len="med"/>
                        </a:ln>
                      </wps:spPr>
                      <wps:bodyPr upright="true"/>
                    </wps:wsp>
                  </a:graphicData>
                </a:graphic>
              </wp:anchor>
            </w:drawing>
          </mc:Choice>
          <mc:Fallback>
            <w:pict>
              <v:line id="_x0000_s1026" o:spid="_x0000_s1026" o:spt="20" style="position:absolute;left:0pt;margin-left:603.2pt;margin-top:115.7pt;height:11.6pt;width:0pt;z-index:251660288;mso-width-relative:page;mso-height-relative:page;" filled="f" stroked="t" coordsize="21600,21600" o:gfxdata="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IsP7EbXAAAADQEAAA8AAAAAAAAAAQAgAAAAOAAAAGRycy9kb3ducmV2Lnht&#10;bFBLAQIUABQAAAAIAIdO4kAVeG9W5AEAAJwDAAAOAAAAAAAAAAEAIAAAADwBAABkcnMvZTJvRG9j&#10;LnhtbFBLBQYAAAAABgAGAFkBAACSBQAAAAA=&#10;">
                <v:fill on="f" focussize="0,0"/>
                <v:stroke weight="1pt" color="#000000" joinstyle="round" endarrow="block" endarrowwidth="wide"/>
                <v:imagedata o:title=""/>
                <o:lock v:ext="edit" aspectratio="f"/>
              </v:line>
            </w:pict>
          </mc:Fallback>
        </mc:AlternateContent>
      </w:r>
      <w:r>
        <w:rPr>
          <w:rFonts w:eastAsia="方正黑体_GBK"/>
          <w:sz w:val="32"/>
          <w:szCs w:val="20"/>
        </w:rPr>
        <w:t>附件4</w:t>
      </w:r>
    </w:p>
    <w:p>
      <w:pPr>
        <w:adjustRightInd w:val="0"/>
        <w:spacing w:line="560" w:lineRule="exact"/>
        <w:ind w:firstLine="632" w:firstLineChars="200"/>
        <w:jc w:val="left"/>
        <w:rPr>
          <w:rFonts w:ascii="宋体" w:hAnsi="Courier New" w:cs="Courier New"/>
          <w:szCs w:val="21"/>
        </w:rPr>
      </w:pPr>
    </w:p>
    <w:p>
      <w:pPr>
        <w:adjustRightInd w:val="0"/>
        <w:spacing w:line="580" w:lineRule="exact"/>
        <w:jc w:val="center"/>
        <w:rPr>
          <w:rFonts w:eastAsia="方正小标宋_GBK"/>
          <w:color w:val="000000"/>
          <w:sz w:val="44"/>
          <w:szCs w:val="44"/>
        </w:rPr>
      </w:pPr>
      <w:r>
        <w:rPr>
          <w:rFonts w:eastAsia="方正小标宋_GBK"/>
          <w:color w:val="000000"/>
          <w:sz w:val="44"/>
          <w:szCs w:val="44"/>
        </w:rPr>
        <w:t>扑火前指工作组组成及职责分工</w:t>
      </w:r>
    </w:p>
    <w:p>
      <w:pPr>
        <w:adjustRightInd w:val="0"/>
        <w:spacing w:line="580" w:lineRule="exact"/>
        <w:ind w:firstLine="632" w:firstLineChars="200"/>
        <w:jc w:val="left"/>
        <w:rPr>
          <w:rFonts w:eastAsia="方正仿宋_GBK"/>
          <w:color w:val="000000"/>
          <w:sz w:val="32"/>
          <w:szCs w:val="32"/>
        </w:rPr>
      </w:pP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color w:val="000000"/>
          <w:sz w:val="32"/>
          <w:szCs w:val="32"/>
        </w:rPr>
        <w:t>区委、区政府或区森防指视情况在森林火灾现场成立前线指挥部，根据需要设立相应的工作组。各工作组组成及职责分工如下：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eastAsia="方正仿宋_GBK"/>
          <w:sz w:val="32"/>
          <w:szCs w:val="32"/>
        </w:rPr>
      </w:pPr>
      <w:r>
        <w:rPr>
          <w:rFonts w:eastAsia="方正仿宋_GBK"/>
          <w:b/>
          <w:bCs/>
          <w:color w:val="000000"/>
          <w:sz w:val="32"/>
          <w:szCs w:val="32"/>
        </w:rPr>
        <w:t>1.综合协调组。</w:t>
      </w:r>
      <w:r>
        <w:rPr>
          <w:rFonts w:eastAsia="仿宋_GB2312"/>
          <w:color w:val="000000"/>
          <w:sz w:val="32"/>
          <w:szCs w:val="32"/>
        </w:rPr>
        <w:t>由区应急局牵头，</w:t>
      </w:r>
      <w:r>
        <w:rPr>
          <w:rFonts w:eastAsia="方正仿宋_GBK"/>
          <w:sz w:val="32"/>
          <w:szCs w:val="32"/>
        </w:rPr>
        <w:t>有关镇街及区级有关部门和单位参加。</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eastAsia="仿宋_GB2312"/>
          <w:color w:val="000000"/>
          <w:sz w:val="32"/>
          <w:szCs w:val="32"/>
        </w:rPr>
      </w:pPr>
      <w:r>
        <w:rPr>
          <w:rFonts w:eastAsia="仿宋_GB2312"/>
          <w:sz w:val="32"/>
          <w:szCs w:val="32"/>
        </w:rPr>
        <w:t>主要职责：收集汇总森林火情和扑救进展，起草有关文字材料和情况报告，综合协调内部日常事务，督办重要工作</w:t>
      </w:r>
      <w:r>
        <w:rPr>
          <w:rFonts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b/>
          <w:bCs/>
          <w:color w:val="000000"/>
          <w:sz w:val="32"/>
          <w:szCs w:val="32"/>
        </w:rPr>
        <w:t>2.扑救指挥组。</w:t>
      </w:r>
      <w:r>
        <w:rPr>
          <w:rFonts w:eastAsia="方正仿宋_GBK"/>
          <w:color w:val="000000"/>
          <w:sz w:val="32"/>
          <w:szCs w:val="32"/>
        </w:rPr>
        <w:t>由区应急局牵头，区规划自然资源局（林业局）、区人武部，区消防救援支队等相关部门和单位参加。</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color w:val="000000"/>
          <w:sz w:val="32"/>
          <w:szCs w:val="32"/>
        </w:rPr>
        <w:t>主要职责：掌握火场动态，制定扑火方案，调配救援力量，组织火灾扑救，部署火场清理看守，火场检查验收移交等。</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b/>
          <w:bCs/>
          <w:color w:val="000000"/>
          <w:sz w:val="32"/>
          <w:szCs w:val="32"/>
        </w:rPr>
        <w:t>3.气象服务组。</w:t>
      </w:r>
      <w:r>
        <w:rPr>
          <w:rFonts w:eastAsia="方正仿宋_GBK"/>
          <w:color w:val="000000"/>
          <w:sz w:val="32"/>
          <w:szCs w:val="32"/>
        </w:rPr>
        <w:t>由区气象局牵头，区规划自然资源局（林业局）、有关镇街及相关部门和单位参加。</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color w:val="000000"/>
          <w:sz w:val="32"/>
          <w:szCs w:val="32"/>
        </w:rPr>
        <w:t>主要职责：组织火灾风险监测，指导次生衍生灾害防范，调度相关技术力量和设备，监视灾情发展，指导灾害防御和灾害隐患的监测预警。</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b/>
          <w:bCs/>
          <w:color w:val="000000"/>
          <w:sz w:val="32"/>
          <w:szCs w:val="32"/>
        </w:rPr>
        <w:t>4.通信保障组。</w:t>
      </w:r>
      <w:r>
        <w:rPr>
          <w:rFonts w:eastAsia="方正仿宋_GBK"/>
          <w:color w:val="000000"/>
          <w:sz w:val="32"/>
          <w:szCs w:val="32"/>
        </w:rPr>
        <w:t>由</w:t>
      </w:r>
      <w:r>
        <w:rPr>
          <w:rFonts w:eastAsia="方正仿宋_GBK"/>
          <w:sz w:val="32"/>
          <w:szCs w:val="32"/>
        </w:rPr>
        <w:t>区经信委</w:t>
      </w:r>
      <w:r>
        <w:rPr>
          <w:rFonts w:eastAsia="方正仿宋_GBK"/>
          <w:color w:val="000000"/>
          <w:sz w:val="32"/>
          <w:szCs w:val="32"/>
        </w:rPr>
        <w:t>牵头，区电信分公司、有关镇街及相关部门和单位参加。</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color w:val="000000"/>
          <w:sz w:val="32"/>
          <w:szCs w:val="32"/>
        </w:rPr>
        <w:t xml:space="preserve"> 主要职责：组织建立火场通信联络，统一协调、划分通讯频道和指定呼号，保持扑火前指联络畅通。</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b/>
          <w:bCs/>
          <w:color w:val="000000"/>
          <w:sz w:val="32"/>
          <w:szCs w:val="32"/>
        </w:rPr>
        <w:t>5.医疗救治组。</w:t>
      </w:r>
      <w:r>
        <w:rPr>
          <w:rFonts w:eastAsia="方正仿宋_GBK"/>
          <w:color w:val="000000"/>
          <w:sz w:val="32"/>
          <w:szCs w:val="32"/>
        </w:rPr>
        <w:t>由区卫生健康委牵头，</w:t>
      </w:r>
      <w:r>
        <w:rPr>
          <w:rFonts w:eastAsia="方正仿宋_GBK"/>
          <w:sz w:val="32"/>
          <w:szCs w:val="32"/>
        </w:rPr>
        <w:t>有关镇街</w:t>
      </w:r>
      <w:r>
        <w:rPr>
          <w:rFonts w:eastAsia="方正仿宋_GBK"/>
          <w:color w:val="000000"/>
          <w:sz w:val="32"/>
          <w:szCs w:val="32"/>
        </w:rPr>
        <w:t>参加。</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color w:val="000000"/>
          <w:sz w:val="32"/>
          <w:szCs w:val="32"/>
        </w:rPr>
        <w:t>主要职责：组织指导灾区伤员救治和医疗卫生保障，统筹协调医疗救护队伍和医疗器械、药品支援灾区，组织灾区做好伤亡统计和转运救治伤员。</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b/>
          <w:bCs/>
          <w:color w:val="000000"/>
          <w:sz w:val="32"/>
          <w:szCs w:val="32"/>
        </w:rPr>
        <w:t>6.专家支持组。</w:t>
      </w:r>
      <w:r>
        <w:rPr>
          <w:rFonts w:eastAsia="方正仿宋_GBK"/>
          <w:color w:val="000000"/>
          <w:sz w:val="32"/>
          <w:szCs w:val="32"/>
        </w:rPr>
        <w:t>由区规划自然资源局（林业局）牵头，区应急局、区气象局、专家组成员组成。</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color w:val="000000"/>
          <w:sz w:val="32"/>
          <w:szCs w:val="32"/>
        </w:rPr>
        <w:t>主要职责：组织现场灾情会商研判，提供技术支持，指导现场监测预警和隐患排查工作，参与制定抢险救援方案。</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sz w:val="32"/>
          <w:szCs w:val="32"/>
        </w:rPr>
      </w:pPr>
      <w:r>
        <w:rPr>
          <w:rFonts w:eastAsia="方正仿宋_GBK"/>
          <w:b/>
          <w:bCs/>
          <w:color w:val="000000"/>
          <w:sz w:val="32"/>
          <w:szCs w:val="32"/>
        </w:rPr>
        <w:t>7.后勤保障组。</w:t>
      </w:r>
      <w:r>
        <w:rPr>
          <w:rFonts w:eastAsia="方正仿宋_GBK"/>
          <w:color w:val="000000"/>
          <w:sz w:val="32"/>
          <w:szCs w:val="32"/>
        </w:rPr>
        <w:t>由</w:t>
      </w:r>
      <w:r>
        <w:rPr>
          <w:rFonts w:eastAsia="方正仿宋_GBK"/>
          <w:sz w:val="32"/>
          <w:szCs w:val="32"/>
        </w:rPr>
        <w:t>区商务委牵头，区交通局、区供销社等部门和有关镇街参加。</w:t>
      </w:r>
    </w:p>
    <w:p>
      <w:pPr>
        <w:keepNext w:val="0"/>
        <w:keepLines w:val="0"/>
        <w:pageBreakBefore w:val="0"/>
        <w:widowControl w:val="0"/>
        <w:kinsoku/>
        <w:wordWrap/>
        <w:overflowPunct/>
        <w:topLinePunct w:val="0"/>
        <w:autoSpaceDE/>
        <w:autoSpaceDN/>
        <w:bidi w:val="0"/>
        <w:adjustRightInd w:val="0"/>
        <w:spacing w:line="570" w:lineRule="exact"/>
        <w:ind w:firstLine="790" w:firstLineChars="250"/>
        <w:jc w:val="both"/>
        <w:textAlignment w:val="auto"/>
        <w:rPr>
          <w:rFonts w:eastAsia="方正仿宋_GBK"/>
          <w:sz w:val="32"/>
          <w:szCs w:val="32"/>
        </w:rPr>
      </w:pPr>
      <w:r>
        <w:rPr>
          <w:rFonts w:eastAsia="方正仿宋_GBK"/>
          <w:sz w:val="32"/>
          <w:szCs w:val="32"/>
        </w:rPr>
        <w:t>主要职责：负责火灾扑救期间所需食品、机具、被装、油料等后勤物资的保障和配送。</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b/>
          <w:bCs/>
          <w:color w:val="000000"/>
          <w:sz w:val="32"/>
          <w:szCs w:val="32"/>
        </w:rPr>
        <w:t>8.救助安置组。</w:t>
      </w:r>
      <w:r>
        <w:rPr>
          <w:rFonts w:eastAsia="方正仿宋_GBK"/>
          <w:color w:val="000000"/>
          <w:sz w:val="32"/>
          <w:szCs w:val="32"/>
        </w:rPr>
        <w:t>由属地</w:t>
      </w:r>
      <w:r>
        <w:rPr>
          <w:rFonts w:eastAsia="方正仿宋_GBK"/>
          <w:sz w:val="32"/>
          <w:szCs w:val="32"/>
        </w:rPr>
        <w:t>镇街</w:t>
      </w:r>
      <w:r>
        <w:rPr>
          <w:rFonts w:eastAsia="方正仿宋_GBK"/>
          <w:color w:val="000000"/>
          <w:sz w:val="32"/>
          <w:szCs w:val="32"/>
        </w:rPr>
        <w:t>牵头，区应急局、区经信委等部门参加。</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color w:val="000000"/>
          <w:sz w:val="32"/>
          <w:szCs w:val="32"/>
        </w:rPr>
        <w:t>主要职责：制定受灾群众救助工作方案，做好受灾群众紧急转移安置、过渡期救助和因灾遇难人员家属抚慰工作，统筹灾区生活必需品供应，抢修灾区油、电、气等重要基础设施。</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b/>
          <w:bCs/>
          <w:color w:val="000000"/>
          <w:sz w:val="32"/>
          <w:szCs w:val="32"/>
        </w:rPr>
        <w:t>9.社会治安组。</w:t>
      </w:r>
      <w:r>
        <w:rPr>
          <w:rFonts w:eastAsia="方正仿宋_GBK"/>
          <w:color w:val="000000"/>
          <w:sz w:val="32"/>
          <w:szCs w:val="32"/>
        </w:rPr>
        <w:t>由区公安分局牵头，有关镇街参加。</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color w:val="000000"/>
          <w:sz w:val="32"/>
          <w:szCs w:val="32"/>
        </w:rPr>
        <w:t>主要职责：加强灾区现场管控和治安管理工作，维护社会治安和道路交通秩序，预防和处置群体事件，维护社会稳定，做好指挥部在灾区时的安全保卫工作。</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b/>
          <w:color w:val="000000"/>
          <w:sz w:val="32"/>
          <w:szCs w:val="32"/>
        </w:rPr>
        <w:t>10.调查评估组。</w:t>
      </w:r>
      <w:r>
        <w:rPr>
          <w:rFonts w:eastAsia="方正仿宋_GBK"/>
          <w:color w:val="000000"/>
          <w:sz w:val="32"/>
          <w:szCs w:val="32"/>
        </w:rPr>
        <w:t>由区应急局牵头，区公安分局、区规划自然资源局（林业局）、有关镇街参加。</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sz w:val="32"/>
          <w:szCs w:val="20"/>
        </w:rPr>
      </w:pPr>
      <w:r>
        <w:rPr>
          <w:rFonts w:eastAsia="方正仿宋_GBK"/>
          <w:color w:val="000000"/>
          <w:sz w:val="32"/>
          <w:szCs w:val="32"/>
        </w:rPr>
        <w:t>主要职责：组织调查起火原因、事故责任、肇事者等情况，开展灾害损失评估。</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b/>
          <w:bCs/>
          <w:color w:val="000000"/>
          <w:sz w:val="32"/>
          <w:szCs w:val="32"/>
        </w:rPr>
        <w:t>11.宣传报道组。</w:t>
      </w:r>
      <w:r>
        <w:rPr>
          <w:rFonts w:eastAsia="方正仿宋_GBK"/>
          <w:color w:val="000000"/>
          <w:sz w:val="32"/>
          <w:szCs w:val="32"/>
        </w:rPr>
        <w:t>由区委宣传部牵头，区委信网办、区应急局等部门和单位参加。</w:t>
      </w:r>
    </w:p>
    <w:p>
      <w:pPr>
        <w:keepNext w:val="0"/>
        <w:keepLines w:val="0"/>
        <w:pageBreakBefore w:val="0"/>
        <w:widowControl w:val="0"/>
        <w:kinsoku/>
        <w:wordWrap/>
        <w:overflowPunct/>
        <w:topLinePunct w:val="0"/>
        <w:autoSpaceDE/>
        <w:autoSpaceDN/>
        <w:bidi w:val="0"/>
        <w:adjustRightInd w:val="0"/>
        <w:spacing w:line="570" w:lineRule="exact"/>
        <w:ind w:firstLine="632" w:firstLineChars="200"/>
        <w:jc w:val="both"/>
        <w:textAlignment w:val="auto"/>
        <w:rPr>
          <w:rFonts w:eastAsia="方正仿宋_GBK"/>
          <w:color w:val="000000"/>
          <w:sz w:val="32"/>
          <w:szCs w:val="32"/>
        </w:rPr>
      </w:pPr>
      <w:r>
        <w:rPr>
          <w:rFonts w:eastAsia="方正仿宋_GBK"/>
          <w:color w:val="000000"/>
          <w:sz w:val="32"/>
          <w:szCs w:val="32"/>
        </w:rPr>
        <w:t>主要职责：统筹新闻宣传报道工作，指导做好现场发布会和新闻媒体服务管理，组织开展舆情监测研判，加强舆情管控，指导做好科普宣传，协调做好区委、区政府领导同志在灾区活动时的新闻报道工作。</w:t>
      </w:r>
    </w:p>
    <w:p>
      <w:pPr>
        <w:adjustRightInd w:val="0"/>
        <w:spacing w:line="560" w:lineRule="exact"/>
        <w:ind w:firstLine="632" w:firstLineChars="200"/>
        <w:jc w:val="left"/>
        <w:rPr>
          <w:color w:val="000000"/>
          <w:szCs w:val="32"/>
        </w:rPr>
      </w:pPr>
    </w:p>
    <w:p>
      <w:pPr>
        <w:adjustRightInd w:val="0"/>
        <w:spacing w:line="560" w:lineRule="exact"/>
        <w:ind w:firstLine="632" w:firstLineChars="200"/>
        <w:jc w:val="left"/>
        <w:rPr>
          <w:color w:val="000000"/>
          <w:szCs w:val="32"/>
        </w:rPr>
      </w:pPr>
    </w:p>
    <w:p>
      <w:pPr>
        <w:adjustRightInd w:val="0"/>
        <w:spacing w:line="560" w:lineRule="exact"/>
        <w:ind w:firstLine="632" w:firstLineChars="200"/>
        <w:jc w:val="left"/>
        <w:rPr>
          <w:color w:val="000000"/>
          <w:szCs w:val="32"/>
        </w:rPr>
      </w:pPr>
    </w:p>
    <w:p>
      <w:pPr>
        <w:adjustRightInd w:val="0"/>
        <w:spacing w:line="560" w:lineRule="exact"/>
        <w:ind w:firstLine="632" w:firstLineChars="200"/>
        <w:jc w:val="left"/>
        <w:rPr>
          <w:color w:val="000000"/>
          <w:szCs w:val="32"/>
        </w:rPr>
      </w:pPr>
    </w:p>
    <w:p>
      <w:pPr>
        <w:adjustRightInd w:val="0"/>
        <w:spacing w:line="560" w:lineRule="exact"/>
        <w:ind w:firstLine="632" w:firstLineChars="200"/>
        <w:jc w:val="left"/>
        <w:rPr>
          <w:color w:val="000000"/>
          <w:szCs w:val="32"/>
        </w:rPr>
      </w:pPr>
    </w:p>
    <w:p>
      <w:pPr>
        <w:adjustRightInd w:val="0"/>
        <w:spacing w:line="560" w:lineRule="exact"/>
        <w:ind w:firstLine="632" w:firstLineChars="200"/>
        <w:jc w:val="left"/>
        <w:rPr>
          <w:color w:val="000000"/>
          <w:szCs w:val="32"/>
        </w:rPr>
      </w:pPr>
    </w:p>
    <w:p>
      <w:pPr>
        <w:adjustRightInd w:val="0"/>
        <w:spacing w:line="560" w:lineRule="exact"/>
        <w:ind w:firstLine="632" w:firstLineChars="200"/>
        <w:jc w:val="left"/>
        <w:rPr>
          <w:color w:val="000000"/>
          <w:szCs w:val="32"/>
        </w:rPr>
      </w:pPr>
    </w:p>
    <w:p>
      <w:pPr>
        <w:adjustRightInd w:val="0"/>
        <w:spacing w:line="560" w:lineRule="exact"/>
        <w:ind w:firstLine="632" w:firstLineChars="200"/>
        <w:jc w:val="left"/>
        <w:rPr>
          <w:color w:val="000000"/>
          <w:szCs w:val="32"/>
        </w:rPr>
      </w:pPr>
    </w:p>
    <w:p>
      <w:pPr>
        <w:adjustRightInd w:val="0"/>
        <w:spacing w:line="560" w:lineRule="exact"/>
        <w:ind w:firstLine="632" w:firstLineChars="200"/>
        <w:jc w:val="left"/>
        <w:rPr>
          <w:color w:val="000000"/>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984" w:right="1446" w:bottom="1644" w:left="1446" w:header="1417" w:footer="907" w:gutter="0"/>
          <w:pgNumType w:fmt="numberInDash" w:start="1"/>
          <w:cols w:space="720" w:num="1"/>
          <w:rtlGutter w:val="0"/>
          <w:docGrid w:type="linesAndChars" w:linePitch="589" w:charSpace="-849"/>
        </w:sectPr>
      </w:pPr>
    </w:p>
    <w:p>
      <w:pPr>
        <w:adjustRightInd w:val="0"/>
        <w:spacing w:line="560" w:lineRule="exact"/>
        <w:jc w:val="left"/>
        <w:rPr>
          <w:rFonts w:eastAsia="方正黑体_GBK"/>
          <w:sz w:val="32"/>
          <w:szCs w:val="20"/>
        </w:rPr>
      </w:pPr>
      <w:r>
        <w:rPr>
          <w:rFonts w:eastAsia="方正黑体_GBK"/>
          <w:sz w:val="32"/>
          <w:szCs w:val="20"/>
        </w:rPr>
        <w:t>附件</w:t>
      </w:r>
      <w:r>
        <w:rPr>
          <w:rFonts w:hint="eastAsia" w:eastAsia="方正黑体_GBK"/>
          <w:sz w:val="32"/>
          <w:szCs w:val="20"/>
        </w:rPr>
        <w:t>5</w:t>
      </w:r>
    </w:p>
    <w:p>
      <w:pPr>
        <w:spacing w:line="5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森林火灾应急处置队伍清单</w:t>
      </w:r>
    </w:p>
    <w:p>
      <w:pPr>
        <w:adjustRightInd w:val="0"/>
        <w:spacing w:line="560" w:lineRule="exact"/>
        <w:ind w:firstLine="640" w:firstLineChars="200"/>
        <w:jc w:val="left"/>
        <w:rPr>
          <w:color w:val="000000"/>
          <w:szCs w:val="32"/>
        </w:rPr>
      </w:pPr>
    </w:p>
    <w:tbl>
      <w:tblPr>
        <w:tblStyle w:val="15"/>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561"/>
        <w:gridCol w:w="1388"/>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5" w:type="dxa"/>
            <w:noWrap w:val="0"/>
            <w:vAlign w:val="center"/>
          </w:tcPr>
          <w:p>
            <w:pPr>
              <w:adjustRightInd w:val="0"/>
              <w:snapToGrid w:val="0"/>
              <w:spacing w:line="36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队伍类别</w:t>
            </w: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队伍名称</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队伍人数</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24小时值班电话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05" w:type="dxa"/>
            <w:vMerge w:val="restart"/>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常备队伍</w:t>
            </w: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沙坪坝区消防救援支队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262人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65636119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区国有林场森林灭火救援队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15人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65368752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区综合应急救援队西部分队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10人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ascii="方正楷体_GBK" w:hAnsi="方正楷体_GBK" w:eastAsia="方正楷体_GBK" w:cs="方正楷体_GBK"/>
                <w:sz w:val="24"/>
                <w:szCs w:val="24"/>
              </w:rPr>
              <w:t>65073119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青木关镇综合应急救援队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30人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65600115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凤凰镇综合应急救援队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30人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65600137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回龙坝镇综合应急救援队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30人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65650178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丰文街道综合应急救援队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30人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65610017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中梁镇综合应急救援队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30人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65540955、65540915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歌乐山街道综合应急救援队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30人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65508821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井口街道综合应急救援队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30人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65183947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覃家岗街道综合应急救援队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30人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65304066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土主街道综合应急救援队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30人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65685155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民兵应急连（人武部）</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100人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65465908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restart"/>
            <w:noWrap w:val="0"/>
            <w:vAlign w:val="center"/>
          </w:tcPr>
          <w:p>
            <w:pPr>
              <w:adjustRightInd w:val="0"/>
              <w:snapToGrid w:val="0"/>
              <w:spacing w:line="360" w:lineRule="exact"/>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保障队伍</w:t>
            </w: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区商务委生活必</w:t>
            </w:r>
            <w:r>
              <w:rPr>
                <w:rFonts w:hint="eastAsia" w:ascii="方正楷体_GBK" w:hAnsi="方正楷体_GBK" w:eastAsia="方正楷体_GBK" w:cs="方正楷体_GBK"/>
                <w:sz w:val="24"/>
                <w:szCs w:val="24"/>
                <w:lang w:eastAsia="zh-CN"/>
              </w:rPr>
              <w:t>需</w:t>
            </w:r>
            <w:r>
              <w:rPr>
                <w:rFonts w:hint="eastAsia" w:ascii="方正楷体_GBK" w:hAnsi="方正楷体_GBK" w:eastAsia="方正楷体_GBK" w:cs="方正楷体_GBK"/>
                <w:sz w:val="24"/>
                <w:szCs w:val="24"/>
              </w:rPr>
              <w:t>品物资保障队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32人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65368156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区卫健委医疗保障队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33人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65368146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电力设备抢险救援队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25人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东部：65543661</w:t>
            </w:r>
          </w:p>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西部：63037030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燃气抢险救援队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40人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沙燃分公司：65307377</w:t>
            </w:r>
          </w:p>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中梁山渝能公司：65264397</w:t>
            </w:r>
          </w:p>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凯源（利民）公司：65662555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自来水管网抢险救援队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40人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65353750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05" w:type="dxa"/>
            <w:vMerge w:val="continue"/>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电信分公司抢险救援队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30人</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65312970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05"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群众队伍</w:t>
            </w:r>
          </w:p>
        </w:tc>
        <w:tc>
          <w:tcPr>
            <w:tcW w:w="3561"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涉林村、社区应急救援队</w:t>
            </w:r>
          </w:p>
        </w:tc>
        <w:tc>
          <w:tcPr>
            <w:tcW w:w="138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10人/队</w:t>
            </w:r>
          </w:p>
        </w:tc>
        <w:tc>
          <w:tcPr>
            <w:tcW w:w="2558" w:type="dxa"/>
            <w:noWrap w:val="0"/>
            <w:vAlign w:val="center"/>
          </w:tcPr>
          <w:p>
            <w:pPr>
              <w:adjustRightInd w:val="0"/>
              <w:snapToGrid w:val="0"/>
              <w:spacing w:line="360" w:lineRule="exact"/>
              <w:jc w:val="center"/>
              <w:rPr>
                <w:rFonts w:hint="eastAsia" w:ascii="方正楷体_GBK" w:hAnsi="方正楷体_GBK" w:eastAsia="方正楷体_GBK" w:cs="方正楷体_GBK"/>
                <w:sz w:val="24"/>
                <w:szCs w:val="24"/>
              </w:rPr>
            </w:pPr>
          </w:p>
        </w:tc>
      </w:tr>
    </w:tbl>
    <w:p>
      <w:pPr>
        <w:adjustRightInd w:val="0"/>
        <w:spacing w:line="560" w:lineRule="exact"/>
        <w:jc w:val="left"/>
        <w:rPr>
          <w:color w:val="000000"/>
          <w:szCs w:val="32"/>
        </w:rPr>
      </w:pPr>
    </w:p>
    <w:bookmarkEnd w:id="134"/>
    <w:p>
      <w:pPr>
        <w:pStyle w:val="3"/>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_GBK" w:cs="Times New Roman"/>
          <w:b w:val="0"/>
          <w:color w:val="000000"/>
          <w:sz w:val="28"/>
          <w:szCs w:val="28"/>
          <w:lang w:val="zh-CN"/>
        </w:rPr>
      </w:pPr>
    </w:p>
    <w:p>
      <w:pPr>
        <w:spacing w:line="560" w:lineRule="exact"/>
        <w:jc w:val="center"/>
        <w:rPr>
          <w:rFonts w:hint="eastAsia" w:ascii="方正小标宋_GBK" w:hAnsi="宋体" w:eastAsia="方正小标宋_GBK" w:cs="Times New Roman"/>
          <w:bCs/>
          <w:sz w:val="44"/>
          <w:szCs w:val="22"/>
        </w:rPr>
      </w:pPr>
      <w:r>
        <w:rPr>
          <w:rFonts w:hint="eastAsia" w:ascii="方正小标宋_GBK" w:hAnsi="宋体" w:eastAsia="方正小标宋_GBK" w:cs="Times New Roman"/>
          <w:bCs/>
          <w:sz w:val="44"/>
          <w:szCs w:val="22"/>
        </w:rPr>
        <w:t>重庆市沙坪坝区人民政府办公室</w:t>
      </w:r>
    </w:p>
    <w:p>
      <w:pPr>
        <w:spacing w:line="560" w:lineRule="exact"/>
        <w:jc w:val="center"/>
        <w:rPr>
          <w:rFonts w:hint="eastAsia" w:ascii="方正小标宋_GBK" w:hAnsi="宋体" w:eastAsia="方正小标宋_GBK" w:cs="Times New Roman"/>
          <w:bCs/>
          <w:sz w:val="44"/>
          <w:szCs w:val="22"/>
        </w:rPr>
      </w:pPr>
      <w:r>
        <w:rPr>
          <w:rFonts w:hint="eastAsia" w:ascii="方正小标宋_GBK" w:hAnsi="宋体" w:eastAsia="方正小标宋_GBK" w:cs="Times New Roman"/>
          <w:bCs/>
          <w:sz w:val="44"/>
          <w:szCs w:val="22"/>
        </w:rPr>
        <w:t>关于印发2022年沙坪坝区政务服务</w:t>
      </w:r>
    </w:p>
    <w:p>
      <w:pPr>
        <w:spacing w:line="560" w:lineRule="exact"/>
        <w:jc w:val="center"/>
        <w:rPr>
          <w:rFonts w:hint="eastAsia" w:ascii="方正小标宋_GBK" w:hAnsi="宋体" w:eastAsia="方正小标宋_GBK" w:cs="Times New Roman"/>
          <w:bCs/>
          <w:sz w:val="44"/>
          <w:szCs w:val="22"/>
        </w:rPr>
      </w:pPr>
      <w:r>
        <w:rPr>
          <w:rFonts w:hint="eastAsia" w:ascii="方正小标宋_GBK" w:hAnsi="宋体" w:eastAsia="方正小标宋_GBK" w:cs="Times New Roman"/>
          <w:bCs/>
          <w:sz w:val="44"/>
          <w:szCs w:val="22"/>
        </w:rPr>
        <w:t>工作要点的通知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eastAsia="方正仿宋_GBK" w:cs="方正仿宋_GBK"/>
          <w:color w:val="000000"/>
          <w:kern w:val="0"/>
          <w:sz w:val="32"/>
          <w:szCs w:val="32"/>
        </w:rPr>
      </w:pPr>
    </w:p>
    <w:p>
      <w:pPr>
        <w:spacing w:line="600" w:lineRule="exact"/>
        <w:jc w:val="center"/>
        <w:rPr>
          <w:rFonts w:hint="eastAsia" w:ascii="Times New Roman" w:hAnsi="Times New Roman" w:eastAsia="方正楷体_GBK" w:cs="Times New Roman"/>
          <w:color w:val="000000"/>
          <w:kern w:val="0"/>
          <w:sz w:val="32"/>
          <w:szCs w:val="32"/>
        </w:rPr>
      </w:pPr>
      <w:r>
        <w:rPr>
          <w:rFonts w:hint="eastAsia" w:ascii="Times New Roman" w:hAnsi="Times New Roman" w:eastAsia="方正楷体_GBK" w:cs="Times New Roman"/>
          <w:color w:val="000000"/>
          <w:kern w:val="0"/>
          <w:sz w:val="32"/>
          <w:szCs w:val="32"/>
        </w:rPr>
        <w:t>沙府办发〔2022〕55号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各镇人民政府、各街道办事处，区政府各部门，有关单位：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《2022年沙坪坝区政务服务工作要点》已经区政府同意，现印发给你们，请认真贯彻执行。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30"/>
        <w:textAlignment w:val="auto"/>
        <w:rPr>
          <w:rFonts w:hint="eastAsia" w:ascii="方正仿宋_GBK" w:hAnsi="方正仿宋_GBK" w:eastAsia="方正仿宋_GBK" w:cs="方正仿宋_GBK"/>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0" w:lineRule="exact"/>
        <w:ind w:firstLine="63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重庆市沙坪坝区人民政府办公室</w:t>
      </w:r>
    </w:p>
    <w:p>
      <w:pPr>
        <w:keepNext w:val="0"/>
        <w:keepLines w:val="0"/>
        <w:pageBreakBefore w:val="0"/>
        <w:widowControl w:val="0"/>
        <w:kinsoku/>
        <w:wordWrap/>
        <w:overflowPunct/>
        <w:topLinePunct w:val="0"/>
        <w:autoSpaceDE/>
        <w:autoSpaceDN/>
        <w:bidi w:val="0"/>
        <w:adjustRightInd/>
        <w:snapToGrid/>
        <w:spacing w:line="570" w:lineRule="exact"/>
        <w:ind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月1</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小标宋_GBK" w:eastAsia="方正仿宋_GBK" w:cs="方正小标宋_GBK"/>
          <w:sz w:val="32"/>
          <w:szCs w:val="32"/>
        </w:rPr>
      </w:pPr>
      <w:r>
        <w:rPr>
          <w:rFonts w:hint="eastAsia" w:ascii="方正仿宋_GBK" w:hAnsi="方正小标宋_GBK" w:eastAsia="方正仿宋_GBK" w:cs="方正小标宋_GBK"/>
          <w:sz w:val="32"/>
          <w:szCs w:val="32"/>
        </w:rPr>
        <w:t>(此件公开发布)</w:t>
      </w:r>
    </w:p>
    <w:p>
      <w:pPr>
        <w:pStyle w:val="4"/>
        <w:spacing w:line="596" w:lineRule="exact"/>
        <w:rPr>
          <w:rFonts w:ascii="方正仿宋_GBK" w:eastAsia="方正仿宋_GBK"/>
          <w:sz w:val="32"/>
          <w:szCs w:val="32"/>
        </w:rPr>
      </w:pPr>
    </w:p>
    <w:p>
      <w:pPr>
        <w:pStyle w:val="4"/>
        <w:spacing w:line="596" w:lineRule="exact"/>
        <w:rPr>
          <w:rFonts w:ascii="方正仿宋_GBK" w:eastAsia="方正仿宋_GBK"/>
          <w:sz w:val="32"/>
          <w:szCs w:val="32"/>
        </w:rPr>
      </w:pPr>
    </w:p>
    <w:p>
      <w:pPr>
        <w:pStyle w:val="4"/>
        <w:spacing w:line="596" w:lineRule="exact"/>
        <w:rPr>
          <w:rFonts w:ascii="方正仿宋_GBK" w:eastAsia="方正仿宋_GBK"/>
          <w:sz w:val="32"/>
          <w:szCs w:val="32"/>
        </w:rPr>
      </w:pPr>
    </w:p>
    <w:p>
      <w:pPr>
        <w:pStyle w:val="4"/>
        <w:spacing w:line="596" w:lineRule="exact"/>
        <w:rPr>
          <w:rFonts w:ascii="方正仿宋_GBK" w:eastAsia="方正仿宋_GBK"/>
          <w:sz w:val="32"/>
          <w:szCs w:val="32"/>
        </w:rPr>
      </w:pPr>
    </w:p>
    <w:p>
      <w:pPr>
        <w:pStyle w:val="4"/>
        <w:spacing w:line="596" w:lineRule="exact"/>
        <w:ind w:left="0" w:leftChars="0" w:firstLine="0" w:firstLineChars="0"/>
        <w:rPr>
          <w:rFonts w:ascii="方正仿宋_GBK" w:eastAsia="方正仿宋_GBK"/>
          <w:sz w:val="32"/>
          <w:szCs w:val="32"/>
        </w:rPr>
      </w:pP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32"/>
          <w:szCs w:val="32"/>
        </w:rPr>
      </w:pPr>
    </w:p>
    <w:p>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2022年沙坪坝区政务服务工作要点</w:t>
      </w:r>
    </w:p>
    <w:p>
      <w:pPr>
        <w:spacing w:line="594" w:lineRule="exact"/>
        <w:rPr>
          <w:rFonts w:eastAsia="方正仿宋_GBK"/>
          <w:sz w:val="32"/>
        </w:rPr>
      </w:pPr>
      <w: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落实全国、全市深化“放管服”改革、优化营商环境工作部署，根据《国务院关于加快推进政务服务标准化规范化便利化的指导意见》（国发﹝2022﹞5号）、《重庆市政务服务工作要点》要求，为加快推进政务服务标准化、规范化、便利化建设，制定本工作要点。</w:t>
      </w:r>
    </w:p>
    <w:p>
      <w:pPr>
        <w:keepNext w:val="0"/>
        <w:keepLines w:val="0"/>
        <w:pageBreakBefore w:val="0"/>
        <w:widowControl w:val="0"/>
        <w:kinsoku/>
        <w:wordWrap/>
        <w:overflowPunct/>
        <w:topLinePunct w:val="0"/>
        <w:autoSpaceDE/>
        <w:autoSpaceDN/>
        <w:bidi w:val="0"/>
        <w:adjustRightInd/>
        <w:snapToGrid/>
        <w:spacing w:line="570" w:lineRule="exact"/>
        <w:ind w:firstLine="632"/>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一、抓紧抓实营商环境创新试点。</w:t>
      </w:r>
      <w:r>
        <w:rPr>
          <w:rFonts w:hint="default" w:ascii="Times New Roman" w:hAnsi="Times New Roman" w:eastAsia="方正仿宋_GBK" w:cs="Times New Roman"/>
          <w:sz w:val="32"/>
          <w:szCs w:val="32"/>
        </w:rPr>
        <w:t>紧密对接国家、市级首批改革事项，推进全链条优化审批、全过程公正监管、提升服务，配合推动我市“1+N”实施方案体系落地落实。积极争取创新试点，自主探索，形成一系列可复制、可推广的制度创新成果。建立分层分级调度、督查督办、进度通报、工作约谈和考核问效等工作机制，清单化项目化推进各项改革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黑体_GBK" w:cs="Times New Roman"/>
          <w:sz w:val="32"/>
          <w:szCs w:val="32"/>
        </w:rPr>
        <w:t>二、深化“全渝通办”。</w:t>
      </w:r>
      <w:r>
        <w:rPr>
          <w:rFonts w:hint="default" w:ascii="Times New Roman" w:hAnsi="Times New Roman" w:eastAsia="方正仿宋_GBK" w:cs="Times New Roman"/>
          <w:sz w:val="32"/>
          <w:szCs w:val="32"/>
        </w:rPr>
        <w:t>全面推进政务服务方式和流程系统性重塑，持续推动减环节、减材料、减时限、减跑动。通过统一事项清单、办事指南、审核要点、工作规程、综合窗口设置和系统支撑，优化数字政务服务供给，构建“标准统一、就近交件、协同办理、一次办成”的政务服务新模式。基于“渝快办”平台开设“全渝通办”线上服务专区，线下设置“全渝通办”综合窗口，实现“一窗受理、综合服务”。对与自然人相关的事项，积极探索不受行政区划、户籍身份及常住地限制的办事规则，推进办事结果就地立等可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黑体_GBK" w:cs="Times New Roman"/>
          <w:sz w:val="32"/>
          <w:szCs w:val="32"/>
        </w:rPr>
        <w:t>三、推进“跨省通办”。</w:t>
      </w:r>
      <w:r>
        <w:rPr>
          <w:rFonts w:hint="default" w:ascii="Times New Roman" w:hAnsi="Times New Roman" w:eastAsia="方正仿宋_GBK" w:cs="Times New Roman"/>
          <w:sz w:val="32"/>
          <w:szCs w:val="32"/>
        </w:rPr>
        <w:t>深化成渝地区双城经济圈“放管服”改革，深化“放管服”改革第一批事项和“川渝通办”第一、二批事项办理，领取“放管服”改革第二批和“川渝通办”第三批事项清单、电子证照互认共享第一批清单。进一步拓展我区“川渝通办”、“西南五省通办”等周边省市区通办事项和合作，力争在更大范围、更广领域、更深层次实现“跨省通办”。</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四、规范实施行政许可和备案管理。</w:t>
      </w:r>
      <w:r>
        <w:rPr>
          <w:rFonts w:hint="default" w:ascii="Times New Roman" w:hAnsi="Times New Roman" w:eastAsia="方正仿宋_GBK" w:cs="Times New Roman"/>
          <w:sz w:val="32"/>
          <w:szCs w:val="32"/>
        </w:rPr>
        <w:t>依据《法律、行政法规、国务院决定设定的行政许可事项清单（2022年版）》（国办发〔2022〕2号），领取和发布我区区级部门和乡镇行政许可事项清单。整治变相设立和实施许可，重点规范备案事项，分类梳理备案事项清单。持续规范中介服务，按照网上“中介超市”服务标准，推进行政管理中介服务事项“应进尽进”，鼓励引导其他中介服务事项进驻，规范参与“中介超市”采购活动的市场主体行为。全面运用“重庆市政务服务事项管理系统”，规范事项调整流程，实现数据同源、动态更新和联动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黑体_GBK" w:cs="Times New Roman"/>
          <w:sz w:val="32"/>
          <w:szCs w:val="32"/>
        </w:rPr>
        <w:t>五、优化提升“渝快办”沙坪坝子站功能。</w:t>
      </w:r>
      <w:r>
        <w:rPr>
          <w:rFonts w:hint="default" w:ascii="Times New Roman" w:hAnsi="Times New Roman" w:eastAsia="方正仿宋_GBK" w:cs="Times New Roman"/>
          <w:sz w:val="32"/>
          <w:szCs w:val="32"/>
        </w:rPr>
        <w:t>持续优化“渝快办”沙坪坝子站改版升级，综合运用大数据和人工智能技术，拓展智能导办、智能审批、“不见面审批”等智慧政务应用，提升“渝快办”平台个人和企业服务体验。升级改造“渝快办”平台移动端沙坪坝专区，实现更多功能掌上可办。建立办事指南、办事流程常态化查错纠错机制，窗口人员定期“网跑一次流程、网巡一次纠错”，以切身体验补短板、强弱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六、扩大电子证照应用领域。</w:t>
      </w:r>
      <w:r>
        <w:rPr>
          <w:rFonts w:hint="default" w:ascii="Times New Roman" w:hAnsi="Times New Roman" w:eastAsia="方正仿宋_GBK" w:cs="Times New Roman"/>
          <w:sz w:val="32"/>
          <w:szCs w:val="32"/>
        </w:rPr>
        <w:t>推进高频电子证照在政务服务窗口、监管执法现场和社会化领域的场景应用。按市局统一安排部署，持续提升在线身份认证、电子营业执照、电子发票、电子收据应用覆盖率，重点加强在货物报关、银行开户、货款、项目申报、招投标、政府采购等领域应用。推广“免证办”服务，通过直接取消证照材料或数据共享、在线核验等方式，推动实现我区部门核发的材料免于提交，能够提供电子证照的一律免于提交实体证照。建设电子签名印章系统，推广电子签名、电子印章应用，为全流程“无纸化”工作打下坚实基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七、优化经常性涉企服务。</w:t>
      </w:r>
      <w:r>
        <w:rPr>
          <w:rFonts w:hint="default" w:ascii="Times New Roman" w:hAnsi="Times New Roman" w:eastAsia="方正仿宋_GBK" w:cs="Times New Roman"/>
          <w:sz w:val="32"/>
          <w:szCs w:val="32"/>
        </w:rPr>
        <w:t>深化“证照分离”改革，推动“照后减证”和简化审批，推行告知承诺制和容缺受理服务模式，落实“双告知”“双跟踪”“双反馈”许可办理机制，加快实现信息共享和业务协同。在低风险生产许可等领域推行告知承诺制，实现“一诺即准营”。试点实施市场主体登记确认制。优化开办企业“一网通”和“E企办”。推行企业办事“一照通办”，仅凭营业执照即可办理部分高频审批服务事项。推动“一照多址”“一址多照”。在不涉及公共安全和人民群众生命健康的领域，探索“一证多址”改革。探索推行“一业一证”改革，实现“一证准营”、跨地区互通互认。持续优化企业办税服务，深化“多税合一”申报改革。深入推进“一企一专班”工作，建设沙坪坝区企业服务平台，对企业和政策分类画像，实现政策智能匹配、精准推送，企业应享尽享、免申即享。设立惠企政策集中办理窗口，推动财政补贴、税费减免、稳岗扩岗等惠企政策一窗申报、快速兑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八、持续优化投资和建设项目审批服务。</w:t>
      </w:r>
      <w:r>
        <w:rPr>
          <w:rFonts w:hint="default" w:ascii="Times New Roman" w:hAnsi="Times New Roman" w:eastAsia="方正仿宋_GBK" w:cs="Times New Roman"/>
          <w:sz w:val="32"/>
          <w:szCs w:val="32"/>
        </w:rPr>
        <w:t>深化投资审批制度改革，分类规范审批程序、压减审批要件、简化技术审查事项。市级政府投资项目实行“一本报告管前期”，推行技术审查与行政审批适度分离，强化项目决策与建设条件的协同。深化社会投资项目“用地清单制”改革，在土地供应前开展相关评估工作和现状普查。深化“多规合一”业务协同。持续推进工程建设项目审批制度改革，清理审批中的“体外循环”“隐性审批”等行为。整合工程建设项目审批全流程涉及的测绘事项，实现“一次委托、联合测绘、成果共享”。优化工程建设项目联合验收实施方式。探索建立重大项目有关政务服务集成化办理机制。推进承诺制信任审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九、依法有序推进放权赋能。</w:t>
      </w:r>
      <w:r>
        <w:rPr>
          <w:rFonts w:hint="default" w:ascii="Times New Roman" w:hAnsi="Times New Roman" w:eastAsia="方正仿宋_GBK" w:cs="Times New Roman"/>
          <w:sz w:val="32"/>
          <w:szCs w:val="32"/>
        </w:rPr>
        <w:t>将点多面广、基层迫切需要且能有效承接的执法权赋予乡镇（街道），进一步向经济发达镇放权赋能，乡镇（街道）有效承接上级或部门放权赋能事项。强化依法依规、需求导向、能力匹配、应放尽放和全程监管，根据市级行政权力事项下放工作规范，提升放权整体性协同性精准性，确保放得下、接得住、管得好。组织开展行政权力下放和承接运行情况自查评估，对取消和下放行政许可事项的事中事后监管情况进行“回头看”，动态调整放权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十、进一步提高监管效能。</w:t>
      </w:r>
      <w:r>
        <w:rPr>
          <w:rFonts w:hint="default" w:ascii="Times New Roman" w:hAnsi="Times New Roman" w:eastAsia="方正仿宋_GBK" w:cs="Times New Roman"/>
          <w:sz w:val="32"/>
          <w:szCs w:val="32"/>
        </w:rPr>
        <w:t>推动完善监管规则和标准，夯实监管责任。加强审管衔接，推进审批和监管信息实时共享。健全以“双随机、一公开”监管为基本手段、以重点监管为补充、以信用监管为基础的新型监管机制。探索将有关联的多个监管事项整合为综合监管“一件事”，深化“进一次门、查多项事”。推进信用分级分类监管，健全守信激励和失信惩戒机制。深化“互联网+监管”，加强监管数据归集共享和应用，探索形成市场主体全生命周期监管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黑体_GBK" w:cs="Times New Roman"/>
          <w:sz w:val="32"/>
          <w:szCs w:val="32"/>
        </w:rPr>
        <w:t>十一、提升“一站式”服务集中度。</w:t>
      </w:r>
      <w:r>
        <w:rPr>
          <w:rFonts w:hint="default" w:ascii="Times New Roman" w:hAnsi="Times New Roman" w:eastAsia="方正仿宋_GBK" w:cs="Times New Roman"/>
          <w:sz w:val="32"/>
          <w:szCs w:val="32"/>
        </w:rPr>
        <w:t>统一集中提供政务服务的综合性场所名称，区政务服务大厅更名为区政务服务中心，原各部门专厅更名为区政务服务中心XX分中心，乡镇（街道）为沙坪坝区XX乡镇（街道）便民服务中心，村（社区）为XX乡镇（街道）XX村(社区)便民服务站。建立政务服务中心进驻事项负面清单制度，除法律法规另有规定、涉及国家秘密、场地特殊要求等情形外，政务服务事项均应纳入区政务服务中心集中办理，确保各部门分中心、各基层站所事项中心都可办。确不具备集中进驻条件的，需纳入政务服务中心一体化管理。积极推进水电气讯、公证、法律服务等事项和中央在渝单位事项进驻政务服务中心，并逐步向其他便民服务领域延伸，提供“一站式”服务。集中进驻事项必须在中心实质运行，严禁“明进暗不进”。深化部门业务综合授权的“首席代表”制度，推进更多事项当场办理、简单事项即时办结。推动无差别综合窗口和分领域综合窗口从重数量向提质量转变。持续加强便民服务中心（站）服务能力建设，推进民生高频政务服务事项在便民服务中心当场办理、简单事项即时办结。持续强化便民服务中心“一站式”功能建设，鼓励公安、市场窗口进驻中心，实现中心可办理户籍、身份证、市场主体注册等，真正方便群众、市场主体办事。规范提升车辆检测站服务，优化检测流程和材料，增加车检服务供给。</w:t>
      </w:r>
    </w:p>
    <w:p>
      <w:pPr>
        <w:pStyle w:val="5"/>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十二、规范网上办事服务。</w:t>
      </w:r>
      <w:r>
        <w:rPr>
          <w:rFonts w:hint="default" w:ascii="Times New Roman" w:hAnsi="Times New Roman" w:eastAsia="方正仿宋_GBK" w:cs="Times New Roman"/>
          <w:sz w:val="32"/>
          <w:szCs w:val="32"/>
        </w:rPr>
        <w:t>规范网上办事指引。进一步完善网上办事指南引导功能，优化页面设计、简化办事操作、提高系统稳定性，规范在线咨询、引导服务，提供更加简明易懂实用的办事指南和网上办事操作说明，创新在线导办帮办、智能客服等方式，辅助在线办理，解决网上办事看不懂、操作不便、容易出错、系统卡顿等问题，实现“一看就能懂、一点就能办”。提升网上办事深度。深化政务服务“一网通办”，加大办事环节精简和流程再造力度，提升政务服务事项网上办理深度，提供申请受理、审查决定、结果送达等全流程、全环节网上服务，推动更多适合网上办理的政务服务事项由网上可办向全程网办、好办易办转变。</w:t>
      </w:r>
    </w:p>
    <w:p>
      <w:pPr>
        <w:pStyle w:val="5"/>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十三、规范政务服务线上线下融合发展。</w:t>
      </w:r>
      <w:r>
        <w:rPr>
          <w:rFonts w:hint="default" w:ascii="Times New Roman" w:hAnsi="Times New Roman" w:eastAsia="方正仿宋_GBK" w:cs="Times New Roman"/>
          <w:sz w:val="32"/>
          <w:szCs w:val="32"/>
        </w:rPr>
        <w:t>线上线下并行提供服务，满足企业和群众的多样化办事需求。对已实现线上办理的政务服务事项，原则上要同步提供线下窗口办事服务，由企业和群众自主选择办理渠道。已在线收取申请材料或通过部门间共享能获取规范化电子材料的，不得要求申请人重复提交纸质材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十四、完善“一卡通一码通”服务体系。</w:t>
      </w:r>
      <w:r>
        <w:rPr>
          <w:rFonts w:hint="default" w:ascii="Times New Roman" w:hAnsi="Times New Roman" w:eastAsia="方正仿宋_GBK" w:cs="Times New Roman"/>
          <w:sz w:val="32"/>
          <w:szCs w:val="32"/>
        </w:rPr>
        <w:t>推进居民服务各类卡、码、证融合，发行应用居民服务卡（第三代社会保障卡），建设“渝快码”。针对医保购药、交通出行、旅游观光、文化体验、社区管理等高频应用领域，推出一批线下刷卡、线上扫码获取服务的应用场景，并逐步向个人税费</w:t>
      </w:r>
      <w:r>
        <w:rPr>
          <w:rFonts w:hint="eastAsia" w:ascii="Times New Roman" w:hAnsi="Times New Roman" w:eastAsia="方正仿宋_GBK" w:cs="Times New Roman"/>
          <w:sz w:val="32"/>
          <w:szCs w:val="32"/>
          <w:lang w:eastAsia="zh-CN"/>
        </w:rPr>
        <w:t>交纳</w:t>
      </w:r>
      <w:r>
        <w:rPr>
          <w:rFonts w:hint="default" w:ascii="Times New Roman" w:hAnsi="Times New Roman" w:eastAsia="方正仿宋_GBK" w:cs="Times New Roman"/>
          <w:sz w:val="32"/>
          <w:szCs w:val="32"/>
        </w:rPr>
        <w:t>、生活</w:t>
      </w:r>
      <w:r>
        <w:rPr>
          <w:rFonts w:hint="eastAsia" w:ascii="Times New Roman" w:hAnsi="Times New Roman" w:eastAsia="方正仿宋_GBK" w:cs="Times New Roman"/>
          <w:sz w:val="32"/>
          <w:szCs w:val="32"/>
          <w:lang w:eastAsia="zh-CN"/>
        </w:rPr>
        <w:t>交费</w:t>
      </w:r>
      <w:r>
        <w:rPr>
          <w:rFonts w:hint="default" w:ascii="Times New Roman" w:hAnsi="Times New Roman" w:eastAsia="方正仿宋_GBK" w:cs="Times New Roman"/>
          <w:sz w:val="32"/>
          <w:szCs w:val="32"/>
        </w:rPr>
        <w:t>、非税</w:t>
      </w:r>
      <w:r>
        <w:rPr>
          <w:rFonts w:hint="eastAsia" w:ascii="Times New Roman" w:hAnsi="Times New Roman" w:eastAsia="方正仿宋_GBK" w:cs="Times New Roman"/>
          <w:sz w:val="32"/>
          <w:szCs w:val="32"/>
          <w:lang w:eastAsia="zh-CN"/>
        </w:rPr>
        <w:t>交纳</w:t>
      </w:r>
      <w:r>
        <w:rPr>
          <w:rFonts w:hint="default" w:ascii="Times New Roman" w:hAnsi="Times New Roman" w:eastAsia="方正仿宋_GBK" w:cs="Times New Roman"/>
          <w:sz w:val="32"/>
          <w:szCs w:val="32"/>
        </w:rPr>
        <w:t>、就医住院、待遇申领、罚款缴纳等领域延伸。推进“渝快码”扫码个人信息及证照免提交等模式在政府公共服务、社会治理等其他领域应用。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十五、高效办成“一件事”。</w:t>
      </w:r>
      <w:r>
        <w:rPr>
          <w:rFonts w:hint="default" w:ascii="Times New Roman" w:hAnsi="Times New Roman" w:eastAsia="方正仿宋_GBK" w:cs="Times New Roman"/>
          <w:sz w:val="32"/>
          <w:szCs w:val="32"/>
        </w:rPr>
        <w:t>贯彻落实“一件事”集成服务改革相关要求，赋能“一件事”牵头部门优化管理，提升实际办理率和全程网办能力。拓展“一件事”集成服务改革覆盖面，围绕自然人和法人全生命周期，重点推进大学生创新创业、人才服务套餐打造。</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十六、持续推动“减证便民”。</w:t>
      </w:r>
      <w:r>
        <w:rPr>
          <w:rFonts w:hint="default" w:ascii="Times New Roman" w:hAnsi="Times New Roman" w:eastAsia="方正仿宋_GBK" w:cs="Times New Roman"/>
          <w:sz w:val="32"/>
          <w:szCs w:val="32"/>
        </w:rPr>
        <w:t>紧密对接市级确需保留的证明事项清单编制情况，梳理完善我区确需保留的证明事项。行政机关在办理依申请类行政权力事项时，不得索要清单之外的证明。建设沙坪坝区“无证明”共享服务应用系统，实现证明事项在线开具，推动证明事项“免提交”。落地一批实行告知承诺制的证明事项，群众只需“承诺”即可办理相关行政事项。优化公证服务，实现更多高频公证服务事项线上“一网通办”、线下“最多跑一次”，推动降低偏高的公证事项收费标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十七、拓展政务便民服务。</w:t>
      </w:r>
      <w:r>
        <w:rPr>
          <w:rFonts w:hint="default" w:ascii="Times New Roman" w:hAnsi="Times New Roman" w:eastAsia="方正仿宋_GBK" w:cs="Times New Roman"/>
          <w:sz w:val="32"/>
          <w:szCs w:val="32"/>
        </w:rPr>
        <w:t>推动与企业和群众日常生产生活紧密相关的高频政务服务事项向乡镇（街道）延伸，便民服务事项向村（社区）下沉，实现更多事项“就近办”。重点关注老年人、残疾人等特殊群体需求，加强无障碍环境建设和改造，开通绿色通道，建立健全帮代办服务机制，设置专人落实帮办代办，梳理公布帮代办事项。探索“群众点单+邮政上门”服务。建立区级政务服务数字地图，提供政务服务中心导航、预约、等候人数提醒、等候时间预估等服务。探索政务服务终端统一管理制度、集成服务标准，规范政务服务中心及基层单位自助机设置。推动“政务+邮政”“政务+银行”，将更多服务事项接入邮政、银行网点和通信自助营业厅自助终端。鼓励拓展工作日延时、休息日预约等服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十八、实施政务服务技能提升行动。</w:t>
      </w:r>
      <w:r>
        <w:rPr>
          <w:rFonts w:hint="default" w:ascii="Times New Roman" w:hAnsi="Times New Roman" w:eastAsia="方正仿宋_GBK" w:cs="Times New Roman"/>
          <w:sz w:val="32"/>
          <w:szCs w:val="32"/>
        </w:rPr>
        <w:t>鼓励开设“政务服务大讲堂”，支持各部门、镇街互评互学互鉴。结合“我为群众办实事”实践活动，开展政务服务“走基层、转作风”活动，推进创建基层政务服务示范窗口、示范单位，鼓励更多镇街打造政务服务品牌。健全政务服务工作错情提醒约束机制，加强政务服务窗口工作效能监管和结果运用，完善奖惩激励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黑体_GBK" w:cs="Times New Roman"/>
          <w:sz w:val="32"/>
          <w:szCs w:val="32"/>
        </w:rPr>
        <w:t>十九、积极回应群众关切。</w:t>
      </w:r>
      <w:r>
        <w:rPr>
          <w:rFonts w:hint="default" w:ascii="Times New Roman" w:hAnsi="Times New Roman" w:eastAsia="方正仿宋_GBK" w:cs="Times New Roman"/>
          <w:sz w:val="32"/>
          <w:szCs w:val="32"/>
        </w:rPr>
        <w:t>完善“渝快办”平台智能服务知识库。在区政务服务中心和各部门分中心设置“办不成事”反映窗口，提供疑难复杂问题兜底服务。建立健全对群众投诉问题的办理程序和督办机制。 加强各政务服务场所政务公开专区建设，完善专区查阅、咨询、投诉、依申请公开机制，有效保障群众知情权，提升网民查阅体验。提升区政府门户网站和“渝快办”政务公开内容的精准性。用好“好差评”制度，实现政务服务事项、评价对象、服务渠道“三个全覆盖”，以及“好差评”联动反馈、“差评”核实整改和整改回访“三个100%”。</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黑体_GBK" w:cs="Times New Roman"/>
          <w:sz w:val="32"/>
          <w:szCs w:val="32"/>
        </w:rPr>
        <w:t>二十、鼓励探索创新。</w:t>
      </w:r>
      <w:r>
        <w:rPr>
          <w:rFonts w:hint="default" w:ascii="Times New Roman" w:hAnsi="Times New Roman" w:eastAsia="方正仿宋_GBK" w:cs="Times New Roman"/>
          <w:sz w:val="32"/>
          <w:szCs w:val="32"/>
        </w:rPr>
        <w:t>深入贯彻“一网通办”“一窗综办”“最多跑一次”等改革部署要求，学习借鉴先进发达地区改革创新、先行先试的经验和成果，积极探索有关改革试点任务和路径举措，激发改革潜力和创造力，对改革试点成效明显的，给予表扬激励。</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二十一、加强宣传引导。</w:t>
      </w:r>
      <w:r>
        <w:rPr>
          <w:rFonts w:hint="default" w:ascii="Times New Roman" w:hAnsi="Times New Roman" w:eastAsia="方正仿宋_GBK" w:cs="Times New Roman"/>
          <w:sz w:val="32"/>
          <w:szCs w:val="32"/>
        </w:rPr>
        <w:t>认真梳理总结政务服务工作成效和经验做法，充分运用“上党报、上专刊、上电视、上公交、上新媒体”和进公共场所等多种形式，加大对“渝快办”政务服务的宣传推介力度，让企业和群众知用、好用、爱用，争取更多先进成果在更大范围得到复制推广。</w:t>
      </w:r>
    </w:p>
    <w:p>
      <w:pPr>
        <w:pStyle w:val="5"/>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rPr>
      </w:pPr>
    </w:p>
    <w:p>
      <w:pPr>
        <w:pStyle w:val="5"/>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eastAsia="方正仿宋_GBK"/>
          <w:sz w:val="32"/>
          <w:szCs w:val="32"/>
        </w:rPr>
      </w:pPr>
      <w:r>
        <w:rPr>
          <w:rFonts w:hint="default" w:ascii="Times New Roman" w:hAnsi="Times New Roman" w:eastAsia="方正仿宋_GBK" w:cs="Times New Roman"/>
          <w:sz w:val="32"/>
          <w:szCs w:val="32"/>
        </w:rPr>
        <w:t>附件： 2022年沙坪坝区政务服务工作任务分解表</w:t>
      </w:r>
    </w:p>
    <w:p>
      <w:pPr>
        <w:keepNext w:val="0"/>
        <w:keepLines w:val="0"/>
        <w:pageBreakBefore w:val="0"/>
        <w:widowControl w:val="0"/>
        <w:kinsoku/>
        <w:wordWrap/>
        <w:overflowPunct/>
        <w:topLinePunct w:val="0"/>
        <w:autoSpaceDE/>
        <w:autoSpaceDN/>
        <w:bidi w:val="0"/>
        <w:adjustRightInd w:val="0"/>
        <w:snapToGrid/>
        <w:spacing w:line="570" w:lineRule="exact"/>
        <w:ind w:right="0" w:rightChars="0" w:firstLine="640" w:firstLineChars="200"/>
        <w:jc w:val="both"/>
        <w:textAlignment w:val="auto"/>
        <w:rPr>
          <w:rFonts w:hint="eastAsia" w:eastAsia="方正仿宋_GBK"/>
          <w:sz w:val="32"/>
          <w:szCs w:val="32"/>
          <w:lang w:val="en-US" w:eastAsia="zh-CN"/>
        </w:rPr>
      </w:pPr>
    </w:p>
    <w:p>
      <w:pPr>
        <w:pStyle w:val="5"/>
        <w:ind w:firstLine="210"/>
        <w:jc w:val="both"/>
        <w:rPr>
          <w:rFonts w:hint="eastAsia" w:ascii="方正黑体_GBK" w:hAnsi="方正黑体_GBK" w:eastAsia="方正黑体_GBK" w:cs="方正黑体_GBK"/>
        </w:rPr>
      </w:pPr>
      <w:r>
        <w:rPr>
          <w:rFonts w:hint="eastAsia" w:eastAsia="方正仿宋_GBK"/>
          <w:sz w:val="32"/>
          <w:szCs w:val="32"/>
        </w:rPr>
        <w:br w:type="page"/>
      </w:r>
      <w:r>
        <w:rPr>
          <w:rFonts w:hint="eastAsia" w:ascii="方正黑体_GBK" w:hAnsi="方正黑体_GBK" w:eastAsia="方正黑体_GBK" w:cs="方正黑体_GBK"/>
          <w:sz w:val="32"/>
          <w:szCs w:val="32"/>
        </w:rPr>
        <w:t>附件</w:t>
      </w:r>
    </w:p>
    <w:p>
      <w:pPr>
        <w:pStyle w:val="5"/>
        <w:ind w:firstLine="44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2022年沙坪坝区政务服务工作任务分解表</w:t>
      </w:r>
    </w:p>
    <w:tbl>
      <w:tblPr>
        <w:tblStyle w:val="15"/>
        <w:tblW w:w="9354" w:type="dxa"/>
        <w:jc w:val="center"/>
        <w:tblLayout w:type="fixed"/>
        <w:tblCellMar>
          <w:top w:w="0" w:type="dxa"/>
          <w:left w:w="108" w:type="dxa"/>
          <w:bottom w:w="0" w:type="dxa"/>
          <w:right w:w="108" w:type="dxa"/>
        </w:tblCellMar>
      </w:tblPr>
      <w:tblGrid>
        <w:gridCol w:w="1448"/>
        <w:gridCol w:w="3647"/>
        <w:gridCol w:w="1478"/>
        <w:gridCol w:w="1250"/>
        <w:gridCol w:w="1531"/>
      </w:tblGrid>
      <w:tr>
        <w:tblPrEx>
          <w:tblCellMar>
            <w:top w:w="0" w:type="dxa"/>
            <w:left w:w="108" w:type="dxa"/>
            <w:bottom w:w="0" w:type="dxa"/>
            <w:right w:w="108" w:type="dxa"/>
          </w:tblCellMar>
        </w:tblPrEx>
        <w:trPr>
          <w:trHeight w:val="23" w:hRule="atLeast"/>
          <w:jc w:val="center"/>
        </w:trPr>
        <w:tc>
          <w:tcPr>
            <w:tcW w:w="15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重点任务</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具体工作</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牵头单位</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配合单位</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完成时限</w:t>
            </w:r>
          </w:p>
        </w:tc>
      </w:tr>
      <w:tr>
        <w:tblPrEx>
          <w:tblCellMar>
            <w:top w:w="0" w:type="dxa"/>
            <w:left w:w="108" w:type="dxa"/>
            <w:bottom w:w="0" w:type="dxa"/>
            <w:right w:w="108" w:type="dxa"/>
          </w:tblCellMar>
        </w:tblPrEx>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一、抓紧抓实营商环境创新试点</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紧密对接国家、市级首批改革事项，推进全链条优</w:t>
            </w:r>
            <w:r>
              <w:rPr>
                <w:rFonts w:hint="eastAsia" w:ascii="方正仿宋_GBK" w:eastAsia="方正仿宋_GBK"/>
                <w:kern w:val="0"/>
                <w:sz w:val="21"/>
                <w:szCs w:val="21"/>
                <w:lang w:bidi="ar"/>
              </w:rPr>
              <w:t>化审批、全过程公正监管、提升服务，配合推动我市“1+N”实施方案体系落地落实。</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区发展改革委、</w:t>
            </w:r>
            <w:r>
              <w:rPr>
                <w:rFonts w:hint="eastAsia" w:ascii="方正仿宋_GBK" w:eastAsia="方正仿宋_GBK"/>
                <w:sz w:val="21"/>
                <w:szCs w:val="21"/>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积极争取创新试点，自主探索，形成一系列可复制、可推广的制度创新成果。</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区发展改革委、</w:t>
            </w:r>
            <w:r>
              <w:rPr>
                <w:rFonts w:hint="eastAsia" w:ascii="方正仿宋_GBK" w:eastAsia="方正仿宋_GBK"/>
                <w:sz w:val="21"/>
                <w:szCs w:val="21"/>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建立分层分级调度、督查督办、进度通报、工作约谈和考核问效等工作机制，清单化项目化推进各项改革任务。</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区发展改革委、</w:t>
            </w:r>
            <w:r>
              <w:rPr>
                <w:rFonts w:hint="eastAsia" w:ascii="方正仿宋_GBK" w:eastAsia="方正仿宋_GBK"/>
                <w:sz w:val="21"/>
                <w:szCs w:val="21"/>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二、深化“全渝通办”</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全面推进政务服务方式和流程系统性重塑，持续推动减环节、减材料、减时限、减跑动。</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通过统一事项清单、办事指南、审核要点、工作规程、综合窗口设置和系统支撑，优化数字政务服务供给，构建“标准统一、就近交件、协同办理、一次办成”的政务服务新模式。</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2022年8月前完成并持续推进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基于“渝快办”平台开设“全渝通办”线上服务专区，线下设置“全渝通办”综合窗口，实现“一窗受理、综合服务”。</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2022年8月前完成并持续推进</w:t>
            </w:r>
          </w:p>
        </w:tc>
      </w:tr>
      <w:tr>
        <w:tblPrEx>
          <w:tblCellMar>
            <w:top w:w="0" w:type="dxa"/>
            <w:left w:w="108" w:type="dxa"/>
            <w:bottom w:w="0" w:type="dxa"/>
            <w:right w:w="108" w:type="dxa"/>
          </w:tblCellMar>
        </w:tblPrEx>
        <w:trPr>
          <w:trHeight w:val="1078"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对与自然人相关的事项，积极探索不受行政区划、户籍身份及常住地限制的办事规则，推进办事结果就地立等可取。</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1960"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三、推进“跨省通办”</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深化成渝地区双城经济圈“放管服”改革，深化“放管服”改革第一批事项和“川渝通办”第一、二批事项办理，领取“放管服”改革第二批和“川渝通办”第三批事项清单、电子证照互认共享第一批清单。</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1322"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进一步拓展我区“川渝通办”、“西南五省通办”等周边省市区通办事项和合作，力争在更大范围、更广领域、更深层次实现“跨省通办”。</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四、规范实施行政许可和备案管理</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依据《法律、行政法规、国务院决定设定的行政许可事项清单（2022年版）》（国办发〔2022〕2号），领取和发布我区区级部门和乡镇行政许可事项清单。</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2022年6月前完成</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整治变相设立和实施许可，重点规范备案事项，分类梳理备案事项清单。</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持续规范中介服务，按照网上“中介超市”服务标准，推进行政管理中介服务事项“应进尽进”，鼓励引导其他中介服务事项进驻，规范参与“中介超市”采购活动的市场主体行为。</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全面运用“重庆市政务服务事项管理系统”，规范事项调整流程，实现数据同源、动态更新和联动管理。</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五、优化提升“渝快办”沙坪坝子站功能</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优化“渝快办”沙坪坝子站改版升级，综合运用大数据和人工智能技术，拓展智能导办、智能审批、“不见面审批”等智慧政务应用，提升“渝快办”平台个人和企业服务体验。升级改造“渝快办”平台移动端沙坪坝专区，实现更多功能掌上可办。</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建立办事指南、办事流程常态化查错纠错机制，窗口人员定期“网跑一次流程、网巡一次纠错”，以切身体验补短板、强弱项。</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六、扩大电子证照应用领域</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推进高频电子证照在政务服务窗口、监管执法现场和社会化领域的场景应用。</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kern w:val="0"/>
                <w:sz w:val="21"/>
                <w:szCs w:val="21"/>
                <w:lang w:bidi="ar"/>
              </w:rPr>
              <w:t>按市局统一安排部署，持续提升在线身份认证、电子营业执照、电子发</w:t>
            </w:r>
            <w:r>
              <w:rPr>
                <w:rFonts w:hint="eastAsia" w:ascii="方正仿宋_GBK" w:eastAsia="方正仿宋_GBK"/>
                <w:color w:val="000000"/>
                <w:kern w:val="0"/>
                <w:sz w:val="21"/>
                <w:szCs w:val="21"/>
                <w:lang w:bidi="ar"/>
              </w:rPr>
              <w:t>票、电子收据应用覆盖率，重点加强在货物报关、银行开户、货款、项目申报、招投标、政府采购等领域应用。</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区公安分局、区财政局、区市场监管局、区税务局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2022年8月前完成并持续推进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推广“免证办”服务，通过直接取消证照材料或数据共享、在线核验等方式，推动实现我区部门核发的材料免于提交，能够提供电子证照的一律免于提交实体证照。</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建设电子签名印章系统，推广电子签名、电子印章应用，为全流程“无纸化”工作打下坚实基础。</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七、优化经常性涉企服务</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深化“证照分离”改革，推动“照后减证”和简化审批，推行告知承诺制和容缺受理服务模式，落实“双告知”“双跟踪”“双反馈”许可办理机制，加快实现信息共享和业务协同。</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区市场监管局、区经济信息委（大数据局）、区政务服务办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在低风险生产许可等领域推行告知承诺制，实现“一诺即准营”。</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区发展改革委、区市场监管局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2022年12月前</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试点实施市场主体登记确认制。</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区市场监管局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2022年12月前</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优化开办企业“一网通”和“E企办”。推行企业办事“一照通办”，仅凭营业执照即可办理部分高频审批服务事项。推动“一照多址”“一址多照”。在不涉及公共安全和人民群众生命健康的领域，探索“一证多址”改革。</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区市场监管局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方正仿宋_GBK" w:eastAsia="方正仿宋_GBK"/>
                <w:color w:val="000000"/>
                <w:sz w:val="21"/>
                <w:szCs w:val="21"/>
              </w:rPr>
            </w:pP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探索推行“一业一证”改革，实现“一证准营”、跨地区互通互认。</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区市场监管局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方正仿宋_GBK" w:eastAsia="方正仿宋_GBK"/>
                <w:color w:val="000000"/>
                <w:sz w:val="21"/>
                <w:szCs w:val="21"/>
              </w:rPr>
            </w:pP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2022年12月前</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持续优化企业办税服务，深化“多税合一”申报改革。</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区税务局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深入推进“一企一专班”工作，建设沙坪坝区企业服务平台，对企业和政策分类画像，实现政策智能匹配、精准推送，企业应享尽享、免申即享。设立惠企政策集中办理窗口，推动财政补贴、税费减免、稳岗扩岗等惠企政策一窗申报、快速兑现。</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区政府办公室</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八、持续优化投资和建设项目审批服务</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深化投资审批制度改革，分类规范审批程序、压减审批要件、简化技术审查事项。</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区发展改革委</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市级政府投资项目实行“一本报告管前期”，推行技术审查与行政审批适度分离，强化项目决策与建设条件的协同。</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区发展改革委</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深化社会投资项目“用地清单制”改革，在土地供应前开展相关评估工作和现状普查。</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区规划自然资源局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sz w:val="21"/>
                <w:szCs w:val="21"/>
              </w:rPr>
            </w:pPr>
            <w:r>
              <w:rPr>
                <w:rFonts w:hint="eastAsia" w:ascii="方正仿宋_GBK" w:eastAsia="方正仿宋_GBK"/>
                <w:kern w:val="0"/>
                <w:sz w:val="21"/>
                <w:szCs w:val="21"/>
                <w:lang w:bidi="ar"/>
              </w:rPr>
              <w:t>深化“多规合一”业务协同。</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区规划自然资源局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sz w:val="21"/>
                <w:szCs w:val="21"/>
              </w:rPr>
            </w:pPr>
            <w:r>
              <w:rPr>
                <w:rFonts w:hint="eastAsia" w:ascii="方正仿宋_GBK" w:eastAsia="方正仿宋_GBK"/>
                <w:kern w:val="0"/>
                <w:sz w:val="21"/>
                <w:szCs w:val="21"/>
                <w:lang w:bidi="ar"/>
              </w:rPr>
              <w:t>持续推进工程建设项目审批制度改革，清理审批中的“体外循环”“隐性审批”等行为。</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区住房城乡建委</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sz w:val="21"/>
                <w:szCs w:val="21"/>
              </w:rPr>
            </w:pPr>
            <w:r>
              <w:rPr>
                <w:rFonts w:hint="eastAsia" w:ascii="方正仿宋_GBK" w:eastAsia="方正仿宋_GBK"/>
                <w:kern w:val="0"/>
                <w:sz w:val="21"/>
                <w:szCs w:val="21"/>
                <w:lang w:bidi="ar"/>
              </w:rPr>
              <w:t>整合工程建设项目审批全流程涉及的测绘事项，实现“一次委托、联合测绘、成果共享”。</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区住房城乡建委、区规划自然资源局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sz w:val="21"/>
                <w:szCs w:val="21"/>
              </w:rPr>
            </w:pPr>
            <w:r>
              <w:rPr>
                <w:rFonts w:hint="eastAsia" w:ascii="方正仿宋_GBK" w:eastAsia="方正仿宋_GBK"/>
                <w:kern w:val="0"/>
                <w:sz w:val="21"/>
                <w:szCs w:val="21"/>
                <w:lang w:bidi="ar"/>
              </w:rPr>
              <w:t>优化工程建设项目联合验收实施方式。</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区住房城乡建委</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探索建立重大项目有关政务服务集成化办理机制。</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区发展改革委</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九、依法有序推进放权赋能</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将点多面广、基层迫切需要且能有效承接的执法权赋予乡镇（街道），乡镇（街道）有效承接上级或部门放权赋能事项。</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区司法局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强化依法依规、需求导向、能力匹配、应放尽放和全程监管，根据市级行政权力事项下放工作规范，提升放权整体性协同性精准性，确保放得下、接得住、管得好。</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区司法局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sz w:val="21"/>
                <w:szCs w:val="21"/>
              </w:rPr>
            </w:pPr>
            <w:r>
              <w:rPr>
                <w:rFonts w:hint="eastAsia" w:ascii="方正仿宋_GBK" w:eastAsia="方正仿宋_GBK"/>
                <w:kern w:val="0"/>
                <w:sz w:val="21"/>
                <w:szCs w:val="21"/>
                <w:lang w:bidi="ar"/>
              </w:rPr>
              <w:t>组织开展行政权力下放和承接运行情况自查评估，对取消和下放行政许可事项的事中事后监管情况进行“回头看”，动态调整放权事项。</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sz w:val="21"/>
                <w:szCs w:val="21"/>
              </w:rPr>
            </w:pPr>
            <w:r>
              <w:rPr>
                <w:rFonts w:hint="eastAsia" w:ascii="方正仿宋_GBK" w:eastAsia="方正仿宋_GBK"/>
                <w:kern w:val="0"/>
                <w:sz w:val="21"/>
                <w:szCs w:val="21"/>
                <w:lang w:bidi="ar"/>
              </w:rPr>
              <w:t>区司法局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十、进一步提高监管效能</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推动完善监管规则和标准，夯实监管责任。</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区市场监管局、区发展改革委</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加强审管衔接，推进审批和监管信息实时共享。</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区市场监管局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健全以“双随机、一公开”监管为基本手段、以重点监管为补充、以信用监管为基础的新型监管机制。</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区市场监管局、区发展改革委</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探索将有关联的多个监管事项整合为综合监管“一件事”，深化“进一次门、查多项事”。</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区市场监管局、区发展改革委</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65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推进信用分级分类监管，健全守信激励和失信惩戒机制。</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区发展改革委</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区生态环境局、区农业农村委、区卫生健康委、区市场监管局、区消防救援支队、区级相关部门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1377"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深化“互联网+监管”，加强监管数据归集共享和应用，探索形成市场主体全生命周期监管链。</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区市场监管局、区政务服务办、区经济信息委（大数据局）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十一、提升“一站式”服务集中度</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统一集中提供政务服务的综合性场所名称，区政务服务大厅更名为区政务服务中心，原各部门专厅更名为区政务服务中心XX分中心，乡镇（街道）为沙坪坝区XX乡镇（街道）便民服务中心，村（社区）为XX乡镇（街道）XX村(社区)便民服务站。</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区政务服务办、区民政局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2022年8月前完成并持续推进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建立政务服务中心进驻事项负面清单制度</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2022年6月前完成并持续推进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除法律法规另有规定、涉及国家秘密、场地特殊要求等情形外，政务服务事项均应纳入区政务服务中心集中办理，确保各部门分中心、各基层站所事项中心都可办。确不具备集中进驻条件的，需纳入政务服务中心一体化管理。</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2022年8月前完成并持续推进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积极推进水电气讯、公证、法律服务等事项和中央在渝单位事项进驻政务服务中心，并逐步向其他便民服务领域延伸，提供“一站式”服务。</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区经济信息委、区司法局、区城管局</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2022年8月前完成并持续推进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集中进驻事项必须在中心实质运行，严禁“明进暗不进”。深化部门业务综合授权的“首席代表”制度，推进更多事项当场办理、简单事项即时办结。</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推动无差别综合窗口和分领域综合窗口从重数量向提质量转变。</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2022年12月前</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持续加强便民服务中心（站）服务能力建设，推进民生高频政务服务事项在便民服务中心当场办理、简单事项即时办结。</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sz w:val="21"/>
                <w:szCs w:val="21"/>
              </w:rPr>
            </w:pPr>
            <w:r>
              <w:rPr>
                <w:rFonts w:hint="eastAsia" w:ascii="方正仿宋_GBK" w:eastAsia="方正仿宋_GBK"/>
                <w:sz w:val="21"/>
                <w:szCs w:val="21"/>
              </w:rPr>
              <w:t>持续强化便民服务中心“一站式”功能建设，鼓励公安、市场窗口进驻中心，实现中心可办理户籍、身份证、市场主体注册等，真正方便群众、市场主体办事。</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sz w:val="21"/>
                <w:szCs w:val="21"/>
              </w:rPr>
            </w:pPr>
            <w:r>
              <w:rPr>
                <w:rFonts w:hint="eastAsia" w:ascii="方正仿宋_GBK" w:eastAsia="方正仿宋_GBK"/>
                <w:sz w:val="21"/>
                <w:szCs w:val="21"/>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方正仿宋_GBK" w:eastAsia="方正仿宋_GBK"/>
                <w:sz w:val="21"/>
                <w:szCs w:val="21"/>
              </w:rPr>
            </w:pPr>
            <w:r>
              <w:rPr>
                <w:rFonts w:hint="eastAsia" w:ascii="方正仿宋_GBK" w:eastAsia="方正仿宋_GBK"/>
                <w:sz w:val="21"/>
                <w:szCs w:val="21"/>
              </w:rPr>
              <w:t>区级有关部门、镇街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sz w:val="21"/>
                <w:szCs w:val="21"/>
              </w:rPr>
            </w:pPr>
            <w:r>
              <w:rPr>
                <w:rFonts w:hint="eastAsia" w:ascii="方正仿宋_GBK" w:eastAsia="方正仿宋_GBK"/>
                <w:sz w:val="21"/>
                <w:szCs w:val="21"/>
              </w:rPr>
              <w:t>2022年9月前</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规范提升车辆检测站服务，优化检测流程和材料，增加车检服务供给。</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区公安分局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方正仿宋_GBK" w:eastAsia="方正仿宋_GBK"/>
                <w:color w:val="000000"/>
                <w:sz w:val="21"/>
                <w:szCs w:val="21"/>
              </w:rPr>
            </w:pP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十二、规范网上办事服务</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规范网上办事指引。进一步完善网上办事指南引导功能，优化页面设计、简化办事操作、提高系统稳定性，规范在线咨询、引导服务，提供更加简明易懂实用的办事指南和网上办事操作说明，创新在线导办帮办、智能客服等方式，辅助在线办理，解决网上办事看不懂、操作不便、容易出错、系统卡顿等问题，实现“一看就能懂、一点就能办”。</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提升网上办事深度。深化政务服务“一网通办”，加大办事环节精简和流程再造力度，提升政务服务事项网上办理深度，提供申请受理、审查决定、结果送达等全流程、全环节网上服务，推动更多适合网上办理的政务服务事项由网上可办向全程网办、好办易办转变。</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十三、规范政务服务线上线下融合发展</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线上线下并行提供服务，满足企业和群众的多样化办事需求。对已实现线上办理的政务服务事项，原则上要同步提供线下窗口办事服务，由企业和群众自主选择办理渠道。</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已在线收取申请材料或通过部门间共享能获取规范化电子材料的，不得要求申请人重复提交纸质材料。</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十四、完善“一卡通一码通”服务体系</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推进居民服务各类卡、码、证融合，发行应用居民服务卡（第三代社会保障卡），建设“渝快码”。</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区政府办公室、区人力社保局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方正仿宋_GBK" w:eastAsia="方正仿宋_GBK"/>
                <w:color w:val="000000"/>
                <w:sz w:val="21"/>
                <w:szCs w:val="21"/>
              </w:rPr>
            </w:pP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2022年12月前</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针对医保购药、交通出行、旅游观光、文化体验、社区管理等高频应用领域，推出一批线下刷卡、线上扫码获取服务的应用场景，并逐步向个人税费</w:t>
            </w:r>
            <w:r>
              <w:rPr>
                <w:rFonts w:hint="eastAsia" w:ascii="方正仿宋_GBK" w:eastAsia="方正仿宋_GBK"/>
                <w:color w:val="000000"/>
                <w:kern w:val="0"/>
                <w:sz w:val="21"/>
                <w:szCs w:val="21"/>
                <w:lang w:eastAsia="zh-CN" w:bidi="ar"/>
              </w:rPr>
              <w:t>交纳</w:t>
            </w:r>
            <w:r>
              <w:rPr>
                <w:rFonts w:hint="eastAsia" w:ascii="方正仿宋_GBK" w:eastAsia="方正仿宋_GBK"/>
                <w:color w:val="000000"/>
                <w:kern w:val="0"/>
                <w:sz w:val="21"/>
                <w:szCs w:val="21"/>
                <w:lang w:bidi="ar"/>
              </w:rPr>
              <w:t>、生活</w:t>
            </w:r>
            <w:r>
              <w:rPr>
                <w:rFonts w:hint="eastAsia" w:ascii="方正仿宋_GBK" w:eastAsia="方正仿宋_GBK"/>
                <w:color w:val="000000"/>
                <w:kern w:val="0"/>
                <w:sz w:val="21"/>
                <w:szCs w:val="21"/>
                <w:lang w:eastAsia="zh-CN" w:bidi="ar"/>
              </w:rPr>
              <w:t>交费</w:t>
            </w:r>
            <w:r>
              <w:rPr>
                <w:rFonts w:hint="eastAsia" w:ascii="方正仿宋_GBK" w:eastAsia="方正仿宋_GBK"/>
                <w:color w:val="000000"/>
                <w:kern w:val="0"/>
                <w:sz w:val="21"/>
                <w:szCs w:val="21"/>
                <w:lang w:bidi="ar"/>
              </w:rPr>
              <w:t>、非税</w:t>
            </w:r>
            <w:r>
              <w:rPr>
                <w:rFonts w:hint="eastAsia" w:ascii="方正仿宋_GBK" w:eastAsia="方正仿宋_GBK"/>
                <w:color w:val="000000"/>
                <w:kern w:val="0"/>
                <w:sz w:val="21"/>
                <w:szCs w:val="21"/>
                <w:lang w:eastAsia="zh-CN" w:bidi="ar"/>
              </w:rPr>
              <w:t>交纳</w:t>
            </w:r>
            <w:r>
              <w:rPr>
                <w:rFonts w:hint="eastAsia" w:ascii="方正仿宋_GBK" w:eastAsia="方正仿宋_GBK"/>
                <w:color w:val="000000"/>
                <w:kern w:val="0"/>
                <w:sz w:val="21"/>
                <w:szCs w:val="21"/>
                <w:lang w:bidi="ar"/>
              </w:rPr>
              <w:t>、就医住院、待遇申领、罚款缴纳等领域延伸。</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区政府办公室</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区公安分局、区人力社保局、区交通局、区卫生健康委、区医保局、区税务局、区级有关部门、各镇街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1052"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推进“渝快码”扫码个人信息及证照免提交等模式在政府公共服务、社会治理等其他领域应用。</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区政府办公室</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1079"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十五、高效办成“一件事”</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贯彻落实“一件事”集成服务改革相关要求，赋能“一件事”牵头部门优化管理，提升实际办理率和全程网办能力。</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围绕自然人和法人全生命周期，拓展“一件事”集成服务改革覆盖面。</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十六、持续推动“减证便民”</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紧密对接市级确需保留的证明事项清单编制情况，梳理完善我区确需保留的证明事项。</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区司法局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2022年12月前</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行政机关在办理依申请类行政权力事项时，不得索要清单之外的证明。</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建设沙坪坝区“无证明”共享服务应用系统，实现证明事项在线开具，推动证明事项“免提交”。</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spacing w:val="-6"/>
                <w:kern w:val="0"/>
                <w:sz w:val="21"/>
                <w:szCs w:val="21"/>
                <w:lang w:bidi="ar"/>
              </w:rPr>
              <w:t>落地一批实行告知承诺制的证明事项，群众只需“承诺”即可办理相关行政事项。</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区司法局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2022年12月前</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优化公证服务，实现更多高频公证服务事项线上“一网通办”、线下“最多跑一次”，推动降低偏高的公证事项收费标准。</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区司法局</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2022年12月前</w:t>
            </w:r>
          </w:p>
        </w:tc>
      </w:tr>
      <w:tr>
        <w:tblPrEx>
          <w:tblCellMar>
            <w:top w:w="0" w:type="dxa"/>
            <w:left w:w="108" w:type="dxa"/>
            <w:bottom w:w="0" w:type="dxa"/>
            <w:right w:w="108" w:type="dxa"/>
          </w:tblCellMar>
        </w:tblPrEx>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十七、拓展政务便民服务</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推动与企业和群众日常生产生活紧密相关的高频政务服务事项向乡镇（街道）延伸，便民服务事项向村（社区）下沉，实现更多事项“就近办”。</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2022年12月前</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重点关注老年人、残疾人等特殊群体需求，加强无障碍环境建设和改造，开通绿色通道，建立健全帮代办服务机制，设置专人落实帮办代办，梳理公布帮代办事项。</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2022年12月前</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建立区级政务服务数字地图，提供政务服务中心导航、预约、等候人数提醒、等候时间预估等服务。</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区政府办公室</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2022年8月前</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探索政务服务终端统一管理制度、集成服务标准，规范政务服务中心及基层单位自助机设置。</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推动“政务+邮政”“政务+银行”，将更多服务事项接入邮政、银行网点和通信自助营业厅自助终端。</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鼓励拓展工作日延时、休息日预约等服务。</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十八、实施政务服务技能提升行动</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鼓励开设“政务服务大讲堂”，支持各部门、镇街互评互学互鉴。</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结合“我为群众办实事”实践活动，开展政务服务“走基层、转作风”活动，推进创建基层政务服务示范窗口、示范单位，鼓励更多镇街打造政务服务品牌。</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健全政务服务工作错情提醒约束机制，加强政务服务窗口工作效能监管和结果运用，完善奖惩激励措施。</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十九、积极回应群众关切</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完善“渝快办”平台智能服务知识库。</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在区政务服务中心和各部门分中心设置“办不成事”反映窗口，提供疑难复杂问题兜底服务。</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rPr>
                <w:rFonts w:hint="eastAsia" w:ascii="方正仿宋_GBK" w:eastAsia="方正仿宋_GBK"/>
                <w:color w:val="000000"/>
                <w:sz w:val="21"/>
                <w:szCs w:val="21"/>
              </w:rPr>
            </w:pPr>
            <w:r>
              <w:rPr>
                <w:rFonts w:hint="eastAsia" w:ascii="方正仿宋_GBK" w:eastAsia="方正仿宋_GBK"/>
                <w:color w:val="000000"/>
                <w:sz w:val="21"/>
                <w:szCs w:val="21"/>
              </w:rPr>
              <w:t>区级相关部门分中心</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2022年12月前</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 xml:space="preserve">建立健全对群众投诉问题的办理程序和督办机制。 </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区政府办公室、区政务服务办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加强各政务服务场所政务公开专区建设，完善专区查阅、咨询、投诉、依申请公开机制，有效保障群众知情权，提升网民查阅体验。</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区政府办公室</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提升区政府门户网站和“渝快办”政务公开内容的精准性。</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区政府办公室</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rPr>
          <w:trHeight w:val="23"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仿宋_GBK" w:eastAsia="方正仿宋_GBK"/>
                <w:color w:val="000000"/>
                <w:sz w:val="21"/>
                <w:szCs w:val="21"/>
              </w:rPr>
            </w:pP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用好“好差评”制度，实现政务服务事项、评价对象、服务渠道“三个全覆盖”，以及“好差评”联动反馈、“差评”核实整改和整改回访“三个100%”。</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二十、鼓励探索创新</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深入贯彻“一网通办”“一窗综办”“最多跑一次”等改革部署要求，学习借鉴先进发达地区改革创新、先行先试的经验和成果，积极探索有关改革试点任务和路径举措，激发改革潜力和创造力，对改革试点成效明显的，给予表扬激励。</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r>
        <w:tblPrEx>
          <w:tblCellMar>
            <w:top w:w="0" w:type="dxa"/>
            <w:left w:w="108" w:type="dxa"/>
            <w:bottom w:w="0" w:type="dxa"/>
            <w:right w:w="108" w:type="dxa"/>
          </w:tblCellMar>
        </w:tblPrEx>
        <w:trPr>
          <w:trHeight w:val="23" w:hRule="atLeast"/>
          <w:jc w:val="center"/>
        </w:trPr>
        <w:tc>
          <w:tcPr>
            <w:tcW w:w="15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二十一、加强宣传引导</w:t>
            </w:r>
          </w:p>
        </w:tc>
        <w:tc>
          <w:tcPr>
            <w:tcW w:w="389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认真梳理总结政务服务工作成效和经验做法，充分运用“上党报、上专刊、上电视、上公交、上新媒体”和进公共场所等多种形式，加大对“渝快办”政务服务的宣传推介力度，让企业和群众知用、好用、爱用，争取更多先进成果在更大范围得到复制推广。</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区政务服务办、区融媒体中心</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区级有关部门、各镇街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方正仿宋_GBK" w:eastAsia="方正仿宋_GBK"/>
                <w:color w:val="000000"/>
                <w:sz w:val="21"/>
                <w:szCs w:val="21"/>
              </w:rPr>
            </w:pPr>
            <w:r>
              <w:rPr>
                <w:rFonts w:hint="eastAsia" w:ascii="方正仿宋_GBK" w:eastAsia="方正仿宋_GBK"/>
                <w:color w:val="000000"/>
                <w:kern w:val="0"/>
                <w:sz w:val="21"/>
                <w:szCs w:val="21"/>
                <w:lang w:bidi="ar"/>
              </w:rPr>
              <w:t>持续推进</w:t>
            </w:r>
          </w:p>
        </w:tc>
      </w:tr>
    </w:tbl>
    <w:p>
      <w:pPr>
        <w:rPr>
          <w:rFonts w:hint="default" w:ascii="Times New Roman" w:hAnsi="Times New Roman" w:eastAsia="方正楷体_GBK" w:cs="Times New Roman"/>
          <w:b w:val="0"/>
          <w:bCs/>
          <w:caps/>
          <w:smallCaps w:val="0"/>
          <w:spacing w:val="0"/>
          <w:kern w:val="2"/>
          <w:sz w:val="28"/>
          <w:szCs w:val="28"/>
          <w:lang w:val="zh-CN" w:eastAsia="zh-CN" w:bidi="ar-SA"/>
        </w:rPr>
      </w:pPr>
    </w:p>
    <w:sectPr>
      <w:footerReference r:id="rId11" w:type="default"/>
      <w:pgSz w:w="11906" w:h="16838"/>
      <w:pgMar w:top="1984" w:right="1446" w:bottom="1644" w:left="1446"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00000001" w:usb1="08000000" w:usb2="00000000" w:usb3="00000000" w:csb0="00040000" w:csb1="00000000"/>
  </w:font>
  <w:font w:name="微软雅黑">
    <w:altName w:val="黑体"/>
    <w:panose1 w:val="020B0503020204020204"/>
    <w:charset w:val="00"/>
    <w:family w:val="auto"/>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192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560"/>
      <w:jc w:val="right"/>
      <w:rPr>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38862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388620" cy="1828800"/>
                      </a:xfrm>
                      <a:prstGeom prst="rect">
                        <a:avLst/>
                      </a:prstGeom>
                      <a:noFill/>
                      <a:ln>
                        <a:noFill/>
                      </a:ln>
                    </wps:spPr>
                    <wps:txbx>
                      <w:txbxContent>
                        <w:p>
                          <w:pPr>
                            <w:pStyle w:val="9"/>
                            <w:ind w:right="360"/>
                            <w:jc w:val="both"/>
                            <w:rPr>
                              <w:sz w:val="28"/>
                              <w:szCs w:val="28"/>
                            </w:rPr>
                          </w:pP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w:t>
                          </w:r>
                          <w:r>
                            <w:rPr>
                              <w:kern w:val="0"/>
                              <w:sz w:val="28"/>
                              <w:szCs w:val="28"/>
                            </w:rPr>
                            <w:fldChar w:fldCharType="end"/>
                          </w:r>
                        </w:p>
                      </w:txbxContent>
                    </wps:txbx>
                    <wps:bodyPr lIns="0" tIns="0" rIns="0" bIns="0" upright="false">
                      <a:spAutoFit/>
                    </wps:bodyPr>
                  </wps:wsp>
                </a:graphicData>
              </a:graphic>
            </wp:anchor>
          </w:drawing>
        </mc:Choice>
        <mc:Fallback>
          <w:pict>
            <v:shape id="_x0000_s1026" o:spid="_x0000_s1026" o:spt="202" type="#_x0000_t202" style="position:absolute;left:0pt;margin-top:0pt;height:144pt;width:30.6pt;mso-position-horizontal:outside;mso-position-horizontal-relative:margin;z-index:251661312;mso-width-relative:page;mso-height-relative:page;" filled="f" stroked="f" coordsize="21600,21600" o:gfxdata="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JFvBldEAAAAEAQAADwAAAAAAAAABACAAAAA4AAAAZHJzL2Rvd25yZXYueG1s&#10;UEsBAhQAFAAAAAgAh07iQAatXY6wAQAARQMAAA4AAAAAAAAAAQAgAAAANgEAAGRycy9lMm9Eb2Mu&#10;eG1sUEsFBgAAAAAGAAYAWQEAAFgFAAAAAA==&#10;">
              <v:fill on="f" focussize="0,0"/>
              <v:stroke on="f"/>
              <v:imagedata o:title=""/>
              <o:lock v:ext="edit" aspectratio="f"/>
              <v:textbox inset="0mm,0mm,0mm,0mm" style="mso-fit-shape-to-text:t;">
                <w:txbxContent>
                  <w:p>
                    <w:pPr>
                      <w:pStyle w:val="9"/>
                      <w:ind w:right="360"/>
                      <w:jc w:val="both"/>
                      <w:rPr>
                        <w:sz w:val="28"/>
                        <w:szCs w:val="28"/>
                      </w:rPr>
                    </w:pP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w:t>
                    </w:r>
                    <w:r>
                      <w:rPr>
                        <w:kern w:val="0"/>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560"/>
      <w:rPr>
        <w:sz w:val="28"/>
      </w:rPr>
    </w:pPr>
    <w:r>
      <w:rPr>
        <w:rStyle w:val="1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18"/>
        <w:rFonts w:hint="eastAsia"/>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560"/>
      <w:jc w:val="right"/>
      <w:rPr>
        <w:sz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38862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388620" cy="1828800"/>
                      </a:xfrm>
                      <a:prstGeom prst="rect">
                        <a:avLst/>
                      </a:prstGeom>
                      <a:noFill/>
                      <a:ln>
                        <a:noFill/>
                      </a:ln>
                    </wps:spPr>
                    <wps:txbx>
                      <w:txbxContent>
                        <w:p>
                          <w:pPr>
                            <w:pStyle w:val="9"/>
                            <w:ind w:right="360"/>
                            <w:jc w:val="both"/>
                            <w:rPr>
                              <w:sz w:val="28"/>
                              <w:szCs w:val="28"/>
                            </w:rPr>
                          </w:pP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w:t>
                          </w:r>
                          <w:r>
                            <w:rPr>
                              <w:kern w:val="0"/>
                              <w:sz w:val="28"/>
                              <w:szCs w:val="28"/>
                            </w:rPr>
                            <w:fldChar w:fldCharType="end"/>
                          </w:r>
                        </w:p>
                      </w:txbxContent>
                    </wps:txbx>
                    <wps:bodyPr lIns="0" tIns="0" rIns="0" bIns="0" upright="false">
                      <a:spAutoFit/>
                    </wps:bodyPr>
                  </wps:wsp>
                </a:graphicData>
              </a:graphic>
            </wp:anchor>
          </w:drawing>
        </mc:Choice>
        <mc:Fallback>
          <w:pict>
            <v:shape id="_x0000_s1026" o:spid="_x0000_s1026" o:spt="202" type="#_x0000_t202" style="position:absolute;left:0pt;margin-top:0pt;height:144pt;width:30.6pt;mso-position-horizontal:outside;mso-position-horizontal-relative:margin;z-index:251665408;mso-width-relative:page;mso-height-relative:page;" filled="f" stroked="f" coordsize="21600,21600" o:gfxdata="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JFvBldEAAAAEAQAADwAAAAAAAAABACAAAAA4AAAAZHJzL2Rvd25yZXYueG1s&#10;UEsBAhQAFAAAAAgAh07iQHnalz2wAQAARQMAAA4AAAAAAAAAAQAgAAAANgEAAGRycy9lMm9Eb2Mu&#10;eG1sUEsFBgAAAAAGAAYAWQEAAFgFAAAAAA==&#10;">
              <v:fill on="f" focussize="0,0"/>
              <v:stroke on="f"/>
              <v:imagedata o:title=""/>
              <o:lock v:ext="edit" aspectratio="f"/>
              <v:textbox inset="0mm,0mm,0mm,0mm" style="mso-fit-shape-to-text:t;">
                <w:txbxContent>
                  <w:p>
                    <w:pPr>
                      <w:pStyle w:val="9"/>
                      <w:ind w:right="360"/>
                      <w:jc w:val="both"/>
                      <w:rPr>
                        <w:sz w:val="28"/>
                        <w:szCs w:val="28"/>
                      </w:rPr>
                    </w:pP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w:t>
                    </w:r>
                    <w:r>
                      <w:rPr>
                        <w:kern w:val="0"/>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default" w:ascii="方正楷体_GBK" w:hAnsi="方正楷体_GBK" w:eastAsia="方正楷体_GBK" w:cs="方正楷体_GBK"/>
        <w:b/>
        <w:bCs/>
        <w:color w:val="000000" w:themeColor="text1"/>
        <w:sz w:val="28"/>
        <w:szCs w:val="28"/>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方正楷体_GBK" w:hAnsi="方正楷体_GBK" w:eastAsia="方正楷体_GBK" w:cs="方正楷体_GBK"/>
        <w:b w:val="0"/>
        <w:bCs w:val="0"/>
        <w:color w:val="000000"/>
        <w:sz w:val="28"/>
        <w:szCs w:val="28"/>
        <w:lang w:eastAsia="zh-CN"/>
      </w:rPr>
      <w:t>重庆市沙坪坝区人民政府公报</w:t>
    </w:r>
    <w:r>
      <w:rPr>
        <w:rFonts w:hint="eastAsia" w:ascii="方正楷体_GBK" w:hAnsi="方正楷体_GBK" w:eastAsia="方正楷体_GBK" w:cs="方正楷体_GBK"/>
        <w:b w:val="0"/>
        <w:bCs w:val="0"/>
        <w:color w:val="000000"/>
        <w:sz w:val="28"/>
        <w:szCs w:val="28"/>
        <w:lang w:val="en-US" w:eastAsia="zh-CN"/>
      </w:rPr>
      <w:t xml:space="preserve">                          2022年第1期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MjIyOTY3ZGYxMDliNjlmYzcwNTYxMmQ4ZDlmZGIifQ=="/>
  </w:docVars>
  <w:rsids>
    <w:rsidRoot w:val="00172A27"/>
    <w:rsid w:val="00022578"/>
    <w:rsid w:val="00026A68"/>
    <w:rsid w:val="00041E75"/>
    <w:rsid w:val="00060A93"/>
    <w:rsid w:val="0006255C"/>
    <w:rsid w:val="000A37F3"/>
    <w:rsid w:val="000C6110"/>
    <w:rsid w:val="000E6E08"/>
    <w:rsid w:val="00152223"/>
    <w:rsid w:val="00173281"/>
    <w:rsid w:val="001937F0"/>
    <w:rsid w:val="001C2266"/>
    <w:rsid w:val="00231878"/>
    <w:rsid w:val="0023661C"/>
    <w:rsid w:val="00260B3E"/>
    <w:rsid w:val="00262143"/>
    <w:rsid w:val="00285420"/>
    <w:rsid w:val="002916E6"/>
    <w:rsid w:val="002F1BFC"/>
    <w:rsid w:val="003064B5"/>
    <w:rsid w:val="00314053"/>
    <w:rsid w:val="00353CC9"/>
    <w:rsid w:val="003B19D1"/>
    <w:rsid w:val="003B2F0E"/>
    <w:rsid w:val="003D58F1"/>
    <w:rsid w:val="00454610"/>
    <w:rsid w:val="00473E93"/>
    <w:rsid w:val="004802DD"/>
    <w:rsid w:val="004B7DE7"/>
    <w:rsid w:val="00500873"/>
    <w:rsid w:val="00510E6E"/>
    <w:rsid w:val="00513177"/>
    <w:rsid w:val="00555336"/>
    <w:rsid w:val="00572C8A"/>
    <w:rsid w:val="00592113"/>
    <w:rsid w:val="005A2DA0"/>
    <w:rsid w:val="005A69E1"/>
    <w:rsid w:val="00601308"/>
    <w:rsid w:val="00633F7D"/>
    <w:rsid w:val="0070213C"/>
    <w:rsid w:val="00734062"/>
    <w:rsid w:val="007656B1"/>
    <w:rsid w:val="007C21C1"/>
    <w:rsid w:val="007E6829"/>
    <w:rsid w:val="007F1D70"/>
    <w:rsid w:val="00854526"/>
    <w:rsid w:val="00890BEA"/>
    <w:rsid w:val="008B4EFD"/>
    <w:rsid w:val="00953F7D"/>
    <w:rsid w:val="00996FE6"/>
    <w:rsid w:val="009A178B"/>
    <w:rsid w:val="009B30DC"/>
    <w:rsid w:val="009B7576"/>
    <w:rsid w:val="009D2DA0"/>
    <w:rsid w:val="00A3778F"/>
    <w:rsid w:val="00A86EF5"/>
    <w:rsid w:val="00AA74AA"/>
    <w:rsid w:val="00AC4965"/>
    <w:rsid w:val="00AE5309"/>
    <w:rsid w:val="00AF5BED"/>
    <w:rsid w:val="00B528DA"/>
    <w:rsid w:val="00B60856"/>
    <w:rsid w:val="00B630E1"/>
    <w:rsid w:val="00BA125F"/>
    <w:rsid w:val="00BD4D03"/>
    <w:rsid w:val="00BF7FDC"/>
    <w:rsid w:val="00C61DDE"/>
    <w:rsid w:val="00CC6BEB"/>
    <w:rsid w:val="00D466EA"/>
    <w:rsid w:val="00D7483F"/>
    <w:rsid w:val="00DC2EBE"/>
    <w:rsid w:val="00E31A3B"/>
    <w:rsid w:val="00E439BC"/>
    <w:rsid w:val="00E65289"/>
    <w:rsid w:val="00E75C7C"/>
    <w:rsid w:val="00EA34DA"/>
    <w:rsid w:val="00EE20F0"/>
    <w:rsid w:val="00EE29C6"/>
    <w:rsid w:val="00F146BE"/>
    <w:rsid w:val="00F422B6"/>
    <w:rsid w:val="00FB56F2"/>
    <w:rsid w:val="0106452B"/>
    <w:rsid w:val="01065663"/>
    <w:rsid w:val="01074723"/>
    <w:rsid w:val="010E14AF"/>
    <w:rsid w:val="010E4ADD"/>
    <w:rsid w:val="010F48CE"/>
    <w:rsid w:val="0117157A"/>
    <w:rsid w:val="0117493F"/>
    <w:rsid w:val="011F05BA"/>
    <w:rsid w:val="01225BB9"/>
    <w:rsid w:val="01265836"/>
    <w:rsid w:val="0128773D"/>
    <w:rsid w:val="01293E03"/>
    <w:rsid w:val="012B4BC2"/>
    <w:rsid w:val="012C0297"/>
    <w:rsid w:val="012C2B35"/>
    <w:rsid w:val="012F5B64"/>
    <w:rsid w:val="01303347"/>
    <w:rsid w:val="01304ECF"/>
    <w:rsid w:val="013227DC"/>
    <w:rsid w:val="0136568C"/>
    <w:rsid w:val="013A6261"/>
    <w:rsid w:val="013F0DC5"/>
    <w:rsid w:val="014105A5"/>
    <w:rsid w:val="014126D1"/>
    <w:rsid w:val="014673A1"/>
    <w:rsid w:val="014725E3"/>
    <w:rsid w:val="014B216A"/>
    <w:rsid w:val="014D4270"/>
    <w:rsid w:val="014E3A60"/>
    <w:rsid w:val="01506501"/>
    <w:rsid w:val="015275A3"/>
    <w:rsid w:val="01560C48"/>
    <w:rsid w:val="01583403"/>
    <w:rsid w:val="01593CBD"/>
    <w:rsid w:val="0162001D"/>
    <w:rsid w:val="016208AF"/>
    <w:rsid w:val="016309C6"/>
    <w:rsid w:val="01690CFD"/>
    <w:rsid w:val="01693951"/>
    <w:rsid w:val="016B1B01"/>
    <w:rsid w:val="016C3062"/>
    <w:rsid w:val="016F081D"/>
    <w:rsid w:val="017156BB"/>
    <w:rsid w:val="01717BF9"/>
    <w:rsid w:val="01723A3A"/>
    <w:rsid w:val="01733B26"/>
    <w:rsid w:val="0175094F"/>
    <w:rsid w:val="01781938"/>
    <w:rsid w:val="017B0CD8"/>
    <w:rsid w:val="017D054E"/>
    <w:rsid w:val="017D2B89"/>
    <w:rsid w:val="017F5432"/>
    <w:rsid w:val="018339F3"/>
    <w:rsid w:val="0184127C"/>
    <w:rsid w:val="01856564"/>
    <w:rsid w:val="01860F49"/>
    <w:rsid w:val="018B5E65"/>
    <w:rsid w:val="018E36FE"/>
    <w:rsid w:val="018E59A9"/>
    <w:rsid w:val="01A203A4"/>
    <w:rsid w:val="01A21A6F"/>
    <w:rsid w:val="01A530B3"/>
    <w:rsid w:val="01A54F5C"/>
    <w:rsid w:val="01A8113A"/>
    <w:rsid w:val="01AA52E7"/>
    <w:rsid w:val="01AA62F0"/>
    <w:rsid w:val="01AF1EE3"/>
    <w:rsid w:val="01B8119D"/>
    <w:rsid w:val="01B82B4D"/>
    <w:rsid w:val="01B94BB6"/>
    <w:rsid w:val="01C054D5"/>
    <w:rsid w:val="01C06D14"/>
    <w:rsid w:val="01C16E9D"/>
    <w:rsid w:val="01CC4825"/>
    <w:rsid w:val="01CD5B00"/>
    <w:rsid w:val="01CF60DF"/>
    <w:rsid w:val="01D0034A"/>
    <w:rsid w:val="01D45EBF"/>
    <w:rsid w:val="01D620A3"/>
    <w:rsid w:val="01DB64E0"/>
    <w:rsid w:val="01DF723C"/>
    <w:rsid w:val="01E25ABB"/>
    <w:rsid w:val="01E4082D"/>
    <w:rsid w:val="01E70768"/>
    <w:rsid w:val="01F239FC"/>
    <w:rsid w:val="01F23C95"/>
    <w:rsid w:val="01F60CC6"/>
    <w:rsid w:val="01F71649"/>
    <w:rsid w:val="01F825C1"/>
    <w:rsid w:val="01FF311A"/>
    <w:rsid w:val="020658D1"/>
    <w:rsid w:val="02077658"/>
    <w:rsid w:val="020A3706"/>
    <w:rsid w:val="020A7327"/>
    <w:rsid w:val="020E2886"/>
    <w:rsid w:val="02155D86"/>
    <w:rsid w:val="02193F1D"/>
    <w:rsid w:val="02195FA4"/>
    <w:rsid w:val="021C00B7"/>
    <w:rsid w:val="02220AC1"/>
    <w:rsid w:val="022A4F05"/>
    <w:rsid w:val="022F0F08"/>
    <w:rsid w:val="0234487A"/>
    <w:rsid w:val="023841C5"/>
    <w:rsid w:val="02384FC4"/>
    <w:rsid w:val="02390F2D"/>
    <w:rsid w:val="023E0990"/>
    <w:rsid w:val="024303ED"/>
    <w:rsid w:val="02442AB4"/>
    <w:rsid w:val="02464FCC"/>
    <w:rsid w:val="02467489"/>
    <w:rsid w:val="02587268"/>
    <w:rsid w:val="025D25B6"/>
    <w:rsid w:val="025F2082"/>
    <w:rsid w:val="026515D8"/>
    <w:rsid w:val="02675B67"/>
    <w:rsid w:val="0268204B"/>
    <w:rsid w:val="026F0910"/>
    <w:rsid w:val="02704E71"/>
    <w:rsid w:val="02705C4D"/>
    <w:rsid w:val="02874C83"/>
    <w:rsid w:val="0292540D"/>
    <w:rsid w:val="029404C8"/>
    <w:rsid w:val="02991ACA"/>
    <w:rsid w:val="029C3E10"/>
    <w:rsid w:val="029C5704"/>
    <w:rsid w:val="029D3A3A"/>
    <w:rsid w:val="029D46B5"/>
    <w:rsid w:val="02A03B35"/>
    <w:rsid w:val="02A54A06"/>
    <w:rsid w:val="02A7188D"/>
    <w:rsid w:val="02A84912"/>
    <w:rsid w:val="02AA00CA"/>
    <w:rsid w:val="02AD69A9"/>
    <w:rsid w:val="02AE7235"/>
    <w:rsid w:val="02AF4D87"/>
    <w:rsid w:val="02B1556E"/>
    <w:rsid w:val="02B2687E"/>
    <w:rsid w:val="02B32DC5"/>
    <w:rsid w:val="02B3454A"/>
    <w:rsid w:val="02BF22A9"/>
    <w:rsid w:val="02C12693"/>
    <w:rsid w:val="02C316B5"/>
    <w:rsid w:val="02C57B3F"/>
    <w:rsid w:val="02C930FF"/>
    <w:rsid w:val="02C93FBB"/>
    <w:rsid w:val="02CC5EA8"/>
    <w:rsid w:val="02D62505"/>
    <w:rsid w:val="02DC4859"/>
    <w:rsid w:val="02E10B95"/>
    <w:rsid w:val="02E110B4"/>
    <w:rsid w:val="02E3266B"/>
    <w:rsid w:val="02E42FE7"/>
    <w:rsid w:val="02E619F2"/>
    <w:rsid w:val="02E657D6"/>
    <w:rsid w:val="02E767F7"/>
    <w:rsid w:val="02F37E1B"/>
    <w:rsid w:val="02F77AE9"/>
    <w:rsid w:val="02FD0B5A"/>
    <w:rsid w:val="02FE1C9F"/>
    <w:rsid w:val="02FE7046"/>
    <w:rsid w:val="03027835"/>
    <w:rsid w:val="03100935"/>
    <w:rsid w:val="03154AE4"/>
    <w:rsid w:val="031A2644"/>
    <w:rsid w:val="031C3039"/>
    <w:rsid w:val="031C3A3F"/>
    <w:rsid w:val="031D363B"/>
    <w:rsid w:val="031E3016"/>
    <w:rsid w:val="031F1A30"/>
    <w:rsid w:val="0321128C"/>
    <w:rsid w:val="03255168"/>
    <w:rsid w:val="032770E5"/>
    <w:rsid w:val="03292DBC"/>
    <w:rsid w:val="03293A1B"/>
    <w:rsid w:val="032B3BDC"/>
    <w:rsid w:val="032B50F7"/>
    <w:rsid w:val="033367A5"/>
    <w:rsid w:val="03347622"/>
    <w:rsid w:val="03360829"/>
    <w:rsid w:val="033A45E3"/>
    <w:rsid w:val="033D6D21"/>
    <w:rsid w:val="03483F4C"/>
    <w:rsid w:val="034F15DF"/>
    <w:rsid w:val="03503492"/>
    <w:rsid w:val="03533EDD"/>
    <w:rsid w:val="035A75F7"/>
    <w:rsid w:val="035B0EAC"/>
    <w:rsid w:val="035B7771"/>
    <w:rsid w:val="0363735C"/>
    <w:rsid w:val="0364501C"/>
    <w:rsid w:val="03646F56"/>
    <w:rsid w:val="03662266"/>
    <w:rsid w:val="036A0605"/>
    <w:rsid w:val="036B33D2"/>
    <w:rsid w:val="036D3686"/>
    <w:rsid w:val="03701A97"/>
    <w:rsid w:val="03702EEF"/>
    <w:rsid w:val="03723DCC"/>
    <w:rsid w:val="03735F85"/>
    <w:rsid w:val="03766AF8"/>
    <w:rsid w:val="03770816"/>
    <w:rsid w:val="037F21B6"/>
    <w:rsid w:val="03807B84"/>
    <w:rsid w:val="03810A4F"/>
    <w:rsid w:val="0386037A"/>
    <w:rsid w:val="03860554"/>
    <w:rsid w:val="038A441A"/>
    <w:rsid w:val="038E2536"/>
    <w:rsid w:val="038F39A8"/>
    <w:rsid w:val="038F3A1C"/>
    <w:rsid w:val="0390026D"/>
    <w:rsid w:val="039037DA"/>
    <w:rsid w:val="03935F55"/>
    <w:rsid w:val="039455CD"/>
    <w:rsid w:val="03963016"/>
    <w:rsid w:val="03966926"/>
    <w:rsid w:val="039F5D20"/>
    <w:rsid w:val="03A234EB"/>
    <w:rsid w:val="03A77974"/>
    <w:rsid w:val="03A8398E"/>
    <w:rsid w:val="03A90CB8"/>
    <w:rsid w:val="03AA578D"/>
    <w:rsid w:val="03AE76E9"/>
    <w:rsid w:val="03B01004"/>
    <w:rsid w:val="03BC136C"/>
    <w:rsid w:val="03CE5880"/>
    <w:rsid w:val="03D42805"/>
    <w:rsid w:val="03D802B1"/>
    <w:rsid w:val="03DB3D02"/>
    <w:rsid w:val="03DD283D"/>
    <w:rsid w:val="03E00092"/>
    <w:rsid w:val="03E0130A"/>
    <w:rsid w:val="03E5625B"/>
    <w:rsid w:val="03E57087"/>
    <w:rsid w:val="03E63551"/>
    <w:rsid w:val="03EC4859"/>
    <w:rsid w:val="03EE134A"/>
    <w:rsid w:val="03EE797F"/>
    <w:rsid w:val="03EF08A8"/>
    <w:rsid w:val="03EF5FAC"/>
    <w:rsid w:val="03F02F43"/>
    <w:rsid w:val="03F07791"/>
    <w:rsid w:val="03F40943"/>
    <w:rsid w:val="03F76A42"/>
    <w:rsid w:val="03F76B47"/>
    <w:rsid w:val="03FB5873"/>
    <w:rsid w:val="03FB66E8"/>
    <w:rsid w:val="03FE410F"/>
    <w:rsid w:val="0406378C"/>
    <w:rsid w:val="04073F8C"/>
    <w:rsid w:val="040A47DF"/>
    <w:rsid w:val="040E38B4"/>
    <w:rsid w:val="04142289"/>
    <w:rsid w:val="04156BDC"/>
    <w:rsid w:val="041919E5"/>
    <w:rsid w:val="041F4EB8"/>
    <w:rsid w:val="04202973"/>
    <w:rsid w:val="0421054F"/>
    <w:rsid w:val="04272C56"/>
    <w:rsid w:val="042918A9"/>
    <w:rsid w:val="042D703B"/>
    <w:rsid w:val="04302BFF"/>
    <w:rsid w:val="04357BBA"/>
    <w:rsid w:val="04394770"/>
    <w:rsid w:val="043F687E"/>
    <w:rsid w:val="04403109"/>
    <w:rsid w:val="044206A3"/>
    <w:rsid w:val="04437D5E"/>
    <w:rsid w:val="04463EA2"/>
    <w:rsid w:val="0447759D"/>
    <w:rsid w:val="04495736"/>
    <w:rsid w:val="04506A88"/>
    <w:rsid w:val="04527F79"/>
    <w:rsid w:val="04590EB6"/>
    <w:rsid w:val="045A1BE6"/>
    <w:rsid w:val="04635392"/>
    <w:rsid w:val="046D00F5"/>
    <w:rsid w:val="046D5C29"/>
    <w:rsid w:val="046E2C45"/>
    <w:rsid w:val="04715518"/>
    <w:rsid w:val="04750324"/>
    <w:rsid w:val="04780926"/>
    <w:rsid w:val="04782245"/>
    <w:rsid w:val="047E69B9"/>
    <w:rsid w:val="047E7A3E"/>
    <w:rsid w:val="0485317E"/>
    <w:rsid w:val="04885BD5"/>
    <w:rsid w:val="048C56BD"/>
    <w:rsid w:val="04910022"/>
    <w:rsid w:val="04954A07"/>
    <w:rsid w:val="04962739"/>
    <w:rsid w:val="04997603"/>
    <w:rsid w:val="049B7B2F"/>
    <w:rsid w:val="049E6ACF"/>
    <w:rsid w:val="04A40876"/>
    <w:rsid w:val="04A83D3D"/>
    <w:rsid w:val="04AA2E50"/>
    <w:rsid w:val="04AA6124"/>
    <w:rsid w:val="04AA7147"/>
    <w:rsid w:val="04AD0266"/>
    <w:rsid w:val="04AD15DA"/>
    <w:rsid w:val="04AD5BA0"/>
    <w:rsid w:val="04AE0344"/>
    <w:rsid w:val="04AF75FB"/>
    <w:rsid w:val="04B213DC"/>
    <w:rsid w:val="04B4774D"/>
    <w:rsid w:val="04B67BDD"/>
    <w:rsid w:val="04BD0929"/>
    <w:rsid w:val="04BD32A8"/>
    <w:rsid w:val="04C02C80"/>
    <w:rsid w:val="04C13031"/>
    <w:rsid w:val="04C23CCE"/>
    <w:rsid w:val="04C479D3"/>
    <w:rsid w:val="04C538F1"/>
    <w:rsid w:val="04CB0D3D"/>
    <w:rsid w:val="04CD5CB4"/>
    <w:rsid w:val="04D111A2"/>
    <w:rsid w:val="04D370AE"/>
    <w:rsid w:val="04DB15D9"/>
    <w:rsid w:val="04E440A9"/>
    <w:rsid w:val="04E544D0"/>
    <w:rsid w:val="04EA409E"/>
    <w:rsid w:val="04ED71C5"/>
    <w:rsid w:val="04F03809"/>
    <w:rsid w:val="04F619E5"/>
    <w:rsid w:val="04F72C40"/>
    <w:rsid w:val="04F72DBF"/>
    <w:rsid w:val="04FA6A2A"/>
    <w:rsid w:val="04FC3B59"/>
    <w:rsid w:val="04FE1F8F"/>
    <w:rsid w:val="050019E0"/>
    <w:rsid w:val="05007611"/>
    <w:rsid w:val="05045A08"/>
    <w:rsid w:val="05051988"/>
    <w:rsid w:val="05092009"/>
    <w:rsid w:val="050D2E26"/>
    <w:rsid w:val="050E7CED"/>
    <w:rsid w:val="050F0BFA"/>
    <w:rsid w:val="051221D0"/>
    <w:rsid w:val="05140262"/>
    <w:rsid w:val="051C2653"/>
    <w:rsid w:val="05206A85"/>
    <w:rsid w:val="05235430"/>
    <w:rsid w:val="0524453E"/>
    <w:rsid w:val="052977AD"/>
    <w:rsid w:val="052C18A9"/>
    <w:rsid w:val="05342058"/>
    <w:rsid w:val="05395B83"/>
    <w:rsid w:val="053C307C"/>
    <w:rsid w:val="053D52B7"/>
    <w:rsid w:val="054116D0"/>
    <w:rsid w:val="054160F5"/>
    <w:rsid w:val="05424F14"/>
    <w:rsid w:val="05450601"/>
    <w:rsid w:val="05454E06"/>
    <w:rsid w:val="054A5A8D"/>
    <w:rsid w:val="054B10FB"/>
    <w:rsid w:val="05507032"/>
    <w:rsid w:val="05531ABC"/>
    <w:rsid w:val="05547B2C"/>
    <w:rsid w:val="055D7FE1"/>
    <w:rsid w:val="05600251"/>
    <w:rsid w:val="05637A0E"/>
    <w:rsid w:val="0567263F"/>
    <w:rsid w:val="056A2638"/>
    <w:rsid w:val="056B55D6"/>
    <w:rsid w:val="056C639F"/>
    <w:rsid w:val="0572210C"/>
    <w:rsid w:val="05731C80"/>
    <w:rsid w:val="05765895"/>
    <w:rsid w:val="057B4BC1"/>
    <w:rsid w:val="057C2674"/>
    <w:rsid w:val="057C7DBA"/>
    <w:rsid w:val="058B7E2F"/>
    <w:rsid w:val="05914C1F"/>
    <w:rsid w:val="05957332"/>
    <w:rsid w:val="05991790"/>
    <w:rsid w:val="059D20B1"/>
    <w:rsid w:val="059F56EC"/>
    <w:rsid w:val="05A8093B"/>
    <w:rsid w:val="05AA4F2B"/>
    <w:rsid w:val="05AE0F8C"/>
    <w:rsid w:val="05B46D5F"/>
    <w:rsid w:val="05B51A66"/>
    <w:rsid w:val="05B54DA7"/>
    <w:rsid w:val="05B665D6"/>
    <w:rsid w:val="05C54B04"/>
    <w:rsid w:val="05C619E3"/>
    <w:rsid w:val="05C900D8"/>
    <w:rsid w:val="05CA16F3"/>
    <w:rsid w:val="05CB7299"/>
    <w:rsid w:val="05D305E5"/>
    <w:rsid w:val="05D667A2"/>
    <w:rsid w:val="05D77954"/>
    <w:rsid w:val="05DB3DAF"/>
    <w:rsid w:val="05DB3EB6"/>
    <w:rsid w:val="05E01601"/>
    <w:rsid w:val="05E21D37"/>
    <w:rsid w:val="05E44AAE"/>
    <w:rsid w:val="05E651CB"/>
    <w:rsid w:val="05E80929"/>
    <w:rsid w:val="05E851EE"/>
    <w:rsid w:val="05E86D1B"/>
    <w:rsid w:val="05EA269D"/>
    <w:rsid w:val="05EA5568"/>
    <w:rsid w:val="05EA76F9"/>
    <w:rsid w:val="05EB023D"/>
    <w:rsid w:val="05EE4B43"/>
    <w:rsid w:val="05EE7D6A"/>
    <w:rsid w:val="05EF241D"/>
    <w:rsid w:val="05F00695"/>
    <w:rsid w:val="05F17FB4"/>
    <w:rsid w:val="05F57C6C"/>
    <w:rsid w:val="05F64788"/>
    <w:rsid w:val="05F97D66"/>
    <w:rsid w:val="0600136B"/>
    <w:rsid w:val="06014405"/>
    <w:rsid w:val="06161338"/>
    <w:rsid w:val="0620197F"/>
    <w:rsid w:val="062352BA"/>
    <w:rsid w:val="06240DC3"/>
    <w:rsid w:val="062D46BE"/>
    <w:rsid w:val="06353EFF"/>
    <w:rsid w:val="063B646A"/>
    <w:rsid w:val="0641599E"/>
    <w:rsid w:val="064E15F6"/>
    <w:rsid w:val="065113A5"/>
    <w:rsid w:val="06516A06"/>
    <w:rsid w:val="06550036"/>
    <w:rsid w:val="065876CB"/>
    <w:rsid w:val="065924EE"/>
    <w:rsid w:val="065D0CE4"/>
    <w:rsid w:val="065D2CA3"/>
    <w:rsid w:val="065F407B"/>
    <w:rsid w:val="06637A8F"/>
    <w:rsid w:val="066C07D8"/>
    <w:rsid w:val="066D72FD"/>
    <w:rsid w:val="066E5D0F"/>
    <w:rsid w:val="066F1E3C"/>
    <w:rsid w:val="066F7492"/>
    <w:rsid w:val="06706418"/>
    <w:rsid w:val="067077C9"/>
    <w:rsid w:val="06710637"/>
    <w:rsid w:val="06747BDF"/>
    <w:rsid w:val="06772E49"/>
    <w:rsid w:val="0679473E"/>
    <w:rsid w:val="067A6C91"/>
    <w:rsid w:val="06816C20"/>
    <w:rsid w:val="06824254"/>
    <w:rsid w:val="06825714"/>
    <w:rsid w:val="0683164B"/>
    <w:rsid w:val="06857B61"/>
    <w:rsid w:val="068737C3"/>
    <w:rsid w:val="068B3E57"/>
    <w:rsid w:val="068B5EE4"/>
    <w:rsid w:val="068D6354"/>
    <w:rsid w:val="06933AA0"/>
    <w:rsid w:val="069D64C2"/>
    <w:rsid w:val="069F4E5F"/>
    <w:rsid w:val="06A129FC"/>
    <w:rsid w:val="06A4354F"/>
    <w:rsid w:val="06A55E65"/>
    <w:rsid w:val="06A84C43"/>
    <w:rsid w:val="06B15AAC"/>
    <w:rsid w:val="06B5463A"/>
    <w:rsid w:val="06B630F5"/>
    <w:rsid w:val="06B66C3B"/>
    <w:rsid w:val="06B73FAA"/>
    <w:rsid w:val="06BC1030"/>
    <w:rsid w:val="06C047CE"/>
    <w:rsid w:val="06C05A98"/>
    <w:rsid w:val="06C921A5"/>
    <w:rsid w:val="06CA6D2E"/>
    <w:rsid w:val="06D00741"/>
    <w:rsid w:val="06D67F3F"/>
    <w:rsid w:val="06D81ABE"/>
    <w:rsid w:val="06D9333E"/>
    <w:rsid w:val="06DB10F5"/>
    <w:rsid w:val="06DD169E"/>
    <w:rsid w:val="06E76589"/>
    <w:rsid w:val="06E9469A"/>
    <w:rsid w:val="06F75A2B"/>
    <w:rsid w:val="06F85817"/>
    <w:rsid w:val="06F86EB4"/>
    <w:rsid w:val="07035848"/>
    <w:rsid w:val="070B04A5"/>
    <w:rsid w:val="070B4B78"/>
    <w:rsid w:val="070D2609"/>
    <w:rsid w:val="070D6F5C"/>
    <w:rsid w:val="070E75FA"/>
    <w:rsid w:val="070F7789"/>
    <w:rsid w:val="071074B1"/>
    <w:rsid w:val="07121966"/>
    <w:rsid w:val="07140BD6"/>
    <w:rsid w:val="071A4626"/>
    <w:rsid w:val="071C64DF"/>
    <w:rsid w:val="07224158"/>
    <w:rsid w:val="07224D54"/>
    <w:rsid w:val="07245767"/>
    <w:rsid w:val="072906B8"/>
    <w:rsid w:val="072F08C4"/>
    <w:rsid w:val="0733774D"/>
    <w:rsid w:val="073C4615"/>
    <w:rsid w:val="073E6723"/>
    <w:rsid w:val="073E6A74"/>
    <w:rsid w:val="073F365C"/>
    <w:rsid w:val="074F7ABA"/>
    <w:rsid w:val="075C047C"/>
    <w:rsid w:val="076154E6"/>
    <w:rsid w:val="076172A5"/>
    <w:rsid w:val="07621D1A"/>
    <w:rsid w:val="07657802"/>
    <w:rsid w:val="07673D1E"/>
    <w:rsid w:val="076A0B74"/>
    <w:rsid w:val="07704A34"/>
    <w:rsid w:val="077531B3"/>
    <w:rsid w:val="077A2153"/>
    <w:rsid w:val="07805D00"/>
    <w:rsid w:val="07820BB4"/>
    <w:rsid w:val="07857A60"/>
    <w:rsid w:val="07862689"/>
    <w:rsid w:val="078A6D7D"/>
    <w:rsid w:val="078B12D6"/>
    <w:rsid w:val="078D7219"/>
    <w:rsid w:val="078F07ED"/>
    <w:rsid w:val="0793790C"/>
    <w:rsid w:val="07957202"/>
    <w:rsid w:val="079B652A"/>
    <w:rsid w:val="07A977BE"/>
    <w:rsid w:val="07AC37EA"/>
    <w:rsid w:val="07AD0FAD"/>
    <w:rsid w:val="07B25129"/>
    <w:rsid w:val="07B2738F"/>
    <w:rsid w:val="07B37087"/>
    <w:rsid w:val="07B47E70"/>
    <w:rsid w:val="07B5190D"/>
    <w:rsid w:val="07B81AB3"/>
    <w:rsid w:val="07BB001C"/>
    <w:rsid w:val="07BC1EEE"/>
    <w:rsid w:val="07BC3CE0"/>
    <w:rsid w:val="07BE34AC"/>
    <w:rsid w:val="07BF2809"/>
    <w:rsid w:val="07BF566D"/>
    <w:rsid w:val="07C255BE"/>
    <w:rsid w:val="07C62230"/>
    <w:rsid w:val="07C7166A"/>
    <w:rsid w:val="07CC5430"/>
    <w:rsid w:val="07D05626"/>
    <w:rsid w:val="07DA59A2"/>
    <w:rsid w:val="07DA7CB5"/>
    <w:rsid w:val="07DD65D5"/>
    <w:rsid w:val="07DE10D9"/>
    <w:rsid w:val="07E7566F"/>
    <w:rsid w:val="07E77C3C"/>
    <w:rsid w:val="07E8689F"/>
    <w:rsid w:val="07EA0D7B"/>
    <w:rsid w:val="07EE220A"/>
    <w:rsid w:val="07EE6864"/>
    <w:rsid w:val="07F02C57"/>
    <w:rsid w:val="07F038CB"/>
    <w:rsid w:val="07F25E5E"/>
    <w:rsid w:val="07F30D12"/>
    <w:rsid w:val="07F76755"/>
    <w:rsid w:val="07FB5A7E"/>
    <w:rsid w:val="07FF19CB"/>
    <w:rsid w:val="07FF6C3F"/>
    <w:rsid w:val="080518F3"/>
    <w:rsid w:val="0807104D"/>
    <w:rsid w:val="080C499B"/>
    <w:rsid w:val="08122B0D"/>
    <w:rsid w:val="08184D36"/>
    <w:rsid w:val="082009E6"/>
    <w:rsid w:val="08205977"/>
    <w:rsid w:val="082132BA"/>
    <w:rsid w:val="08226A54"/>
    <w:rsid w:val="082463BA"/>
    <w:rsid w:val="082C0AC6"/>
    <w:rsid w:val="082D7C18"/>
    <w:rsid w:val="083065AC"/>
    <w:rsid w:val="08340485"/>
    <w:rsid w:val="0835236B"/>
    <w:rsid w:val="083B5DEB"/>
    <w:rsid w:val="083C2C83"/>
    <w:rsid w:val="08434303"/>
    <w:rsid w:val="08450B70"/>
    <w:rsid w:val="084B49D2"/>
    <w:rsid w:val="084B79EC"/>
    <w:rsid w:val="084D39B2"/>
    <w:rsid w:val="084E5EE9"/>
    <w:rsid w:val="084F2A85"/>
    <w:rsid w:val="08585982"/>
    <w:rsid w:val="085B292B"/>
    <w:rsid w:val="085B538D"/>
    <w:rsid w:val="085D54E8"/>
    <w:rsid w:val="085D7353"/>
    <w:rsid w:val="08631B47"/>
    <w:rsid w:val="087324B3"/>
    <w:rsid w:val="08742503"/>
    <w:rsid w:val="087551FD"/>
    <w:rsid w:val="08770FA8"/>
    <w:rsid w:val="087B422B"/>
    <w:rsid w:val="087F3C11"/>
    <w:rsid w:val="08807FB7"/>
    <w:rsid w:val="088551EC"/>
    <w:rsid w:val="0889611F"/>
    <w:rsid w:val="088A15E2"/>
    <w:rsid w:val="08AA1959"/>
    <w:rsid w:val="08AE4729"/>
    <w:rsid w:val="08AF18AE"/>
    <w:rsid w:val="08B22E71"/>
    <w:rsid w:val="08B423A3"/>
    <w:rsid w:val="08B81C58"/>
    <w:rsid w:val="08B81F94"/>
    <w:rsid w:val="08B86FCE"/>
    <w:rsid w:val="08C3608E"/>
    <w:rsid w:val="08C449DD"/>
    <w:rsid w:val="08C44DCF"/>
    <w:rsid w:val="08C700EA"/>
    <w:rsid w:val="08C72D36"/>
    <w:rsid w:val="08C9332A"/>
    <w:rsid w:val="08CA4E52"/>
    <w:rsid w:val="08CE42E1"/>
    <w:rsid w:val="08D27296"/>
    <w:rsid w:val="08DE2F88"/>
    <w:rsid w:val="08DE7F02"/>
    <w:rsid w:val="08DF3E8E"/>
    <w:rsid w:val="08E21522"/>
    <w:rsid w:val="08E442DA"/>
    <w:rsid w:val="08E55D84"/>
    <w:rsid w:val="08E95B2E"/>
    <w:rsid w:val="08EE0030"/>
    <w:rsid w:val="08EF2741"/>
    <w:rsid w:val="08F20776"/>
    <w:rsid w:val="08FB0871"/>
    <w:rsid w:val="08FC60A2"/>
    <w:rsid w:val="08FD58EA"/>
    <w:rsid w:val="0901773A"/>
    <w:rsid w:val="09021EB4"/>
    <w:rsid w:val="090473DB"/>
    <w:rsid w:val="0905155D"/>
    <w:rsid w:val="09064F15"/>
    <w:rsid w:val="090F210B"/>
    <w:rsid w:val="091154E7"/>
    <w:rsid w:val="091176AE"/>
    <w:rsid w:val="09145EDC"/>
    <w:rsid w:val="09195710"/>
    <w:rsid w:val="091A5A0D"/>
    <w:rsid w:val="091C5EDD"/>
    <w:rsid w:val="091D353E"/>
    <w:rsid w:val="0920446D"/>
    <w:rsid w:val="092654F4"/>
    <w:rsid w:val="09295616"/>
    <w:rsid w:val="092A1DD2"/>
    <w:rsid w:val="0931035C"/>
    <w:rsid w:val="0935337B"/>
    <w:rsid w:val="0938513F"/>
    <w:rsid w:val="0939276A"/>
    <w:rsid w:val="09405A8A"/>
    <w:rsid w:val="09450012"/>
    <w:rsid w:val="09466E5E"/>
    <w:rsid w:val="09481C4B"/>
    <w:rsid w:val="094B1652"/>
    <w:rsid w:val="094F465C"/>
    <w:rsid w:val="09571440"/>
    <w:rsid w:val="095B7AD7"/>
    <w:rsid w:val="095C0F10"/>
    <w:rsid w:val="095E7517"/>
    <w:rsid w:val="0960162F"/>
    <w:rsid w:val="09631468"/>
    <w:rsid w:val="09631F0C"/>
    <w:rsid w:val="09667471"/>
    <w:rsid w:val="096C24EE"/>
    <w:rsid w:val="096D04EA"/>
    <w:rsid w:val="096E0E45"/>
    <w:rsid w:val="0971636B"/>
    <w:rsid w:val="09733B23"/>
    <w:rsid w:val="09754115"/>
    <w:rsid w:val="0976101C"/>
    <w:rsid w:val="09773D50"/>
    <w:rsid w:val="097E22AC"/>
    <w:rsid w:val="097E5065"/>
    <w:rsid w:val="09820189"/>
    <w:rsid w:val="098231F5"/>
    <w:rsid w:val="09855759"/>
    <w:rsid w:val="09871053"/>
    <w:rsid w:val="0989267A"/>
    <w:rsid w:val="099006D5"/>
    <w:rsid w:val="0990405D"/>
    <w:rsid w:val="09922992"/>
    <w:rsid w:val="099310BD"/>
    <w:rsid w:val="09983A6A"/>
    <w:rsid w:val="099B7908"/>
    <w:rsid w:val="09A32AE3"/>
    <w:rsid w:val="09A500E0"/>
    <w:rsid w:val="09A83E2D"/>
    <w:rsid w:val="09AD1D8E"/>
    <w:rsid w:val="09B07F87"/>
    <w:rsid w:val="09BE2F1E"/>
    <w:rsid w:val="09C16A6F"/>
    <w:rsid w:val="09C16B98"/>
    <w:rsid w:val="09C369C2"/>
    <w:rsid w:val="09C540F7"/>
    <w:rsid w:val="09CD0F88"/>
    <w:rsid w:val="09D72CCE"/>
    <w:rsid w:val="09DC3A02"/>
    <w:rsid w:val="09E526FB"/>
    <w:rsid w:val="09E81261"/>
    <w:rsid w:val="09EC4D2B"/>
    <w:rsid w:val="09ED3C8D"/>
    <w:rsid w:val="09ED68BD"/>
    <w:rsid w:val="09F01B88"/>
    <w:rsid w:val="09F16CAC"/>
    <w:rsid w:val="09F21FAB"/>
    <w:rsid w:val="09F513C9"/>
    <w:rsid w:val="09F52F54"/>
    <w:rsid w:val="09FC134D"/>
    <w:rsid w:val="09FD1B89"/>
    <w:rsid w:val="0A003EED"/>
    <w:rsid w:val="0A0A3872"/>
    <w:rsid w:val="0A0A7D6E"/>
    <w:rsid w:val="0A0F3BE7"/>
    <w:rsid w:val="0A1258F8"/>
    <w:rsid w:val="0A133AF8"/>
    <w:rsid w:val="0A16697C"/>
    <w:rsid w:val="0A1910E7"/>
    <w:rsid w:val="0A1E03EA"/>
    <w:rsid w:val="0A1E6823"/>
    <w:rsid w:val="0A205A29"/>
    <w:rsid w:val="0A215804"/>
    <w:rsid w:val="0A2679B4"/>
    <w:rsid w:val="0A270127"/>
    <w:rsid w:val="0A283806"/>
    <w:rsid w:val="0A292EA6"/>
    <w:rsid w:val="0A2E4EAF"/>
    <w:rsid w:val="0A2E6BCD"/>
    <w:rsid w:val="0A300D99"/>
    <w:rsid w:val="0A332524"/>
    <w:rsid w:val="0A3517B8"/>
    <w:rsid w:val="0A375EAA"/>
    <w:rsid w:val="0A3A69B1"/>
    <w:rsid w:val="0A3B6A09"/>
    <w:rsid w:val="0A3C4B05"/>
    <w:rsid w:val="0A3D69C0"/>
    <w:rsid w:val="0A4346E6"/>
    <w:rsid w:val="0A457781"/>
    <w:rsid w:val="0A462CB9"/>
    <w:rsid w:val="0A465CEA"/>
    <w:rsid w:val="0A4804AC"/>
    <w:rsid w:val="0A480EDA"/>
    <w:rsid w:val="0A4A1563"/>
    <w:rsid w:val="0A506CF7"/>
    <w:rsid w:val="0A510E28"/>
    <w:rsid w:val="0A531EB4"/>
    <w:rsid w:val="0A552B71"/>
    <w:rsid w:val="0A5605DE"/>
    <w:rsid w:val="0A566A3E"/>
    <w:rsid w:val="0A5A5112"/>
    <w:rsid w:val="0A5D5D55"/>
    <w:rsid w:val="0A600E67"/>
    <w:rsid w:val="0A62696F"/>
    <w:rsid w:val="0A710454"/>
    <w:rsid w:val="0A732863"/>
    <w:rsid w:val="0A741073"/>
    <w:rsid w:val="0A751757"/>
    <w:rsid w:val="0A771275"/>
    <w:rsid w:val="0A7C3091"/>
    <w:rsid w:val="0A825E6B"/>
    <w:rsid w:val="0A897510"/>
    <w:rsid w:val="0A8A5833"/>
    <w:rsid w:val="0A904CCB"/>
    <w:rsid w:val="0A932386"/>
    <w:rsid w:val="0A962926"/>
    <w:rsid w:val="0A97456C"/>
    <w:rsid w:val="0A990F4C"/>
    <w:rsid w:val="0A9B6DBF"/>
    <w:rsid w:val="0A9C50B8"/>
    <w:rsid w:val="0A9F78DF"/>
    <w:rsid w:val="0AA43304"/>
    <w:rsid w:val="0AAB229F"/>
    <w:rsid w:val="0AAF50A2"/>
    <w:rsid w:val="0AB7420C"/>
    <w:rsid w:val="0AB75A3F"/>
    <w:rsid w:val="0ABA08E9"/>
    <w:rsid w:val="0ABD5AA1"/>
    <w:rsid w:val="0ABF403A"/>
    <w:rsid w:val="0AC21825"/>
    <w:rsid w:val="0AC2679A"/>
    <w:rsid w:val="0AC4557F"/>
    <w:rsid w:val="0AC64E88"/>
    <w:rsid w:val="0AC76214"/>
    <w:rsid w:val="0AC8767F"/>
    <w:rsid w:val="0ACB503A"/>
    <w:rsid w:val="0AD21A1E"/>
    <w:rsid w:val="0AD44749"/>
    <w:rsid w:val="0AD65C56"/>
    <w:rsid w:val="0ADF7F54"/>
    <w:rsid w:val="0AE10B42"/>
    <w:rsid w:val="0AE27E53"/>
    <w:rsid w:val="0AE41292"/>
    <w:rsid w:val="0AE45F38"/>
    <w:rsid w:val="0AEA1FA0"/>
    <w:rsid w:val="0AEB7646"/>
    <w:rsid w:val="0AEC3717"/>
    <w:rsid w:val="0AF0125A"/>
    <w:rsid w:val="0AF55A13"/>
    <w:rsid w:val="0AF60665"/>
    <w:rsid w:val="0AF65669"/>
    <w:rsid w:val="0AFC653E"/>
    <w:rsid w:val="0AFD397C"/>
    <w:rsid w:val="0AFE18A7"/>
    <w:rsid w:val="0AFF1675"/>
    <w:rsid w:val="0B0D5EB9"/>
    <w:rsid w:val="0B127257"/>
    <w:rsid w:val="0B186B9A"/>
    <w:rsid w:val="0B1879DE"/>
    <w:rsid w:val="0B1B2A99"/>
    <w:rsid w:val="0B1C5F57"/>
    <w:rsid w:val="0B1E6806"/>
    <w:rsid w:val="0B2040A1"/>
    <w:rsid w:val="0B233473"/>
    <w:rsid w:val="0B242EE1"/>
    <w:rsid w:val="0B265CF9"/>
    <w:rsid w:val="0B3647E3"/>
    <w:rsid w:val="0B3738D7"/>
    <w:rsid w:val="0B3C3355"/>
    <w:rsid w:val="0B412DF2"/>
    <w:rsid w:val="0B422F79"/>
    <w:rsid w:val="0B4723B0"/>
    <w:rsid w:val="0B4961FE"/>
    <w:rsid w:val="0B510822"/>
    <w:rsid w:val="0B5364A0"/>
    <w:rsid w:val="0B5746AC"/>
    <w:rsid w:val="0B57653F"/>
    <w:rsid w:val="0B5F5427"/>
    <w:rsid w:val="0B646763"/>
    <w:rsid w:val="0B685898"/>
    <w:rsid w:val="0B6923AE"/>
    <w:rsid w:val="0B6D2706"/>
    <w:rsid w:val="0B6E3C8F"/>
    <w:rsid w:val="0B7127F1"/>
    <w:rsid w:val="0B720FD0"/>
    <w:rsid w:val="0B740C31"/>
    <w:rsid w:val="0B780351"/>
    <w:rsid w:val="0B7A37BF"/>
    <w:rsid w:val="0B7F653D"/>
    <w:rsid w:val="0B8141ED"/>
    <w:rsid w:val="0B8224D5"/>
    <w:rsid w:val="0B832642"/>
    <w:rsid w:val="0B854345"/>
    <w:rsid w:val="0B8865F9"/>
    <w:rsid w:val="0B892A57"/>
    <w:rsid w:val="0B8A03F8"/>
    <w:rsid w:val="0B8A75F4"/>
    <w:rsid w:val="0B8C209E"/>
    <w:rsid w:val="0B8F2BA9"/>
    <w:rsid w:val="0B912C70"/>
    <w:rsid w:val="0B9A52A5"/>
    <w:rsid w:val="0B9B03E7"/>
    <w:rsid w:val="0B9B274F"/>
    <w:rsid w:val="0B9B58DA"/>
    <w:rsid w:val="0B9F5AAF"/>
    <w:rsid w:val="0BA52CCA"/>
    <w:rsid w:val="0BAA127D"/>
    <w:rsid w:val="0BAA6E79"/>
    <w:rsid w:val="0BAB5667"/>
    <w:rsid w:val="0BAD3AEE"/>
    <w:rsid w:val="0BAE6650"/>
    <w:rsid w:val="0BAF2FBD"/>
    <w:rsid w:val="0BB46FEC"/>
    <w:rsid w:val="0BB50BB3"/>
    <w:rsid w:val="0BB664F7"/>
    <w:rsid w:val="0BBF4018"/>
    <w:rsid w:val="0BC02BFF"/>
    <w:rsid w:val="0BC13915"/>
    <w:rsid w:val="0BC268B6"/>
    <w:rsid w:val="0BC30959"/>
    <w:rsid w:val="0BC30F70"/>
    <w:rsid w:val="0BC32ED7"/>
    <w:rsid w:val="0BC3791E"/>
    <w:rsid w:val="0BC53D06"/>
    <w:rsid w:val="0BC74C4E"/>
    <w:rsid w:val="0BCB0421"/>
    <w:rsid w:val="0BCD4B27"/>
    <w:rsid w:val="0BCD588A"/>
    <w:rsid w:val="0BD034C5"/>
    <w:rsid w:val="0BD47DEA"/>
    <w:rsid w:val="0BD559AD"/>
    <w:rsid w:val="0BD665E2"/>
    <w:rsid w:val="0BDA4FB8"/>
    <w:rsid w:val="0BDC71E7"/>
    <w:rsid w:val="0BDC71EF"/>
    <w:rsid w:val="0BDD07A9"/>
    <w:rsid w:val="0BDF75CF"/>
    <w:rsid w:val="0BE51B71"/>
    <w:rsid w:val="0BEC669A"/>
    <w:rsid w:val="0BEE11B5"/>
    <w:rsid w:val="0BEF211A"/>
    <w:rsid w:val="0BF07E15"/>
    <w:rsid w:val="0BF84A76"/>
    <w:rsid w:val="0BFA43C1"/>
    <w:rsid w:val="0BFE5CF3"/>
    <w:rsid w:val="0C0122A0"/>
    <w:rsid w:val="0C013DBE"/>
    <w:rsid w:val="0C023AFA"/>
    <w:rsid w:val="0C0643C8"/>
    <w:rsid w:val="0C07683D"/>
    <w:rsid w:val="0C0914B9"/>
    <w:rsid w:val="0C11040B"/>
    <w:rsid w:val="0C117EE7"/>
    <w:rsid w:val="0C184F63"/>
    <w:rsid w:val="0C1A3199"/>
    <w:rsid w:val="0C1C5538"/>
    <w:rsid w:val="0C2177BC"/>
    <w:rsid w:val="0C2205CA"/>
    <w:rsid w:val="0C250B2A"/>
    <w:rsid w:val="0C250BB0"/>
    <w:rsid w:val="0C2C1944"/>
    <w:rsid w:val="0C2C399A"/>
    <w:rsid w:val="0C2D0AF5"/>
    <w:rsid w:val="0C2E4078"/>
    <w:rsid w:val="0C36797D"/>
    <w:rsid w:val="0C394A3D"/>
    <w:rsid w:val="0C3A19CF"/>
    <w:rsid w:val="0C460493"/>
    <w:rsid w:val="0C514519"/>
    <w:rsid w:val="0C516D50"/>
    <w:rsid w:val="0C5644FF"/>
    <w:rsid w:val="0C572BD8"/>
    <w:rsid w:val="0C5A35BC"/>
    <w:rsid w:val="0C5D5FFD"/>
    <w:rsid w:val="0C625CFC"/>
    <w:rsid w:val="0C6519F1"/>
    <w:rsid w:val="0C6C1623"/>
    <w:rsid w:val="0C6C1CF2"/>
    <w:rsid w:val="0C6C2EA1"/>
    <w:rsid w:val="0C6D61AA"/>
    <w:rsid w:val="0C6E1D32"/>
    <w:rsid w:val="0C7A14DE"/>
    <w:rsid w:val="0C7A5FFD"/>
    <w:rsid w:val="0C7E150E"/>
    <w:rsid w:val="0C7E576F"/>
    <w:rsid w:val="0C8272AC"/>
    <w:rsid w:val="0C852285"/>
    <w:rsid w:val="0C8655AC"/>
    <w:rsid w:val="0C880FD3"/>
    <w:rsid w:val="0C882F19"/>
    <w:rsid w:val="0C8C296A"/>
    <w:rsid w:val="0C8C7486"/>
    <w:rsid w:val="0C8F488F"/>
    <w:rsid w:val="0C924FAF"/>
    <w:rsid w:val="0C946C72"/>
    <w:rsid w:val="0C9519CB"/>
    <w:rsid w:val="0C9524E6"/>
    <w:rsid w:val="0C974EC5"/>
    <w:rsid w:val="0C986F7E"/>
    <w:rsid w:val="0C9B777E"/>
    <w:rsid w:val="0C9C00B7"/>
    <w:rsid w:val="0CA34DD8"/>
    <w:rsid w:val="0CA658CB"/>
    <w:rsid w:val="0CA96E8E"/>
    <w:rsid w:val="0CAC59D7"/>
    <w:rsid w:val="0CAE0EDB"/>
    <w:rsid w:val="0CAF3681"/>
    <w:rsid w:val="0CB215EE"/>
    <w:rsid w:val="0CB368A4"/>
    <w:rsid w:val="0CB761C2"/>
    <w:rsid w:val="0CC2558D"/>
    <w:rsid w:val="0CC643AC"/>
    <w:rsid w:val="0CCC2D9F"/>
    <w:rsid w:val="0CCD25FC"/>
    <w:rsid w:val="0CCF2CC7"/>
    <w:rsid w:val="0CDA787F"/>
    <w:rsid w:val="0CDF107E"/>
    <w:rsid w:val="0CE8551A"/>
    <w:rsid w:val="0CF13AE7"/>
    <w:rsid w:val="0CFB0438"/>
    <w:rsid w:val="0D014C5A"/>
    <w:rsid w:val="0D0257C2"/>
    <w:rsid w:val="0D116197"/>
    <w:rsid w:val="0D116FF5"/>
    <w:rsid w:val="0D1244F4"/>
    <w:rsid w:val="0D124D72"/>
    <w:rsid w:val="0D142A6E"/>
    <w:rsid w:val="0D1A0B52"/>
    <w:rsid w:val="0D2128C5"/>
    <w:rsid w:val="0D230A0A"/>
    <w:rsid w:val="0D24513F"/>
    <w:rsid w:val="0D2610FA"/>
    <w:rsid w:val="0D2D47D2"/>
    <w:rsid w:val="0D2E7374"/>
    <w:rsid w:val="0D32715C"/>
    <w:rsid w:val="0D370A1B"/>
    <w:rsid w:val="0D385DF5"/>
    <w:rsid w:val="0D3B03EF"/>
    <w:rsid w:val="0D3F7BDB"/>
    <w:rsid w:val="0D4626BD"/>
    <w:rsid w:val="0D477C13"/>
    <w:rsid w:val="0D4A0BBE"/>
    <w:rsid w:val="0D4B503C"/>
    <w:rsid w:val="0D50138C"/>
    <w:rsid w:val="0D523B41"/>
    <w:rsid w:val="0D527017"/>
    <w:rsid w:val="0D535FA9"/>
    <w:rsid w:val="0D5439ED"/>
    <w:rsid w:val="0D5B6D3B"/>
    <w:rsid w:val="0D666971"/>
    <w:rsid w:val="0D674D0B"/>
    <w:rsid w:val="0D681DAD"/>
    <w:rsid w:val="0D697C9E"/>
    <w:rsid w:val="0D6E331A"/>
    <w:rsid w:val="0D7163E0"/>
    <w:rsid w:val="0D7407AC"/>
    <w:rsid w:val="0D7775AF"/>
    <w:rsid w:val="0D781257"/>
    <w:rsid w:val="0D7C0017"/>
    <w:rsid w:val="0D8F4641"/>
    <w:rsid w:val="0D8F4BC6"/>
    <w:rsid w:val="0D9720F7"/>
    <w:rsid w:val="0D974626"/>
    <w:rsid w:val="0D9922DF"/>
    <w:rsid w:val="0D9B418A"/>
    <w:rsid w:val="0DA0662A"/>
    <w:rsid w:val="0DA455FE"/>
    <w:rsid w:val="0DA55047"/>
    <w:rsid w:val="0DA746AB"/>
    <w:rsid w:val="0DAB05B3"/>
    <w:rsid w:val="0DAE5804"/>
    <w:rsid w:val="0DB557D5"/>
    <w:rsid w:val="0DBA201F"/>
    <w:rsid w:val="0DBB0B84"/>
    <w:rsid w:val="0DBD6A48"/>
    <w:rsid w:val="0DC015AB"/>
    <w:rsid w:val="0DC35FBB"/>
    <w:rsid w:val="0DC40EA6"/>
    <w:rsid w:val="0DC41523"/>
    <w:rsid w:val="0DC57558"/>
    <w:rsid w:val="0DC64D3F"/>
    <w:rsid w:val="0DC76887"/>
    <w:rsid w:val="0DCC00A3"/>
    <w:rsid w:val="0DCE11A0"/>
    <w:rsid w:val="0DCF0BA1"/>
    <w:rsid w:val="0DD41648"/>
    <w:rsid w:val="0DD50D02"/>
    <w:rsid w:val="0DD67E3E"/>
    <w:rsid w:val="0DD729C0"/>
    <w:rsid w:val="0DDD3A08"/>
    <w:rsid w:val="0DDE5D6D"/>
    <w:rsid w:val="0DDE7613"/>
    <w:rsid w:val="0DDF146E"/>
    <w:rsid w:val="0DE12D3E"/>
    <w:rsid w:val="0DE23B22"/>
    <w:rsid w:val="0DED6AA2"/>
    <w:rsid w:val="0DEE26EF"/>
    <w:rsid w:val="0DEF3A19"/>
    <w:rsid w:val="0DF02C85"/>
    <w:rsid w:val="0DF07228"/>
    <w:rsid w:val="0DF74A26"/>
    <w:rsid w:val="0DF91E92"/>
    <w:rsid w:val="0DFA0CED"/>
    <w:rsid w:val="0DFA21D4"/>
    <w:rsid w:val="0DFE4DA9"/>
    <w:rsid w:val="0DFE6667"/>
    <w:rsid w:val="0E015037"/>
    <w:rsid w:val="0E075326"/>
    <w:rsid w:val="0E080A42"/>
    <w:rsid w:val="0E08270E"/>
    <w:rsid w:val="0E094BB5"/>
    <w:rsid w:val="0E0C7681"/>
    <w:rsid w:val="0E0D4824"/>
    <w:rsid w:val="0E0D5C48"/>
    <w:rsid w:val="0E145109"/>
    <w:rsid w:val="0E15096B"/>
    <w:rsid w:val="0E1C3844"/>
    <w:rsid w:val="0E1E7841"/>
    <w:rsid w:val="0E313ADA"/>
    <w:rsid w:val="0E32287D"/>
    <w:rsid w:val="0E360B27"/>
    <w:rsid w:val="0E3637B4"/>
    <w:rsid w:val="0E371CD5"/>
    <w:rsid w:val="0E394144"/>
    <w:rsid w:val="0E3D7BCE"/>
    <w:rsid w:val="0E400DD5"/>
    <w:rsid w:val="0E413BEF"/>
    <w:rsid w:val="0E451EB6"/>
    <w:rsid w:val="0E4605A6"/>
    <w:rsid w:val="0E462C79"/>
    <w:rsid w:val="0E593030"/>
    <w:rsid w:val="0E5B638A"/>
    <w:rsid w:val="0E603480"/>
    <w:rsid w:val="0E647984"/>
    <w:rsid w:val="0E6623B5"/>
    <w:rsid w:val="0E68362B"/>
    <w:rsid w:val="0E6C2D71"/>
    <w:rsid w:val="0E6D1858"/>
    <w:rsid w:val="0E6D2AA6"/>
    <w:rsid w:val="0E704ACD"/>
    <w:rsid w:val="0E73122A"/>
    <w:rsid w:val="0E742389"/>
    <w:rsid w:val="0E7448FF"/>
    <w:rsid w:val="0E752473"/>
    <w:rsid w:val="0E77460F"/>
    <w:rsid w:val="0E7C370B"/>
    <w:rsid w:val="0E7C6DE6"/>
    <w:rsid w:val="0E7D0C3A"/>
    <w:rsid w:val="0E7E644F"/>
    <w:rsid w:val="0E8555A0"/>
    <w:rsid w:val="0E8B5251"/>
    <w:rsid w:val="0E8D4FFA"/>
    <w:rsid w:val="0E8E7475"/>
    <w:rsid w:val="0E957914"/>
    <w:rsid w:val="0E9820EC"/>
    <w:rsid w:val="0EA11B90"/>
    <w:rsid w:val="0EA2398E"/>
    <w:rsid w:val="0EA306B4"/>
    <w:rsid w:val="0EA74F12"/>
    <w:rsid w:val="0EAB172E"/>
    <w:rsid w:val="0EAC6984"/>
    <w:rsid w:val="0EAE617E"/>
    <w:rsid w:val="0EB31F7F"/>
    <w:rsid w:val="0EB33860"/>
    <w:rsid w:val="0EB72B50"/>
    <w:rsid w:val="0EBC0F22"/>
    <w:rsid w:val="0EBE5419"/>
    <w:rsid w:val="0EBF3DA7"/>
    <w:rsid w:val="0EC14D56"/>
    <w:rsid w:val="0EC213AD"/>
    <w:rsid w:val="0EC92E1A"/>
    <w:rsid w:val="0ECE0F77"/>
    <w:rsid w:val="0ECE7A49"/>
    <w:rsid w:val="0ED251A1"/>
    <w:rsid w:val="0ED822F5"/>
    <w:rsid w:val="0EDA3D10"/>
    <w:rsid w:val="0EDB22F0"/>
    <w:rsid w:val="0EDD70B3"/>
    <w:rsid w:val="0EE06875"/>
    <w:rsid w:val="0EE100A0"/>
    <w:rsid w:val="0EE40CDB"/>
    <w:rsid w:val="0EEA6354"/>
    <w:rsid w:val="0EEE5AB1"/>
    <w:rsid w:val="0EF00A28"/>
    <w:rsid w:val="0EF23E11"/>
    <w:rsid w:val="0EF66B94"/>
    <w:rsid w:val="0EFC68E6"/>
    <w:rsid w:val="0EFE30EE"/>
    <w:rsid w:val="0EFF76E6"/>
    <w:rsid w:val="0F03337E"/>
    <w:rsid w:val="0F0747A0"/>
    <w:rsid w:val="0F08081E"/>
    <w:rsid w:val="0F0C227B"/>
    <w:rsid w:val="0F13360F"/>
    <w:rsid w:val="0F1B4F66"/>
    <w:rsid w:val="0F1B737D"/>
    <w:rsid w:val="0F256EAF"/>
    <w:rsid w:val="0F290EAE"/>
    <w:rsid w:val="0F2B5006"/>
    <w:rsid w:val="0F2B5D26"/>
    <w:rsid w:val="0F2C3CAA"/>
    <w:rsid w:val="0F2C75F1"/>
    <w:rsid w:val="0F2D2658"/>
    <w:rsid w:val="0F2F77C7"/>
    <w:rsid w:val="0F3437E5"/>
    <w:rsid w:val="0F345A25"/>
    <w:rsid w:val="0F422D5D"/>
    <w:rsid w:val="0F50614D"/>
    <w:rsid w:val="0F562B86"/>
    <w:rsid w:val="0F584587"/>
    <w:rsid w:val="0F5B0EE3"/>
    <w:rsid w:val="0F5B3A72"/>
    <w:rsid w:val="0F607BF8"/>
    <w:rsid w:val="0F614D39"/>
    <w:rsid w:val="0F617FFA"/>
    <w:rsid w:val="0F6326FF"/>
    <w:rsid w:val="0F6337FF"/>
    <w:rsid w:val="0F6668CA"/>
    <w:rsid w:val="0F68236F"/>
    <w:rsid w:val="0F760903"/>
    <w:rsid w:val="0F792FAB"/>
    <w:rsid w:val="0F7D48FF"/>
    <w:rsid w:val="0F7F5517"/>
    <w:rsid w:val="0F801115"/>
    <w:rsid w:val="0F82117B"/>
    <w:rsid w:val="0F83197E"/>
    <w:rsid w:val="0F832E85"/>
    <w:rsid w:val="0F833D21"/>
    <w:rsid w:val="0F880558"/>
    <w:rsid w:val="0F8C4374"/>
    <w:rsid w:val="0F8E6494"/>
    <w:rsid w:val="0F8F33B1"/>
    <w:rsid w:val="0F972D3C"/>
    <w:rsid w:val="0F976A25"/>
    <w:rsid w:val="0F9A7478"/>
    <w:rsid w:val="0F9B5FE9"/>
    <w:rsid w:val="0FA278A4"/>
    <w:rsid w:val="0FA37534"/>
    <w:rsid w:val="0FA66C78"/>
    <w:rsid w:val="0FA8708D"/>
    <w:rsid w:val="0FAB712A"/>
    <w:rsid w:val="0FAD6AC7"/>
    <w:rsid w:val="0FAD6E32"/>
    <w:rsid w:val="0FB41EAF"/>
    <w:rsid w:val="0FBC00AB"/>
    <w:rsid w:val="0FBC25A7"/>
    <w:rsid w:val="0FBD4A68"/>
    <w:rsid w:val="0FC4215D"/>
    <w:rsid w:val="0FC47045"/>
    <w:rsid w:val="0FC701B0"/>
    <w:rsid w:val="0FC711AE"/>
    <w:rsid w:val="0FC7258E"/>
    <w:rsid w:val="0FC956AD"/>
    <w:rsid w:val="0FCB1B67"/>
    <w:rsid w:val="0FD37932"/>
    <w:rsid w:val="0FD414A3"/>
    <w:rsid w:val="0FD5244D"/>
    <w:rsid w:val="0FD75E5E"/>
    <w:rsid w:val="0FD76C0A"/>
    <w:rsid w:val="0FDA10E8"/>
    <w:rsid w:val="0FDD40AE"/>
    <w:rsid w:val="0FDD417D"/>
    <w:rsid w:val="0FE11DFA"/>
    <w:rsid w:val="0FE17225"/>
    <w:rsid w:val="0FE235C2"/>
    <w:rsid w:val="0FE344E3"/>
    <w:rsid w:val="0FEB04E3"/>
    <w:rsid w:val="0FEC525B"/>
    <w:rsid w:val="0FEE4F32"/>
    <w:rsid w:val="0FF01A66"/>
    <w:rsid w:val="0FF02E0B"/>
    <w:rsid w:val="0FF77763"/>
    <w:rsid w:val="0FFA10F2"/>
    <w:rsid w:val="0FFB1648"/>
    <w:rsid w:val="0FFC09EF"/>
    <w:rsid w:val="100800BB"/>
    <w:rsid w:val="100A3E0A"/>
    <w:rsid w:val="100C4C7E"/>
    <w:rsid w:val="10124042"/>
    <w:rsid w:val="101668A2"/>
    <w:rsid w:val="1018235D"/>
    <w:rsid w:val="101E5EA3"/>
    <w:rsid w:val="10247337"/>
    <w:rsid w:val="10270908"/>
    <w:rsid w:val="102900EB"/>
    <w:rsid w:val="102B0D92"/>
    <w:rsid w:val="102B41AB"/>
    <w:rsid w:val="10303128"/>
    <w:rsid w:val="10310759"/>
    <w:rsid w:val="103423B2"/>
    <w:rsid w:val="103E3023"/>
    <w:rsid w:val="103F2AF1"/>
    <w:rsid w:val="10450384"/>
    <w:rsid w:val="10480DB6"/>
    <w:rsid w:val="104A3D5A"/>
    <w:rsid w:val="104A3FCB"/>
    <w:rsid w:val="104A4EFC"/>
    <w:rsid w:val="104A5AA9"/>
    <w:rsid w:val="104B0458"/>
    <w:rsid w:val="104B3611"/>
    <w:rsid w:val="104F200D"/>
    <w:rsid w:val="10560704"/>
    <w:rsid w:val="10570165"/>
    <w:rsid w:val="105D2A95"/>
    <w:rsid w:val="10633EE7"/>
    <w:rsid w:val="10670B48"/>
    <w:rsid w:val="106935A7"/>
    <w:rsid w:val="106D22F3"/>
    <w:rsid w:val="106D5110"/>
    <w:rsid w:val="106E17B9"/>
    <w:rsid w:val="1071674E"/>
    <w:rsid w:val="1071765D"/>
    <w:rsid w:val="107825DE"/>
    <w:rsid w:val="107C1335"/>
    <w:rsid w:val="108111E1"/>
    <w:rsid w:val="10826B9E"/>
    <w:rsid w:val="1086794E"/>
    <w:rsid w:val="10905120"/>
    <w:rsid w:val="109058F1"/>
    <w:rsid w:val="109134B0"/>
    <w:rsid w:val="10913EC1"/>
    <w:rsid w:val="10943346"/>
    <w:rsid w:val="109456D0"/>
    <w:rsid w:val="1097729D"/>
    <w:rsid w:val="109D7707"/>
    <w:rsid w:val="109E13F5"/>
    <w:rsid w:val="10A05CF0"/>
    <w:rsid w:val="10A06F3E"/>
    <w:rsid w:val="10A64C14"/>
    <w:rsid w:val="10AD0196"/>
    <w:rsid w:val="10AE6F7F"/>
    <w:rsid w:val="10B12FB2"/>
    <w:rsid w:val="10B55C87"/>
    <w:rsid w:val="10B75CDC"/>
    <w:rsid w:val="10B840E7"/>
    <w:rsid w:val="10BB35D8"/>
    <w:rsid w:val="10BC4F74"/>
    <w:rsid w:val="10C16DD1"/>
    <w:rsid w:val="10C44047"/>
    <w:rsid w:val="10C45191"/>
    <w:rsid w:val="10C5786E"/>
    <w:rsid w:val="10C66816"/>
    <w:rsid w:val="10C74A53"/>
    <w:rsid w:val="10CD0FDE"/>
    <w:rsid w:val="10CE2380"/>
    <w:rsid w:val="10CE708E"/>
    <w:rsid w:val="10D443E0"/>
    <w:rsid w:val="10D90B81"/>
    <w:rsid w:val="10DA12B4"/>
    <w:rsid w:val="10DD6D24"/>
    <w:rsid w:val="10DF68A2"/>
    <w:rsid w:val="10E12B21"/>
    <w:rsid w:val="10E30886"/>
    <w:rsid w:val="10E64E04"/>
    <w:rsid w:val="10E8512D"/>
    <w:rsid w:val="10E905DE"/>
    <w:rsid w:val="10ED234F"/>
    <w:rsid w:val="10F043F8"/>
    <w:rsid w:val="10F05DAF"/>
    <w:rsid w:val="10F165D5"/>
    <w:rsid w:val="10F6320F"/>
    <w:rsid w:val="10F85791"/>
    <w:rsid w:val="11043E90"/>
    <w:rsid w:val="11050326"/>
    <w:rsid w:val="11057002"/>
    <w:rsid w:val="110871DD"/>
    <w:rsid w:val="110A7F82"/>
    <w:rsid w:val="1110434B"/>
    <w:rsid w:val="1112741A"/>
    <w:rsid w:val="111766C3"/>
    <w:rsid w:val="111864FD"/>
    <w:rsid w:val="111D7E86"/>
    <w:rsid w:val="1122469B"/>
    <w:rsid w:val="112D2201"/>
    <w:rsid w:val="112E5182"/>
    <w:rsid w:val="113118C8"/>
    <w:rsid w:val="1131284F"/>
    <w:rsid w:val="11321ED7"/>
    <w:rsid w:val="11343F3E"/>
    <w:rsid w:val="11345A23"/>
    <w:rsid w:val="113703E7"/>
    <w:rsid w:val="113B4F92"/>
    <w:rsid w:val="113D60DA"/>
    <w:rsid w:val="113D777C"/>
    <w:rsid w:val="113E0E1E"/>
    <w:rsid w:val="113E5582"/>
    <w:rsid w:val="113E7E47"/>
    <w:rsid w:val="11433AD9"/>
    <w:rsid w:val="11442E2B"/>
    <w:rsid w:val="11452BB3"/>
    <w:rsid w:val="114F14B7"/>
    <w:rsid w:val="114F1FEB"/>
    <w:rsid w:val="114F3725"/>
    <w:rsid w:val="1157763B"/>
    <w:rsid w:val="115B4CC4"/>
    <w:rsid w:val="115F3442"/>
    <w:rsid w:val="11615AF7"/>
    <w:rsid w:val="116A194C"/>
    <w:rsid w:val="116B0BB7"/>
    <w:rsid w:val="117433C1"/>
    <w:rsid w:val="117C1135"/>
    <w:rsid w:val="117C7FD1"/>
    <w:rsid w:val="118574B4"/>
    <w:rsid w:val="118632CA"/>
    <w:rsid w:val="11900E12"/>
    <w:rsid w:val="11931A34"/>
    <w:rsid w:val="11A031ED"/>
    <w:rsid w:val="11A06EE6"/>
    <w:rsid w:val="11A13378"/>
    <w:rsid w:val="11A35731"/>
    <w:rsid w:val="11A4219F"/>
    <w:rsid w:val="11A46963"/>
    <w:rsid w:val="11A7271C"/>
    <w:rsid w:val="11AB0D8D"/>
    <w:rsid w:val="11AD363F"/>
    <w:rsid w:val="11B36FFC"/>
    <w:rsid w:val="11B72AFD"/>
    <w:rsid w:val="11BA7DD2"/>
    <w:rsid w:val="11BB0189"/>
    <w:rsid w:val="11C50777"/>
    <w:rsid w:val="11C5139B"/>
    <w:rsid w:val="11C961DA"/>
    <w:rsid w:val="11CC34D4"/>
    <w:rsid w:val="11CF42B8"/>
    <w:rsid w:val="11D058C1"/>
    <w:rsid w:val="11D41999"/>
    <w:rsid w:val="11D603AB"/>
    <w:rsid w:val="11D61072"/>
    <w:rsid w:val="11D82007"/>
    <w:rsid w:val="11DD6A10"/>
    <w:rsid w:val="11E01218"/>
    <w:rsid w:val="11E40476"/>
    <w:rsid w:val="11F5587E"/>
    <w:rsid w:val="11F6186A"/>
    <w:rsid w:val="11F93C09"/>
    <w:rsid w:val="11F94D33"/>
    <w:rsid w:val="11FD1105"/>
    <w:rsid w:val="11FD5651"/>
    <w:rsid w:val="11FF71A8"/>
    <w:rsid w:val="120437FE"/>
    <w:rsid w:val="120B4756"/>
    <w:rsid w:val="120D658A"/>
    <w:rsid w:val="1212138C"/>
    <w:rsid w:val="12124036"/>
    <w:rsid w:val="12191155"/>
    <w:rsid w:val="121F6840"/>
    <w:rsid w:val="122F1BF9"/>
    <w:rsid w:val="123756F0"/>
    <w:rsid w:val="123F032E"/>
    <w:rsid w:val="12420B38"/>
    <w:rsid w:val="124235E9"/>
    <w:rsid w:val="1243609F"/>
    <w:rsid w:val="12463FCB"/>
    <w:rsid w:val="12476BD1"/>
    <w:rsid w:val="124904A4"/>
    <w:rsid w:val="124B15A1"/>
    <w:rsid w:val="12517E86"/>
    <w:rsid w:val="125563A4"/>
    <w:rsid w:val="12565E01"/>
    <w:rsid w:val="1259517D"/>
    <w:rsid w:val="125B7CFE"/>
    <w:rsid w:val="125E534D"/>
    <w:rsid w:val="12601272"/>
    <w:rsid w:val="12614CBF"/>
    <w:rsid w:val="12642014"/>
    <w:rsid w:val="126D0141"/>
    <w:rsid w:val="126D7CA8"/>
    <w:rsid w:val="127148C6"/>
    <w:rsid w:val="127308A0"/>
    <w:rsid w:val="12731AC9"/>
    <w:rsid w:val="12742205"/>
    <w:rsid w:val="12751733"/>
    <w:rsid w:val="12772C37"/>
    <w:rsid w:val="127B6770"/>
    <w:rsid w:val="127D5CDC"/>
    <w:rsid w:val="127E3376"/>
    <w:rsid w:val="12813481"/>
    <w:rsid w:val="12890ECE"/>
    <w:rsid w:val="128B4679"/>
    <w:rsid w:val="12963B9C"/>
    <w:rsid w:val="129B077E"/>
    <w:rsid w:val="129F021B"/>
    <w:rsid w:val="12A4263F"/>
    <w:rsid w:val="12A92D9F"/>
    <w:rsid w:val="12A93A51"/>
    <w:rsid w:val="12AA0457"/>
    <w:rsid w:val="12B82484"/>
    <w:rsid w:val="12B84E50"/>
    <w:rsid w:val="12BA7038"/>
    <w:rsid w:val="12BD458A"/>
    <w:rsid w:val="12BE2014"/>
    <w:rsid w:val="12BF7B4B"/>
    <w:rsid w:val="12C001C6"/>
    <w:rsid w:val="12C2036F"/>
    <w:rsid w:val="12C4687C"/>
    <w:rsid w:val="12CB1299"/>
    <w:rsid w:val="12D1627F"/>
    <w:rsid w:val="12D34BCF"/>
    <w:rsid w:val="12D76590"/>
    <w:rsid w:val="12DC7A47"/>
    <w:rsid w:val="12E95F2C"/>
    <w:rsid w:val="12EB02E8"/>
    <w:rsid w:val="12EB518A"/>
    <w:rsid w:val="12EE7430"/>
    <w:rsid w:val="12F50E9B"/>
    <w:rsid w:val="12F803F0"/>
    <w:rsid w:val="12FB15C5"/>
    <w:rsid w:val="12FC217C"/>
    <w:rsid w:val="12FF55C3"/>
    <w:rsid w:val="130410FD"/>
    <w:rsid w:val="13091CF2"/>
    <w:rsid w:val="130B0148"/>
    <w:rsid w:val="130E597B"/>
    <w:rsid w:val="130E7774"/>
    <w:rsid w:val="13115D71"/>
    <w:rsid w:val="131272CE"/>
    <w:rsid w:val="131327C8"/>
    <w:rsid w:val="131478CF"/>
    <w:rsid w:val="13166247"/>
    <w:rsid w:val="131B4948"/>
    <w:rsid w:val="131F20B4"/>
    <w:rsid w:val="13263DA5"/>
    <w:rsid w:val="132762CE"/>
    <w:rsid w:val="13283FEB"/>
    <w:rsid w:val="132B6150"/>
    <w:rsid w:val="1332227E"/>
    <w:rsid w:val="13326B67"/>
    <w:rsid w:val="133338CD"/>
    <w:rsid w:val="13356AC9"/>
    <w:rsid w:val="133A1F39"/>
    <w:rsid w:val="133B3058"/>
    <w:rsid w:val="13446F80"/>
    <w:rsid w:val="1347505B"/>
    <w:rsid w:val="134B1DE1"/>
    <w:rsid w:val="134B1FD8"/>
    <w:rsid w:val="1354596D"/>
    <w:rsid w:val="135C57A2"/>
    <w:rsid w:val="135C7F60"/>
    <w:rsid w:val="135F3215"/>
    <w:rsid w:val="13627F50"/>
    <w:rsid w:val="1366457C"/>
    <w:rsid w:val="13697F4E"/>
    <w:rsid w:val="136C5A8E"/>
    <w:rsid w:val="136F2D18"/>
    <w:rsid w:val="13701754"/>
    <w:rsid w:val="13715EF8"/>
    <w:rsid w:val="13716259"/>
    <w:rsid w:val="1372437E"/>
    <w:rsid w:val="13746F0F"/>
    <w:rsid w:val="137E3A18"/>
    <w:rsid w:val="137E6B7B"/>
    <w:rsid w:val="13800DEA"/>
    <w:rsid w:val="138B7E6B"/>
    <w:rsid w:val="13997D48"/>
    <w:rsid w:val="139B1045"/>
    <w:rsid w:val="13A3094A"/>
    <w:rsid w:val="13A67F21"/>
    <w:rsid w:val="13A91319"/>
    <w:rsid w:val="13AE2CBC"/>
    <w:rsid w:val="13AE5330"/>
    <w:rsid w:val="13AE5BF5"/>
    <w:rsid w:val="13B03623"/>
    <w:rsid w:val="13B142E8"/>
    <w:rsid w:val="13BF7DB2"/>
    <w:rsid w:val="13C301C4"/>
    <w:rsid w:val="13C46338"/>
    <w:rsid w:val="13C6523C"/>
    <w:rsid w:val="13CA20D8"/>
    <w:rsid w:val="13CB78D5"/>
    <w:rsid w:val="13CC5812"/>
    <w:rsid w:val="13D24553"/>
    <w:rsid w:val="13D34457"/>
    <w:rsid w:val="13D8001B"/>
    <w:rsid w:val="13DA792E"/>
    <w:rsid w:val="13DC0CDD"/>
    <w:rsid w:val="13E167A1"/>
    <w:rsid w:val="13E44653"/>
    <w:rsid w:val="13E46E23"/>
    <w:rsid w:val="13E47CEC"/>
    <w:rsid w:val="13E670BB"/>
    <w:rsid w:val="13E71B1A"/>
    <w:rsid w:val="13E7478B"/>
    <w:rsid w:val="13E97C61"/>
    <w:rsid w:val="13F1609E"/>
    <w:rsid w:val="13F651E3"/>
    <w:rsid w:val="13FA4C2C"/>
    <w:rsid w:val="14075DB3"/>
    <w:rsid w:val="140E5141"/>
    <w:rsid w:val="1411658A"/>
    <w:rsid w:val="14170CFC"/>
    <w:rsid w:val="1419414C"/>
    <w:rsid w:val="141943CF"/>
    <w:rsid w:val="141D6F07"/>
    <w:rsid w:val="141E530B"/>
    <w:rsid w:val="1422224A"/>
    <w:rsid w:val="142D2964"/>
    <w:rsid w:val="142E606A"/>
    <w:rsid w:val="142F7B3D"/>
    <w:rsid w:val="14336A70"/>
    <w:rsid w:val="1435105C"/>
    <w:rsid w:val="143A3A62"/>
    <w:rsid w:val="143B42E8"/>
    <w:rsid w:val="143B4353"/>
    <w:rsid w:val="143D54C4"/>
    <w:rsid w:val="143D5EB0"/>
    <w:rsid w:val="143E371D"/>
    <w:rsid w:val="144175FF"/>
    <w:rsid w:val="14417C79"/>
    <w:rsid w:val="144249DB"/>
    <w:rsid w:val="14502CF9"/>
    <w:rsid w:val="145067F9"/>
    <w:rsid w:val="14591009"/>
    <w:rsid w:val="145B4772"/>
    <w:rsid w:val="145D2DF3"/>
    <w:rsid w:val="14632652"/>
    <w:rsid w:val="14634BCF"/>
    <w:rsid w:val="1464605B"/>
    <w:rsid w:val="146608F7"/>
    <w:rsid w:val="14682D4E"/>
    <w:rsid w:val="146D71F6"/>
    <w:rsid w:val="146E4496"/>
    <w:rsid w:val="147139C8"/>
    <w:rsid w:val="1478409D"/>
    <w:rsid w:val="147C7A39"/>
    <w:rsid w:val="148162BE"/>
    <w:rsid w:val="14830BFB"/>
    <w:rsid w:val="14850C92"/>
    <w:rsid w:val="148B1488"/>
    <w:rsid w:val="148B4689"/>
    <w:rsid w:val="149165C6"/>
    <w:rsid w:val="149226AA"/>
    <w:rsid w:val="14926266"/>
    <w:rsid w:val="14935EB0"/>
    <w:rsid w:val="149364D8"/>
    <w:rsid w:val="149808D8"/>
    <w:rsid w:val="14991C98"/>
    <w:rsid w:val="14A270FE"/>
    <w:rsid w:val="14A757B2"/>
    <w:rsid w:val="14A76DFF"/>
    <w:rsid w:val="14A93D96"/>
    <w:rsid w:val="14AB2373"/>
    <w:rsid w:val="14AD5F73"/>
    <w:rsid w:val="14AF6438"/>
    <w:rsid w:val="14B16AF3"/>
    <w:rsid w:val="14BB1D1C"/>
    <w:rsid w:val="14BD3962"/>
    <w:rsid w:val="14C33C02"/>
    <w:rsid w:val="14C421E8"/>
    <w:rsid w:val="14C51D7C"/>
    <w:rsid w:val="14CD49D0"/>
    <w:rsid w:val="14CE32D9"/>
    <w:rsid w:val="14CF1520"/>
    <w:rsid w:val="14D467CE"/>
    <w:rsid w:val="14DA5391"/>
    <w:rsid w:val="14DD55B1"/>
    <w:rsid w:val="14E52E99"/>
    <w:rsid w:val="14E64935"/>
    <w:rsid w:val="14EA056F"/>
    <w:rsid w:val="14EE0107"/>
    <w:rsid w:val="14F12A33"/>
    <w:rsid w:val="14F153B0"/>
    <w:rsid w:val="14F175EB"/>
    <w:rsid w:val="14FA1AD9"/>
    <w:rsid w:val="14FA5744"/>
    <w:rsid w:val="14FB1635"/>
    <w:rsid w:val="14FE534B"/>
    <w:rsid w:val="14FF2114"/>
    <w:rsid w:val="15031DED"/>
    <w:rsid w:val="15071F97"/>
    <w:rsid w:val="150958E7"/>
    <w:rsid w:val="150A0DB7"/>
    <w:rsid w:val="150A53D5"/>
    <w:rsid w:val="150B2882"/>
    <w:rsid w:val="150B79FB"/>
    <w:rsid w:val="15105769"/>
    <w:rsid w:val="15173F8F"/>
    <w:rsid w:val="151769C3"/>
    <w:rsid w:val="151C50DC"/>
    <w:rsid w:val="151C7D66"/>
    <w:rsid w:val="151E7396"/>
    <w:rsid w:val="15227191"/>
    <w:rsid w:val="15230BB1"/>
    <w:rsid w:val="15255EA9"/>
    <w:rsid w:val="1526595B"/>
    <w:rsid w:val="152700C8"/>
    <w:rsid w:val="152966AA"/>
    <w:rsid w:val="15306490"/>
    <w:rsid w:val="153416C5"/>
    <w:rsid w:val="15363F14"/>
    <w:rsid w:val="153A1DCE"/>
    <w:rsid w:val="15427877"/>
    <w:rsid w:val="15473879"/>
    <w:rsid w:val="154D4A36"/>
    <w:rsid w:val="154F6885"/>
    <w:rsid w:val="155059DD"/>
    <w:rsid w:val="15517E42"/>
    <w:rsid w:val="15587403"/>
    <w:rsid w:val="155A6A65"/>
    <w:rsid w:val="155B1EA3"/>
    <w:rsid w:val="155E4BAA"/>
    <w:rsid w:val="15646F5F"/>
    <w:rsid w:val="15711349"/>
    <w:rsid w:val="15711AFC"/>
    <w:rsid w:val="157A62D8"/>
    <w:rsid w:val="157F3662"/>
    <w:rsid w:val="157F585A"/>
    <w:rsid w:val="158076DC"/>
    <w:rsid w:val="15810FF1"/>
    <w:rsid w:val="15852279"/>
    <w:rsid w:val="15871102"/>
    <w:rsid w:val="158D38C1"/>
    <w:rsid w:val="158D3BF7"/>
    <w:rsid w:val="158D7F25"/>
    <w:rsid w:val="15910F7C"/>
    <w:rsid w:val="15936A50"/>
    <w:rsid w:val="15940A71"/>
    <w:rsid w:val="15946247"/>
    <w:rsid w:val="15973333"/>
    <w:rsid w:val="159A28E3"/>
    <w:rsid w:val="159B193A"/>
    <w:rsid w:val="159C5C88"/>
    <w:rsid w:val="159C6A56"/>
    <w:rsid w:val="15A35B0A"/>
    <w:rsid w:val="15A52595"/>
    <w:rsid w:val="15A65BBF"/>
    <w:rsid w:val="15AB4EAD"/>
    <w:rsid w:val="15B15130"/>
    <w:rsid w:val="15B5444E"/>
    <w:rsid w:val="15B7507C"/>
    <w:rsid w:val="15BA6FE2"/>
    <w:rsid w:val="15BF0FCF"/>
    <w:rsid w:val="15C046B8"/>
    <w:rsid w:val="15C5093F"/>
    <w:rsid w:val="15C50B00"/>
    <w:rsid w:val="15C521E7"/>
    <w:rsid w:val="15C61070"/>
    <w:rsid w:val="15C81DC1"/>
    <w:rsid w:val="15C9035F"/>
    <w:rsid w:val="15C96B4A"/>
    <w:rsid w:val="15CD7525"/>
    <w:rsid w:val="15D73F98"/>
    <w:rsid w:val="15D870A3"/>
    <w:rsid w:val="15DA381A"/>
    <w:rsid w:val="15DD6E4A"/>
    <w:rsid w:val="15E01B9F"/>
    <w:rsid w:val="15E8300B"/>
    <w:rsid w:val="15E93686"/>
    <w:rsid w:val="15EE10A7"/>
    <w:rsid w:val="15F12746"/>
    <w:rsid w:val="15FA403D"/>
    <w:rsid w:val="15FB7234"/>
    <w:rsid w:val="15FC3C1B"/>
    <w:rsid w:val="15FC5EF9"/>
    <w:rsid w:val="15FE3434"/>
    <w:rsid w:val="16023AB4"/>
    <w:rsid w:val="1602632C"/>
    <w:rsid w:val="16091B86"/>
    <w:rsid w:val="160C7CD0"/>
    <w:rsid w:val="161C3F4B"/>
    <w:rsid w:val="161E7863"/>
    <w:rsid w:val="16215912"/>
    <w:rsid w:val="16224C46"/>
    <w:rsid w:val="162551B6"/>
    <w:rsid w:val="162D3BA1"/>
    <w:rsid w:val="162F3337"/>
    <w:rsid w:val="16314E6E"/>
    <w:rsid w:val="16316851"/>
    <w:rsid w:val="1635728F"/>
    <w:rsid w:val="163B35CF"/>
    <w:rsid w:val="163D7192"/>
    <w:rsid w:val="1641795F"/>
    <w:rsid w:val="164A524E"/>
    <w:rsid w:val="164A5A2D"/>
    <w:rsid w:val="164D2C17"/>
    <w:rsid w:val="16503EBA"/>
    <w:rsid w:val="165058AF"/>
    <w:rsid w:val="16530715"/>
    <w:rsid w:val="1655169A"/>
    <w:rsid w:val="16606D10"/>
    <w:rsid w:val="16615523"/>
    <w:rsid w:val="166340EE"/>
    <w:rsid w:val="16676D10"/>
    <w:rsid w:val="1668712A"/>
    <w:rsid w:val="166B0C88"/>
    <w:rsid w:val="166B102D"/>
    <w:rsid w:val="16701807"/>
    <w:rsid w:val="167617B5"/>
    <w:rsid w:val="16786B2E"/>
    <w:rsid w:val="16795985"/>
    <w:rsid w:val="167A7663"/>
    <w:rsid w:val="167B4E94"/>
    <w:rsid w:val="167D7968"/>
    <w:rsid w:val="16810868"/>
    <w:rsid w:val="16840941"/>
    <w:rsid w:val="16861300"/>
    <w:rsid w:val="168977CA"/>
    <w:rsid w:val="1691291B"/>
    <w:rsid w:val="1695257D"/>
    <w:rsid w:val="169B6742"/>
    <w:rsid w:val="16A31EFF"/>
    <w:rsid w:val="16A7249E"/>
    <w:rsid w:val="16AB6B52"/>
    <w:rsid w:val="16B30107"/>
    <w:rsid w:val="16B3070C"/>
    <w:rsid w:val="16B54E70"/>
    <w:rsid w:val="16C028A6"/>
    <w:rsid w:val="16C13A20"/>
    <w:rsid w:val="16C62B72"/>
    <w:rsid w:val="16CB5443"/>
    <w:rsid w:val="16CE31A6"/>
    <w:rsid w:val="16D16390"/>
    <w:rsid w:val="16D20422"/>
    <w:rsid w:val="16D464BD"/>
    <w:rsid w:val="16D57896"/>
    <w:rsid w:val="16DC0CB7"/>
    <w:rsid w:val="16DD2913"/>
    <w:rsid w:val="16E00638"/>
    <w:rsid w:val="16E1790C"/>
    <w:rsid w:val="16E21775"/>
    <w:rsid w:val="16E46AA4"/>
    <w:rsid w:val="16E70213"/>
    <w:rsid w:val="16E93FD5"/>
    <w:rsid w:val="16EB7398"/>
    <w:rsid w:val="16F8262F"/>
    <w:rsid w:val="16FC517D"/>
    <w:rsid w:val="17001993"/>
    <w:rsid w:val="17024560"/>
    <w:rsid w:val="1703593A"/>
    <w:rsid w:val="17041758"/>
    <w:rsid w:val="17187C82"/>
    <w:rsid w:val="1719666F"/>
    <w:rsid w:val="171D469C"/>
    <w:rsid w:val="172054AC"/>
    <w:rsid w:val="17206587"/>
    <w:rsid w:val="17240E16"/>
    <w:rsid w:val="17245F42"/>
    <w:rsid w:val="172551DE"/>
    <w:rsid w:val="17275490"/>
    <w:rsid w:val="172A7445"/>
    <w:rsid w:val="172B1B7B"/>
    <w:rsid w:val="17312826"/>
    <w:rsid w:val="1734498F"/>
    <w:rsid w:val="1734664D"/>
    <w:rsid w:val="17352425"/>
    <w:rsid w:val="17363B97"/>
    <w:rsid w:val="173A3E5A"/>
    <w:rsid w:val="174141B5"/>
    <w:rsid w:val="174536D0"/>
    <w:rsid w:val="17470D37"/>
    <w:rsid w:val="17472225"/>
    <w:rsid w:val="174731CE"/>
    <w:rsid w:val="174A127B"/>
    <w:rsid w:val="174D642E"/>
    <w:rsid w:val="17506652"/>
    <w:rsid w:val="175872E7"/>
    <w:rsid w:val="175C4748"/>
    <w:rsid w:val="175D4E4D"/>
    <w:rsid w:val="1763657B"/>
    <w:rsid w:val="17650802"/>
    <w:rsid w:val="176676EE"/>
    <w:rsid w:val="176741BF"/>
    <w:rsid w:val="176A0778"/>
    <w:rsid w:val="17746A57"/>
    <w:rsid w:val="1775288C"/>
    <w:rsid w:val="17781E4A"/>
    <w:rsid w:val="177A7E23"/>
    <w:rsid w:val="177B1916"/>
    <w:rsid w:val="177C0516"/>
    <w:rsid w:val="177D3C38"/>
    <w:rsid w:val="177F08A1"/>
    <w:rsid w:val="178223DC"/>
    <w:rsid w:val="17834E4C"/>
    <w:rsid w:val="17913720"/>
    <w:rsid w:val="17945266"/>
    <w:rsid w:val="179579CB"/>
    <w:rsid w:val="179C7151"/>
    <w:rsid w:val="17A27EE4"/>
    <w:rsid w:val="17A83BEE"/>
    <w:rsid w:val="17AA22AD"/>
    <w:rsid w:val="17AD1FDD"/>
    <w:rsid w:val="17B04166"/>
    <w:rsid w:val="17B614C0"/>
    <w:rsid w:val="17B80428"/>
    <w:rsid w:val="17BC219E"/>
    <w:rsid w:val="17BF5526"/>
    <w:rsid w:val="17C466C7"/>
    <w:rsid w:val="17C64286"/>
    <w:rsid w:val="17CB746D"/>
    <w:rsid w:val="17CE67D9"/>
    <w:rsid w:val="17CF2F71"/>
    <w:rsid w:val="17D567B3"/>
    <w:rsid w:val="17D77B4D"/>
    <w:rsid w:val="17D858B3"/>
    <w:rsid w:val="17DF47EA"/>
    <w:rsid w:val="17E01E3E"/>
    <w:rsid w:val="17E72EBA"/>
    <w:rsid w:val="17E7779B"/>
    <w:rsid w:val="17E80258"/>
    <w:rsid w:val="17E96ECF"/>
    <w:rsid w:val="17EC20AB"/>
    <w:rsid w:val="17EF0F76"/>
    <w:rsid w:val="17F55AAB"/>
    <w:rsid w:val="17F63A49"/>
    <w:rsid w:val="17FA4F0C"/>
    <w:rsid w:val="17FB1CBF"/>
    <w:rsid w:val="18052064"/>
    <w:rsid w:val="18063EA8"/>
    <w:rsid w:val="180A5730"/>
    <w:rsid w:val="180B7285"/>
    <w:rsid w:val="18165F48"/>
    <w:rsid w:val="181B50C9"/>
    <w:rsid w:val="181F20C7"/>
    <w:rsid w:val="181F27BD"/>
    <w:rsid w:val="182059BC"/>
    <w:rsid w:val="1825667F"/>
    <w:rsid w:val="182E6782"/>
    <w:rsid w:val="182F2170"/>
    <w:rsid w:val="18324857"/>
    <w:rsid w:val="18331A37"/>
    <w:rsid w:val="18377827"/>
    <w:rsid w:val="183A03E9"/>
    <w:rsid w:val="183C54BC"/>
    <w:rsid w:val="183D080C"/>
    <w:rsid w:val="184009E0"/>
    <w:rsid w:val="18422653"/>
    <w:rsid w:val="18512FB3"/>
    <w:rsid w:val="18567823"/>
    <w:rsid w:val="18570274"/>
    <w:rsid w:val="185C4CE1"/>
    <w:rsid w:val="18603403"/>
    <w:rsid w:val="186104E7"/>
    <w:rsid w:val="186117BC"/>
    <w:rsid w:val="18635D5C"/>
    <w:rsid w:val="1863763C"/>
    <w:rsid w:val="186477BA"/>
    <w:rsid w:val="1869552F"/>
    <w:rsid w:val="186C37E2"/>
    <w:rsid w:val="186F54CF"/>
    <w:rsid w:val="1873416C"/>
    <w:rsid w:val="18755130"/>
    <w:rsid w:val="1876345F"/>
    <w:rsid w:val="18777EE2"/>
    <w:rsid w:val="187E2E98"/>
    <w:rsid w:val="187F0F5B"/>
    <w:rsid w:val="18834247"/>
    <w:rsid w:val="18835EC5"/>
    <w:rsid w:val="188435CF"/>
    <w:rsid w:val="1888134C"/>
    <w:rsid w:val="1889374B"/>
    <w:rsid w:val="188E3C27"/>
    <w:rsid w:val="188E434A"/>
    <w:rsid w:val="188F5F7E"/>
    <w:rsid w:val="1891435A"/>
    <w:rsid w:val="18934F3E"/>
    <w:rsid w:val="1897704B"/>
    <w:rsid w:val="189C36E2"/>
    <w:rsid w:val="18A17B8B"/>
    <w:rsid w:val="18A45C0E"/>
    <w:rsid w:val="18A6250C"/>
    <w:rsid w:val="18A76E8A"/>
    <w:rsid w:val="18AF1A6B"/>
    <w:rsid w:val="18B30CBF"/>
    <w:rsid w:val="18B30D1C"/>
    <w:rsid w:val="18B768A3"/>
    <w:rsid w:val="18B83105"/>
    <w:rsid w:val="18B97387"/>
    <w:rsid w:val="18BC034E"/>
    <w:rsid w:val="18BC35DE"/>
    <w:rsid w:val="18C13ED4"/>
    <w:rsid w:val="18C15071"/>
    <w:rsid w:val="18C80008"/>
    <w:rsid w:val="18C96638"/>
    <w:rsid w:val="18CC1A8C"/>
    <w:rsid w:val="18CD6F70"/>
    <w:rsid w:val="18CF022F"/>
    <w:rsid w:val="18CF0710"/>
    <w:rsid w:val="18D00422"/>
    <w:rsid w:val="18D27810"/>
    <w:rsid w:val="18D712CF"/>
    <w:rsid w:val="18DB669B"/>
    <w:rsid w:val="18DF5B86"/>
    <w:rsid w:val="18E0487E"/>
    <w:rsid w:val="18EA0089"/>
    <w:rsid w:val="18EB0CC9"/>
    <w:rsid w:val="18ED62E3"/>
    <w:rsid w:val="18F52D1A"/>
    <w:rsid w:val="18F96956"/>
    <w:rsid w:val="18FA0186"/>
    <w:rsid w:val="18FF2949"/>
    <w:rsid w:val="19011E8D"/>
    <w:rsid w:val="19044887"/>
    <w:rsid w:val="19075ED6"/>
    <w:rsid w:val="190D2278"/>
    <w:rsid w:val="190E12CE"/>
    <w:rsid w:val="19141B48"/>
    <w:rsid w:val="191B10E0"/>
    <w:rsid w:val="191C17D0"/>
    <w:rsid w:val="191D099F"/>
    <w:rsid w:val="191F0157"/>
    <w:rsid w:val="191F3A33"/>
    <w:rsid w:val="19213DC7"/>
    <w:rsid w:val="19214524"/>
    <w:rsid w:val="192921DC"/>
    <w:rsid w:val="192F1866"/>
    <w:rsid w:val="192F2292"/>
    <w:rsid w:val="1934681E"/>
    <w:rsid w:val="1935786D"/>
    <w:rsid w:val="193614C8"/>
    <w:rsid w:val="19374182"/>
    <w:rsid w:val="19374329"/>
    <w:rsid w:val="19394297"/>
    <w:rsid w:val="193B58A9"/>
    <w:rsid w:val="193C7C06"/>
    <w:rsid w:val="193C7D1D"/>
    <w:rsid w:val="194116CC"/>
    <w:rsid w:val="194137AF"/>
    <w:rsid w:val="19474BE5"/>
    <w:rsid w:val="19486FBC"/>
    <w:rsid w:val="194A2A6D"/>
    <w:rsid w:val="194A5E48"/>
    <w:rsid w:val="194D3307"/>
    <w:rsid w:val="194D3393"/>
    <w:rsid w:val="19514261"/>
    <w:rsid w:val="195F7194"/>
    <w:rsid w:val="19611173"/>
    <w:rsid w:val="19656F78"/>
    <w:rsid w:val="196B1DE6"/>
    <w:rsid w:val="196C1ACE"/>
    <w:rsid w:val="196F15BB"/>
    <w:rsid w:val="197124A5"/>
    <w:rsid w:val="19725D57"/>
    <w:rsid w:val="19772445"/>
    <w:rsid w:val="197764B7"/>
    <w:rsid w:val="197B2B7F"/>
    <w:rsid w:val="197B6497"/>
    <w:rsid w:val="197C1B8E"/>
    <w:rsid w:val="198104DD"/>
    <w:rsid w:val="19841706"/>
    <w:rsid w:val="198A5A1F"/>
    <w:rsid w:val="19906343"/>
    <w:rsid w:val="19913B95"/>
    <w:rsid w:val="19914071"/>
    <w:rsid w:val="19980F7D"/>
    <w:rsid w:val="199967D4"/>
    <w:rsid w:val="19A10A2B"/>
    <w:rsid w:val="19A3593E"/>
    <w:rsid w:val="19AA0BBB"/>
    <w:rsid w:val="19B02EFF"/>
    <w:rsid w:val="19B656FE"/>
    <w:rsid w:val="19B90B3E"/>
    <w:rsid w:val="19BB4CD9"/>
    <w:rsid w:val="19BF5D55"/>
    <w:rsid w:val="19C21FBF"/>
    <w:rsid w:val="19C34B00"/>
    <w:rsid w:val="19C957CC"/>
    <w:rsid w:val="19CC0B79"/>
    <w:rsid w:val="19CF24FE"/>
    <w:rsid w:val="19CF2A28"/>
    <w:rsid w:val="19D1658E"/>
    <w:rsid w:val="19D221B3"/>
    <w:rsid w:val="19D37C49"/>
    <w:rsid w:val="19D75E69"/>
    <w:rsid w:val="19D84352"/>
    <w:rsid w:val="19D844CB"/>
    <w:rsid w:val="19E2192D"/>
    <w:rsid w:val="19E30D62"/>
    <w:rsid w:val="19EB5C24"/>
    <w:rsid w:val="19EF2A26"/>
    <w:rsid w:val="19F00583"/>
    <w:rsid w:val="19F177DA"/>
    <w:rsid w:val="19F6156A"/>
    <w:rsid w:val="19F6465F"/>
    <w:rsid w:val="19F91F39"/>
    <w:rsid w:val="1A006484"/>
    <w:rsid w:val="1A0D77CD"/>
    <w:rsid w:val="1A0E1FF1"/>
    <w:rsid w:val="1A150092"/>
    <w:rsid w:val="1A164C33"/>
    <w:rsid w:val="1A17456E"/>
    <w:rsid w:val="1A321FD9"/>
    <w:rsid w:val="1A345135"/>
    <w:rsid w:val="1A376906"/>
    <w:rsid w:val="1A450FBA"/>
    <w:rsid w:val="1A483441"/>
    <w:rsid w:val="1A51390F"/>
    <w:rsid w:val="1A516B8A"/>
    <w:rsid w:val="1A5200C9"/>
    <w:rsid w:val="1A5275A1"/>
    <w:rsid w:val="1A5304D7"/>
    <w:rsid w:val="1A572E3C"/>
    <w:rsid w:val="1A5A28F3"/>
    <w:rsid w:val="1A5C4792"/>
    <w:rsid w:val="1A5E6CB7"/>
    <w:rsid w:val="1A5F5E17"/>
    <w:rsid w:val="1A634729"/>
    <w:rsid w:val="1A63695C"/>
    <w:rsid w:val="1A636DED"/>
    <w:rsid w:val="1A665F33"/>
    <w:rsid w:val="1A676ACD"/>
    <w:rsid w:val="1A6A776B"/>
    <w:rsid w:val="1A6B28F8"/>
    <w:rsid w:val="1A6C5A3D"/>
    <w:rsid w:val="1A6E1FB1"/>
    <w:rsid w:val="1A741783"/>
    <w:rsid w:val="1A7769F4"/>
    <w:rsid w:val="1A7A099B"/>
    <w:rsid w:val="1A7F07DA"/>
    <w:rsid w:val="1A8D603D"/>
    <w:rsid w:val="1A8D6CA4"/>
    <w:rsid w:val="1A8E7143"/>
    <w:rsid w:val="1A930B13"/>
    <w:rsid w:val="1A935B83"/>
    <w:rsid w:val="1A936A62"/>
    <w:rsid w:val="1A944514"/>
    <w:rsid w:val="1A957C1A"/>
    <w:rsid w:val="1A964636"/>
    <w:rsid w:val="1A9B1CEE"/>
    <w:rsid w:val="1A9E3534"/>
    <w:rsid w:val="1AA00634"/>
    <w:rsid w:val="1AA47F8D"/>
    <w:rsid w:val="1AA83DEC"/>
    <w:rsid w:val="1AAC52D7"/>
    <w:rsid w:val="1AB20E6C"/>
    <w:rsid w:val="1AB31541"/>
    <w:rsid w:val="1AB335D6"/>
    <w:rsid w:val="1AB414FC"/>
    <w:rsid w:val="1AB90E05"/>
    <w:rsid w:val="1ABF37B8"/>
    <w:rsid w:val="1AC22ACC"/>
    <w:rsid w:val="1AC35ECD"/>
    <w:rsid w:val="1AC47E33"/>
    <w:rsid w:val="1AC5317F"/>
    <w:rsid w:val="1AC67D36"/>
    <w:rsid w:val="1AC700AE"/>
    <w:rsid w:val="1AC9667F"/>
    <w:rsid w:val="1ACE2598"/>
    <w:rsid w:val="1ACE3DE8"/>
    <w:rsid w:val="1AD14472"/>
    <w:rsid w:val="1AD33E84"/>
    <w:rsid w:val="1AD522DE"/>
    <w:rsid w:val="1AD53876"/>
    <w:rsid w:val="1AD63DE9"/>
    <w:rsid w:val="1ADB4957"/>
    <w:rsid w:val="1AE20921"/>
    <w:rsid w:val="1AE813A0"/>
    <w:rsid w:val="1AEA25E7"/>
    <w:rsid w:val="1AEF59AD"/>
    <w:rsid w:val="1AF66E42"/>
    <w:rsid w:val="1AF843DB"/>
    <w:rsid w:val="1AFB5918"/>
    <w:rsid w:val="1AFE0D0C"/>
    <w:rsid w:val="1AFE675F"/>
    <w:rsid w:val="1B000CF9"/>
    <w:rsid w:val="1B013720"/>
    <w:rsid w:val="1B0B0810"/>
    <w:rsid w:val="1B0C7222"/>
    <w:rsid w:val="1B0D7F40"/>
    <w:rsid w:val="1B140F7E"/>
    <w:rsid w:val="1B146731"/>
    <w:rsid w:val="1B166E3B"/>
    <w:rsid w:val="1B1B3DD6"/>
    <w:rsid w:val="1B1F63F0"/>
    <w:rsid w:val="1B240ACF"/>
    <w:rsid w:val="1B266FCC"/>
    <w:rsid w:val="1B273C3B"/>
    <w:rsid w:val="1B2A3AEA"/>
    <w:rsid w:val="1B2D7131"/>
    <w:rsid w:val="1B2F1695"/>
    <w:rsid w:val="1B315174"/>
    <w:rsid w:val="1B346DBE"/>
    <w:rsid w:val="1B352E65"/>
    <w:rsid w:val="1B3551EC"/>
    <w:rsid w:val="1B397F39"/>
    <w:rsid w:val="1B3A6781"/>
    <w:rsid w:val="1B3F5DB1"/>
    <w:rsid w:val="1B412AB3"/>
    <w:rsid w:val="1B4224C8"/>
    <w:rsid w:val="1B451EB4"/>
    <w:rsid w:val="1B454257"/>
    <w:rsid w:val="1B4A6980"/>
    <w:rsid w:val="1B4E3651"/>
    <w:rsid w:val="1B527079"/>
    <w:rsid w:val="1B5B1AEA"/>
    <w:rsid w:val="1B5C1511"/>
    <w:rsid w:val="1B5E0C6F"/>
    <w:rsid w:val="1B5E31CA"/>
    <w:rsid w:val="1B6573F0"/>
    <w:rsid w:val="1B65777E"/>
    <w:rsid w:val="1B661AE7"/>
    <w:rsid w:val="1B6B336F"/>
    <w:rsid w:val="1B6E74AE"/>
    <w:rsid w:val="1B737DED"/>
    <w:rsid w:val="1B744287"/>
    <w:rsid w:val="1B77576E"/>
    <w:rsid w:val="1B7F65BD"/>
    <w:rsid w:val="1B8B09A6"/>
    <w:rsid w:val="1B8E2979"/>
    <w:rsid w:val="1B8E674B"/>
    <w:rsid w:val="1B8F6FC3"/>
    <w:rsid w:val="1B9077D9"/>
    <w:rsid w:val="1B9263AC"/>
    <w:rsid w:val="1BA27500"/>
    <w:rsid w:val="1BA44D7A"/>
    <w:rsid w:val="1BA6277D"/>
    <w:rsid w:val="1BAA316A"/>
    <w:rsid w:val="1BAD0EF8"/>
    <w:rsid w:val="1BB07266"/>
    <w:rsid w:val="1BB44488"/>
    <w:rsid w:val="1BB44D29"/>
    <w:rsid w:val="1BB77BFA"/>
    <w:rsid w:val="1BB77EA1"/>
    <w:rsid w:val="1BBD64D2"/>
    <w:rsid w:val="1BBF4FB2"/>
    <w:rsid w:val="1BC60C56"/>
    <w:rsid w:val="1BC6275B"/>
    <w:rsid w:val="1BC852FD"/>
    <w:rsid w:val="1BCF49CB"/>
    <w:rsid w:val="1BD55B09"/>
    <w:rsid w:val="1BDC57E9"/>
    <w:rsid w:val="1BDF75D1"/>
    <w:rsid w:val="1BE333E5"/>
    <w:rsid w:val="1BE4741E"/>
    <w:rsid w:val="1BE50ACD"/>
    <w:rsid w:val="1BE5730E"/>
    <w:rsid w:val="1BEA1B24"/>
    <w:rsid w:val="1BEA50A5"/>
    <w:rsid w:val="1BEC5EFD"/>
    <w:rsid w:val="1BED7859"/>
    <w:rsid w:val="1BEF065F"/>
    <w:rsid w:val="1BF555C1"/>
    <w:rsid w:val="1BF6082D"/>
    <w:rsid w:val="1BF729A4"/>
    <w:rsid w:val="1BFA305B"/>
    <w:rsid w:val="1BFC2904"/>
    <w:rsid w:val="1BFC626D"/>
    <w:rsid w:val="1C01242C"/>
    <w:rsid w:val="1C024A60"/>
    <w:rsid w:val="1C040C12"/>
    <w:rsid w:val="1C041D93"/>
    <w:rsid w:val="1C102345"/>
    <w:rsid w:val="1C152E63"/>
    <w:rsid w:val="1C166221"/>
    <w:rsid w:val="1C1721AF"/>
    <w:rsid w:val="1C183C04"/>
    <w:rsid w:val="1C1856F3"/>
    <w:rsid w:val="1C192D5D"/>
    <w:rsid w:val="1C197E89"/>
    <w:rsid w:val="1C1C41F0"/>
    <w:rsid w:val="1C1C4BE4"/>
    <w:rsid w:val="1C1D40AD"/>
    <w:rsid w:val="1C1F29B2"/>
    <w:rsid w:val="1C202B0C"/>
    <w:rsid w:val="1C2478DE"/>
    <w:rsid w:val="1C2770EC"/>
    <w:rsid w:val="1C2A05D0"/>
    <w:rsid w:val="1C316937"/>
    <w:rsid w:val="1C3177A4"/>
    <w:rsid w:val="1C347028"/>
    <w:rsid w:val="1C3A4CDD"/>
    <w:rsid w:val="1C3B3F23"/>
    <w:rsid w:val="1C405EE5"/>
    <w:rsid w:val="1C4324B9"/>
    <w:rsid w:val="1C455B32"/>
    <w:rsid w:val="1C471FE3"/>
    <w:rsid w:val="1C4A614C"/>
    <w:rsid w:val="1C4B50B6"/>
    <w:rsid w:val="1C552291"/>
    <w:rsid w:val="1C557FB3"/>
    <w:rsid w:val="1C5C26FD"/>
    <w:rsid w:val="1C5C36E7"/>
    <w:rsid w:val="1C5C5FC8"/>
    <w:rsid w:val="1C5D3EB4"/>
    <w:rsid w:val="1C5E0FB7"/>
    <w:rsid w:val="1C6E1D3C"/>
    <w:rsid w:val="1C71181F"/>
    <w:rsid w:val="1C74115A"/>
    <w:rsid w:val="1C792A4D"/>
    <w:rsid w:val="1C7A3159"/>
    <w:rsid w:val="1C7C0B5B"/>
    <w:rsid w:val="1C7F1017"/>
    <w:rsid w:val="1C826663"/>
    <w:rsid w:val="1C86218C"/>
    <w:rsid w:val="1C8653C0"/>
    <w:rsid w:val="1C87464E"/>
    <w:rsid w:val="1C887E7E"/>
    <w:rsid w:val="1C892E97"/>
    <w:rsid w:val="1C8B4283"/>
    <w:rsid w:val="1C8D55AC"/>
    <w:rsid w:val="1C936918"/>
    <w:rsid w:val="1C9438AD"/>
    <w:rsid w:val="1C9604D5"/>
    <w:rsid w:val="1C964B31"/>
    <w:rsid w:val="1C97027E"/>
    <w:rsid w:val="1C99553C"/>
    <w:rsid w:val="1C9C2BF7"/>
    <w:rsid w:val="1C9D1F41"/>
    <w:rsid w:val="1C9E7E58"/>
    <w:rsid w:val="1C9F0F7C"/>
    <w:rsid w:val="1CA239A8"/>
    <w:rsid w:val="1CA8126B"/>
    <w:rsid w:val="1CA8685B"/>
    <w:rsid w:val="1CB1394D"/>
    <w:rsid w:val="1CB617DE"/>
    <w:rsid w:val="1CB93A06"/>
    <w:rsid w:val="1CBE3424"/>
    <w:rsid w:val="1CC02934"/>
    <w:rsid w:val="1CC04183"/>
    <w:rsid w:val="1CC345BD"/>
    <w:rsid w:val="1CC75909"/>
    <w:rsid w:val="1CC87532"/>
    <w:rsid w:val="1CC93D83"/>
    <w:rsid w:val="1CD144A6"/>
    <w:rsid w:val="1CD208D2"/>
    <w:rsid w:val="1CD51382"/>
    <w:rsid w:val="1CD802BE"/>
    <w:rsid w:val="1CE1244E"/>
    <w:rsid w:val="1CE133BF"/>
    <w:rsid w:val="1CE23F4D"/>
    <w:rsid w:val="1CE2503E"/>
    <w:rsid w:val="1CE25D3C"/>
    <w:rsid w:val="1CE31911"/>
    <w:rsid w:val="1CE60D03"/>
    <w:rsid w:val="1CE93AAF"/>
    <w:rsid w:val="1CE97E6D"/>
    <w:rsid w:val="1CF401C5"/>
    <w:rsid w:val="1CF54070"/>
    <w:rsid w:val="1CF62320"/>
    <w:rsid w:val="1D051701"/>
    <w:rsid w:val="1D09330D"/>
    <w:rsid w:val="1D0A0E86"/>
    <w:rsid w:val="1D1349F3"/>
    <w:rsid w:val="1D1411C2"/>
    <w:rsid w:val="1D1904AF"/>
    <w:rsid w:val="1D1A5AF7"/>
    <w:rsid w:val="1D1D3C0D"/>
    <w:rsid w:val="1D1D4F18"/>
    <w:rsid w:val="1D27378A"/>
    <w:rsid w:val="1D290E94"/>
    <w:rsid w:val="1D2B7E23"/>
    <w:rsid w:val="1D2E6710"/>
    <w:rsid w:val="1D2F17F7"/>
    <w:rsid w:val="1D2F4EEA"/>
    <w:rsid w:val="1D307596"/>
    <w:rsid w:val="1D307D00"/>
    <w:rsid w:val="1D314829"/>
    <w:rsid w:val="1D34555E"/>
    <w:rsid w:val="1D354D6E"/>
    <w:rsid w:val="1D361778"/>
    <w:rsid w:val="1D3674DB"/>
    <w:rsid w:val="1D3A5CD6"/>
    <w:rsid w:val="1D3B5324"/>
    <w:rsid w:val="1D3B56B9"/>
    <w:rsid w:val="1D3E2DE5"/>
    <w:rsid w:val="1D4012D6"/>
    <w:rsid w:val="1D40221F"/>
    <w:rsid w:val="1D4708CB"/>
    <w:rsid w:val="1D487F1D"/>
    <w:rsid w:val="1D492113"/>
    <w:rsid w:val="1D512372"/>
    <w:rsid w:val="1D5247B6"/>
    <w:rsid w:val="1D573794"/>
    <w:rsid w:val="1D687155"/>
    <w:rsid w:val="1D6D0FFE"/>
    <w:rsid w:val="1D716584"/>
    <w:rsid w:val="1D7714DF"/>
    <w:rsid w:val="1D79253D"/>
    <w:rsid w:val="1D7A17B0"/>
    <w:rsid w:val="1D7C36B7"/>
    <w:rsid w:val="1D811339"/>
    <w:rsid w:val="1D823497"/>
    <w:rsid w:val="1D85481D"/>
    <w:rsid w:val="1D8F1192"/>
    <w:rsid w:val="1D90493F"/>
    <w:rsid w:val="1D9D56C0"/>
    <w:rsid w:val="1D9E2AC1"/>
    <w:rsid w:val="1D9F2611"/>
    <w:rsid w:val="1DA138C3"/>
    <w:rsid w:val="1DAB282F"/>
    <w:rsid w:val="1DAC3830"/>
    <w:rsid w:val="1DB20B0A"/>
    <w:rsid w:val="1DB33403"/>
    <w:rsid w:val="1DB54618"/>
    <w:rsid w:val="1DBA700A"/>
    <w:rsid w:val="1DBA7216"/>
    <w:rsid w:val="1DBB22EA"/>
    <w:rsid w:val="1DBC4C23"/>
    <w:rsid w:val="1DC17F1B"/>
    <w:rsid w:val="1DC27900"/>
    <w:rsid w:val="1DC46E4D"/>
    <w:rsid w:val="1DC614B2"/>
    <w:rsid w:val="1DC72472"/>
    <w:rsid w:val="1DCD7B3A"/>
    <w:rsid w:val="1DD12273"/>
    <w:rsid w:val="1DD90720"/>
    <w:rsid w:val="1DDE79C3"/>
    <w:rsid w:val="1DE12186"/>
    <w:rsid w:val="1DE23D0F"/>
    <w:rsid w:val="1DE31373"/>
    <w:rsid w:val="1DE56098"/>
    <w:rsid w:val="1DE75DF8"/>
    <w:rsid w:val="1DEE5ACA"/>
    <w:rsid w:val="1DEF29A7"/>
    <w:rsid w:val="1DF122B8"/>
    <w:rsid w:val="1DF30233"/>
    <w:rsid w:val="1DF312DF"/>
    <w:rsid w:val="1DF714D3"/>
    <w:rsid w:val="1DF72977"/>
    <w:rsid w:val="1DF83479"/>
    <w:rsid w:val="1DFF47A3"/>
    <w:rsid w:val="1E055A68"/>
    <w:rsid w:val="1E075A31"/>
    <w:rsid w:val="1E0764E6"/>
    <w:rsid w:val="1E0B17F6"/>
    <w:rsid w:val="1E0D1FAC"/>
    <w:rsid w:val="1E16129F"/>
    <w:rsid w:val="1E174F9B"/>
    <w:rsid w:val="1E1D74CD"/>
    <w:rsid w:val="1E261594"/>
    <w:rsid w:val="1E290066"/>
    <w:rsid w:val="1E2A0C5E"/>
    <w:rsid w:val="1E2A1A6E"/>
    <w:rsid w:val="1E2E48CE"/>
    <w:rsid w:val="1E371C1B"/>
    <w:rsid w:val="1E3947D6"/>
    <w:rsid w:val="1E3B5872"/>
    <w:rsid w:val="1E457A1B"/>
    <w:rsid w:val="1E47752C"/>
    <w:rsid w:val="1E48154C"/>
    <w:rsid w:val="1E48592B"/>
    <w:rsid w:val="1E4D5EB8"/>
    <w:rsid w:val="1E4F41D7"/>
    <w:rsid w:val="1E51122F"/>
    <w:rsid w:val="1E511EAF"/>
    <w:rsid w:val="1E51590D"/>
    <w:rsid w:val="1E516A87"/>
    <w:rsid w:val="1E5B1EE3"/>
    <w:rsid w:val="1E5C62B1"/>
    <w:rsid w:val="1E5D3A1D"/>
    <w:rsid w:val="1E6139A1"/>
    <w:rsid w:val="1E667288"/>
    <w:rsid w:val="1E686C0B"/>
    <w:rsid w:val="1E702425"/>
    <w:rsid w:val="1E744D54"/>
    <w:rsid w:val="1E766BFD"/>
    <w:rsid w:val="1E7B5F1F"/>
    <w:rsid w:val="1E7D067B"/>
    <w:rsid w:val="1E7E3DCD"/>
    <w:rsid w:val="1E7F630C"/>
    <w:rsid w:val="1E815D7C"/>
    <w:rsid w:val="1E8514B1"/>
    <w:rsid w:val="1E8B1DE4"/>
    <w:rsid w:val="1E8B28EB"/>
    <w:rsid w:val="1E8B7E27"/>
    <w:rsid w:val="1E8C0CC3"/>
    <w:rsid w:val="1E8E268A"/>
    <w:rsid w:val="1E905867"/>
    <w:rsid w:val="1E933BDF"/>
    <w:rsid w:val="1E934B67"/>
    <w:rsid w:val="1E937356"/>
    <w:rsid w:val="1E9B1972"/>
    <w:rsid w:val="1E9B4463"/>
    <w:rsid w:val="1E9E6448"/>
    <w:rsid w:val="1EA064E6"/>
    <w:rsid w:val="1EA10A16"/>
    <w:rsid w:val="1EAE24A0"/>
    <w:rsid w:val="1EAF3760"/>
    <w:rsid w:val="1EB25813"/>
    <w:rsid w:val="1EB35E0C"/>
    <w:rsid w:val="1EB3633D"/>
    <w:rsid w:val="1EB4404B"/>
    <w:rsid w:val="1EB94472"/>
    <w:rsid w:val="1EBA3BD2"/>
    <w:rsid w:val="1EC33CC3"/>
    <w:rsid w:val="1EC83883"/>
    <w:rsid w:val="1EC85AC2"/>
    <w:rsid w:val="1ECD1370"/>
    <w:rsid w:val="1ECE55FE"/>
    <w:rsid w:val="1ECF3C11"/>
    <w:rsid w:val="1ED02B18"/>
    <w:rsid w:val="1ED17FB1"/>
    <w:rsid w:val="1ED44D47"/>
    <w:rsid w:val="1ED70C4E"/>
    <w:rsid w:val="1EDE42A8"/>
    <w:rsid w:val="1EE713E9"/>
    <w:rsid w:val="1EE74BE9"/>
    <w:rsid w:val="1EED4455"/>
    <w:rsid w:val="1EED67A7"/>
    <w:rsid w:val="1EEE74E5"/>
    <w:rsid w:val="1EF0292A"/>
    <w:rsid w:val="1EF1434E"/>
    <w:rsid w:val="1EF409EF"/>
    <w:rsid w:val="1EF94522"/>
    <w:rsid w:val="1EFB663B"/>
    <w:rsid w:val="1EFD4580"/>
    <w:rsid w:val="1EFD7F83"/>
    <w:rsid w:val="1F0657B3"/>
    <w:rsid w:val="1F077D5E"/>
    <w:rsid w:val="1F0B674F"/>
    <w:rsid w:val="1F0F0F85"/>
    <w:rsid w:val="1F101371"/>
    <w:rsid w:val="1F104F2F"/>
    <w:rsid w:val="1F11198F"/>
    <w:rsid w:val="1F115E6B"/>
    <w:rsid w:val="1F1451DF"/>
    <w:rsid w:val="1F155854"/>
    <w:rsid w:val="1F156737"/>
    <w:rsid w:val="1F19374E"/>
    <w:rsid w:val="1F1B2E2D"/>
    <w:rsid w:val="1F1D4A8B"/>
    <w:rsid w:val="1F2271DF"/>
    <w:rsid w:val="1F242065"/>
    <w:rsid w:val="1F24487D"/>
    <w:rsid w:val="1F257338"/>
    <w:rsid w:val="1F2715FC"/>
    <w:rsid w:val="1F283475"/>
    <w:rsid w:val="1F291835"/>
    <w:rsid w:val="1F322A83"/>
    <w:rsid w:val="1F331506"/>
    <w:rsid w:val="1F3463DA"/>
    <w:rsid w:val="1F365F6C"/>
    <w:rsid w:val="1F3700D5"/>
    <w:rsid w:val="1F395AA1"/>
    <w:rsid w:val="1F415B56"/>
    <w:rsid w:val="1F43668A"/>
    <w:rsid w:val="1F440DAF"/>
    <w:rsid w:val="1F4748B4"/>
    <w:rsid w:val="1F525D69"/>
    <w:rsid w:val="1F532903"/>
    <w:rsid w:val="1F554C3E"/>
    <w:rsid w:val="1F5C2731"/>
    <w:rsid w:val="1F604FC4"/>
    <w:rsid w:val="1F610A1E"/>
    <w:rsid w:val="1F6210CC"/>
    <w:rsid w:val="1F6842DA"/>
    <w:rsid w:val="1F6924C0"/>
    <w:rsid w:val="1F6E14E4"/>
    <w:rsid w:val="1F727174"/>
    <w:rsid w:val="1F751FFB"/>
    <w:rsid w:val="1F752B85"/>
    <w:rsid w:val="1F767B7C"/>
    <w:rsid w:val="1F7A742C"/>
    <w:rsid w:val="1F825885"/>
    <w:rsid w:val="1F830EDB"/>
    <w:rsid w:val="1F84713D"/>
    <w:rsid w:val="1F867816"/>
    <w:rsid w:val="1F876062"/>
    <w:rsid w:val="1F877558"/>
    <w:rsid w:val="1F8815AB"/>
    <w:rsid w:val="1F89123F"/>
    <w:rsid w:val="1F8D3E7C"/>
    <w:rsid w:val="1F9054F0"/>
    <w:rsid w:val="1F934387"/>
    <w:rsid w:val="1F956A87"/>
    <w:rsid w:val="1F9C1744"/>
    <w:rsid w:val="1F9C3BA4"/>
    <w:rsid w:val="1FA071E3"/>
    <w:rsid w:val="1FA713B2"/>
    <w:rsid w:val="1FAB04D1"/>
    <w:rsid w:val="1FAB16EA"/>
    <w:rsid w:val="1FAE3BBD"/>
    <w:rsid w:val="1FAE6D69"/>
    <w:rsid w:val="1FB17D33"/>
    <w:rsid w:val="1FB75BCD"/>
    <w:rsid w:val="1FB84361"/>
    <w:rsid w:val="1FB92E8B"/>
    <w:rsid w:val="1FBA3A4E"/>
    <w:rsid w:val="1FBA48A0"/>
    <w:rsid w:val="1FC06410"/>
    <w:rsid w:val="1FC50CA0"/>
    <w:rsid w:val="1FC6148D"/>
    <w:rsid w:val="1FCB1070"/>
    <w:rsid w:val="1FCE3A00"/>
    <w:rsid w:val="1FD14601"/>
    <w:rsid w:val="1FD31198"/>
    <w:rsid w:val="1FD71120"/>
    <w:rsid w:val="1FD84A9A"/>
    <w:rsid w:val="1FDC1962"/>
    <w:rsid w:val="1FE449CE"/>
    <w:rsid w:val="1FE71884"/>
    <w:rsid w:val="1FE93446"/>
    <w:rsid w:val="1FEA5567"/>
    <w:rsid w:val="1FEB5260"/>
    <w:rsid w:val="1FED5341"/>
    <w:rsid w:val="1FEF44FD"/>
    <w:rsid w:val="1FF42F30"/>
    <w:rsid w:val="1FF6699A"/>
    <w:rsid w:val="20004829"/>
    <w:rsid w:val="20017E4E"/>
    <w:rsid w:val="20035828"/>
    <w:rsid w:val="20044DE5"/>
    <w:rsid w:val="20050DB0"/>
    <w:rsid w:val="200548D0"/>
    <w:rsid w:val="20087E4F"/>
    <w:rsid w:val="200D321A"/>
    <w:rsid w:val="20131921"/>
    <w:rsid w:val="2013436C"/>
    <w:rsid w:val="201D5A09"/>
    <w:rsid w:val="201D67C0"/>
    <w:rsid w:val="201E2CF4"/>
    <w:rsid w:val="201F4ABD"/>
    <w:rsid w:val="20205243"/>
    <w:rsid w:val="20251B92"/>
    <w:rsid w:val="20281F72"/>
    <w:rsid w:val="202B4147"/>
    <w:rsid w:val="202C1C6B"/>
    <w:rsid w:val="203200D6"/>
    <w:rsid w:val="20334C7C"/>
    <w:rsid w:val="20335A95"/>
    <w:rsid w:val="20345542"/>
    <w:rsid w:val="203A2CF2"/>
    <w:rsid w:val="203E1FE6"/>
    <w:rsid w:val="203E3A6D"/>
    <w:rsid w:val="20422FF0"/>
    <w:rsid w:val="204413F2"/>
    <w:rsid w:val="20497655"/>
    <w:rsid w:val="204B270F"/>
    <w:rsid w:val="204C1710"/>
    <w:rsid w:val="204D61D2"/>
    <w:rsid w:val="20557BCF"/>
    <w:rsid w:val="20572834"/>
    <w:rsid w:val="205A455F"/>
    <w:rsid w:val="205A5786"/>
    <w:rsid w:val="20677E00"/>
    <w:rsid w:val="2069089F"/>
    <w:rsid w:val="206909D6"/>
    <w:rsid w:val="206E7F4A"/>
    <w:rsid w:val="206F0FFC"/>
    <w:rsid w:val="207128A4"/>
    <w:rsid w:val="2076334D"/>
    <w:rsid w:val="2077258D"/>
    <w:rsid w:val="20782C9A"/>
    <w:rsid w:val="2079065E"/>
    <w:rsid w:val="20851336"/>
    <w:rsid w:val="20891EC4"/>
    <w:rsid w:val="208A4C3D"/>
    <w:rsid w:val="208D29B6"/>
    <w:rsid w:val="20903B2B"/>
    <w:rsid w:val="20984519"/>
    <w:rsid w:val="209B6BF1"/>
    <w:rsid w:val="20A057EF"/>
    <w:rsid w:val="20A21D57"/>
    <w:rsid w:val="20A522F5"/>
    <w:rsid w:val="20A549D0"/>
    <w:rsid w:val="20B45B3A"/>
    <w:rsid w:val="20B70FC2"/>
    <w:rsid w:val="20B95871"/>
    <w:rsid w:val="20BA11F6"/>
    <w:rsid w:val="20BA4165"/>
    <w:rsid w:val="20BB0C2E"/>
    <w:rsid w:val="20BF24CE"/>
    <w:rsid w:val="20C67DE0"/>
    <w:rsid w:val="20CC1215"/>
    <w:rsid w:val="20D27822"/>
    <w:rsid w:val="20D57851"/>
    <w:rsid w:val="20D90D48"/>
    <w:rsid w:val="20DC45BF"/>
    <w:rsid w:val="20DC5F54"/>
    <w:rsid w:val="20DE4111"/>
    <w:rsid w:val="20E26C92"/>
    <w:rsid w:val="20E80DBD"/>
    <w:rsid w:val="20ED45EF"/>
    <w:rsid w:val="20F20ACD"/>
    <w:rsid w:val="20F20B95"/>
    <w:rsid w:val="20F25F0A"/>
    <w:rsid w:val="20F6450A"/>
    <w:rsid w:val="20F93963"/>
    <w:rsid w:val="20FB0DEC"/>
    <w:rsid w:val="20FF2AD8"/>
    <w:rsid w:val="21076391"/>
    <w:rsid w:val="210A4E7B"/>
    <w:rsid w:val="210B7413"/>
    <w:rsid w:val="210C71CD"/>
    <w:rsid w:val="210E62B5"/>
    <w:rsid w:val="21130204"/>
    <w:rsid w:val="21130786"/>
    <w:rsid w:val="21133840"/>
    <w:rsid w:val="2115251E"/>
    <w:rsid w:val="21196E0E"/>
    <w:rsid w:val="211D1FDA"/>
    <w:rsid w:val="21261837"/>
    <w:rsid w:val="212A1942"/>
    <w:rsid w:val="212B2409"/>
    <w:rsid w:val="212C5494"/>
    <w:rsid w:val="213210C9"/>
    <w:rsid w:val="21370189"/>
    <w:rsid w:val="21390F33"/>
    <w:rsid w:val="21394746"/>
    <w:rsid w:val="213D7982"/>
    <w:rsid w:val="21425D89"/>
    <w:rsid w:val="21496B20"/>
    <w:rsid w:val="214D0171"/>
    <w:rsid w:val="214E7567"/>
    <w:rsid w:val="21513FD1"/>
    <w:rsid w:val="21563BEA"/>
    <w:rsid w:val="215C2D02"/>
    <w:rsid w:val="215D1343"/>
    <w:rsid w:val="215E7A3E"/>
    <w:rsid w:val="216336E6"/>
    <w:rsid w:val="21637301"/>
    <w:rsid w:val="216745FA"/>
    <w:rsid w:val="21691D10"/>
    <w:rsid w:val="216F6BA9"/>
    <w:rsid w:val="21702B17"/>
    <w:rsid w:val="2174147B"/>
    <w:rsid w:val="2175602B"/>
    <w:rsid w:val="21796221"/>
    <w:rsid w:val="217C1A9D"/>
    <w:rsid w:val="217D4126"/>
    <w:rsid w:val="218205E1"/>
    <w:rsid w:val="21824E2E"/>
    <w:rsid w:val="2186684A"/>
    <w:rsid w:val="21890531"/>
    <w:rsid w:val="218B7755"/>
    <w:rsid w:val="218C7EF4"/>
    <w:rsid w:val="218E1D55"/>
    <w:rsid w:val="218F568E"/>
    <w:rsid w:val="21975846"/>
    <w:rsid w:val="21A20B6A"/>
    <w:rsid w:val="21A341DC"/>
    <w:rsid w:val="21AB0127"/>
    <w:rsid w:val="21AC7F7E"/>
    <w:rsid w:val="21AE076F"/>
    <w:rsid w:val="21AF3078"/>
    <w:rsid w:val="21AF4439"/>
    <w:rsid w:val="21B077B2"/>
    <w:rsid w:val="21B219A6"/>
    <w:rsid w:val="21B2400C"/>
    <w:rsid w:val="21B57997"/>
    <w:rsid w:val="21BE0215"/>
    <w:rsid w:val="21C438CE"/>
    <w:rsid w:val="21C666C1"/>
    <w:rsid w:val="21CA14BC"/>
    <w:rsid w:val="21CB5F87"/>
    <w:rsid w:val="21CD35EB"/>
    <w:rsid w:val="21CD7766"/>
    <w:rsid w:val="21D019A6"/>
    <w:rsid w:val="21D20116"/>
    <w:rsid w:val="21D55027"/>
    <w:rsid w:val="21DB1F7A"/>
    <w:rsid w:val="21E0507B"/>
    <w:rsid w:val="21E27B06"/>
    <w:rsid w:val="21E50D10"/>
    <w:rsid w:val="21E95DBC"/>
    <w:rsid w:val="21EA2CF8"/>
    <w:rsid w:val="21EB39F3"/>
    <w:rsid w:val="21F153C8"/>
    <w:rsid w:val="21F522A0"/>
    <w:rsid w:val="21F6719E"/>
    <w:rsid w:val="21F67E1E"/>
    <w:rsid w:val="21F71D17"/>
    <w:rsid w:val="21F762C2"/>
    <w:rsid w:val="21FD70D0"/>
    <w:rsid w:val="220136C1"/>
    <w:rsid w:val="22020DC8"/>
    <w:rsid w:val="2205451B"/>
    <w:rsid w:val="22067665"/>
    <w:rsid w:val="220750A8"/>
    <w:rsid w:val="22095CFC"/>
    <w:rsid w:val="220A1605"/>
    <w:rsid w:val="220E372B"/>
    <w:rsid w:val="220F02D9"/>
    <w:rsid w:val="221257D2"/>
    <w:rsid w:val="22137AC7"/>
    <w:rsid w:val="22162ED9"/>
    <w:rsid w:val="22163B26"/>
    <w:rsid w:val="2217445D"/>
    <w:rsid w:val="221C0707"/>
    <w:rsid w:val="221C5B7C"/>
    <w:rsid w:val="221D2BC4"/>
    <w:rsid w:val="222049C7"/>
    <w:rsid w:val="2223186F"/>
    <w:rsid w:val="22260052"/>
    <w:rsid w:val="222B0530"/>
    <w:rsid w:val="222B64ED"/>
    <w:rsid w:val="222E07E7"/>
    <w:rsid w:val="222E0D00"/>
    <w:rsid w:val="222E6DCB"/>
    <w:rsid w:val="222F1B7D"/>
    <w:rsid w:val="223312B5"/>
    <w:rsid w:val="22333612"/>
    <w:rsid w:val="223361DB"/>
    <w:rsid w:val="22343308"/>
    <w:rsid w:val="22343666"/>
    <w:rsid w:val="22373F77"/>
    <w:rsid w:val="22453A50"/>
    <w:rsid w:val="22486082"/>
    <w:rsid w:val="224C128F"/>
    <w:rsid w:val="225475F7"/>
    <w:rsid w:val="2257756C"/>
    <w:rsid w:val="22595042"/>
    <w:rsid w:val="225A497E"/>
    <w:rsid w:val="225A4D18"/>
    <w:rsid w:val="225E2D09"/>
    <w:rsid w:val="22613532"/>
    <w:rsid w:val="22651388"/>
    <w:rsid w:val="22682FCA"/>
    <w:rsid w:val="226A6999"/>
    <w:rsid w:val="226C6BE1"/>
    <w:rsid w:val="226D5B60"/>
    <w:rsid w:val="226F01A9"/>
    <w:rsid w:val="227339C1"/>
    <w:rsid w:val="22734262"/>
    <w:rsid w:val="227364D8"/>
    <w:rsid w:val="22793AFA"/>
    <w:rsid w:val="227C0944"/>
    <w:rsid w:val="22874726"/>
    <w:rsid w:val="228B27E9"/>
    <w:rsid w:val="228D53B5"/>
    <w:rsid w:val="228F5D27"/>
    <w:rsid w:val="2291065F"/>
    <w:rsid w:val="22937783"/>
    <w:rsid w:val="229841A3"/>
    <w:rsid w:val="22A861D3"/>
    <w:rsid w:val="22A97D11"/>
    <w:rsid w:val="22AA3816"/>
    <w:rsid w:val="22AA61C8"/>
    <w:rsid w:val="22B33511"/>
    <w:rsid w:val="22B81094"/>
    <w:rsid w:val="22B92B31"/>
    <w:rsid w:val="22BE505F"/>
    <w:rsid w:val="22BE7788"/>
    <w:rsid w:val="22C4772F"/>
    <w:rsid w:val="22C92269"/>
    <w:rsid w:val="22CC10F4"/>
    <w:rsid w:val="22CC6B5A"/>
    <w:rsid w:val="22CC7D4D"/>
    <w:rsid w:val="22D9687E"/>
    <w:rsid w:val="22E535E2"/>
    <w:rsid w:val="22E672D4"/>
    <w:rsid w:val="22E86479"/>
    <w:rsid w:val="22EB2B59"/>
    <w:rsid w:val="22EF2181"/>
    <w:rsid w:val="22F21FDE"/>
    <w:rsid w:val="22F710D9"/>
    <w:rsid w:val="22F71AD7"/>
    <w:rsid w:val="22F93292"/>
    <w:rsid w:val="23026776"/>
    <w:rsid w:val="23031A1F"/>
    <w:rsid w:val="230463AE"/>
    <w:rsid w:val="230635E0"/>
    <w:rsid w:val="230C0018"/>
    <w:rsid w:val="230F635D"/>
    <w:rsid w:val="23104F56"/>
    <w:rsid w:val="23151F5D"/>
    <w:rsid w:val="231868B1"/>
    <w:rsid w:val="232411C1"/>
    <w:rsid w:val="23247950"/>
    <w:rsid w:val="232516CE"/>
    <w:rsid w:val="232674C4"/>
    <w:rsid w:val="23311DBE"/>
    <w:rsid w:val="23387670"/>
    <w:rsid w:val="233905C1"/>
    <w:rsid w:val="233B2209"/>
    <w:rsid w:val="233C4FB7"/>
    <w:rsid w:val="233C7C6E"/>
    <w:rsid w:val="234005D0"/>
    <w:rsid w:val="23423BAB"/>
    <w:rsid w:val="23424934"/>
    <w:rsid w:val="23476747"/>
    <w:rsid w:val="234D1838"/>
    <w:rsid w:val="234D7EA0"/>
    <w:rsid w:val="23503A03"/>
    <w:rsid w:val="235111C3"/>
    <w:rsid w:val="235242A7"/>
    <w:rsid w:val="23561D8C"/>
    <w:rsid w:val="235F2FBA"/>
    <w:rsid w:val="23611AEA"/>
    <w:rsid w:val="23624EE1"/>
    <w:rsid w:val="2365652C"/>
    <w:rsid w:val="236960DC"/>
    <w:rsid w:val="236F58F1"/>
    <w:rsid w:val="237067B1"/>
    <w:rsid w:val="237341EB"/>
    <w:rsid w:val="23740CDA"/>
    <w:rsid w:val="23753FDE"/>
    <w:rsid w:val="237B4238"/>
    <w:rsid w:val="238203FD"/>
    <w:rsid w:val="23825EBC"/>
    <w:rsid w:val="238274FE"/>
    <w:rsid w:val="2385656D"/>
    <w:rsid w:val="238A3DAE"/>
    <w:rsid w:val="239334D0"/>
    <w:rsid w:val="239606A5"/>
    <w:rsid w:val="23980116"/>
    <w:rsid w:val="239B1347"/>
    <w:rsid w:val="239C041E"/>
    <w:rsid w:val="239D4623"/>
    <w:rsid w:val="239E3269"/>
    <w:rsid w:val="23A20FDB"/>
    <w:rsid w:val="23A31068"/>
    <w:rsid w:val="23A455DF"/>
    <w:rsid w:val="23A924A2"/>
    <w:rsid w:val="23B16695"/>
    <w:rsid w:val="23B444CE"/>
    <w:rsid w:val="23B814E2"/>
    <w:rsid w:val="23BA12D6"/>
    <w:rsid w:val="23BD32C8"/>
    <w:rsid w:val="23BE77FD"/>
    <w:rsid w:val="23C75A46"/>
    <w:rsid w:val="23CA4D6F"/>
    <w:rsid w:val="23CB6FD2"/>
    <w:rsid w:val="23CD064A"/>
    <w:rsid w:val="23D051F2"/>
    <w:rsid w:val="23D25A98"/>
    <w:rsid w:val="23D55C1F"/>
    <w:rsid w:val="23D74C46"/>
    <w:rsid w:val="23DF0AA7"/>
    <w:rsid w:val="23DF77B7"/>
    <w:rsid w:val="23E07F93"/>
    <w:rsid w:val="23E272CA"/>
    <w:rsid w:val="23EB1B1A"/>
    <w:rsid w:val="23EE56EB"/>
    <w:rsid w:val="23F05A49"/>
    <w:rsid w:val="23F07C7F"/>
    <w:rsid w:val="23F36DCE"/>
    <w:rsid w:val="23F46683"/>
    <w:rsid w:val="23F545C5"/>
    <w:rsid w:val="23FA2D83"/>
    <w:rsid w:val="23FB2B54"/>
    <w:rsid w:val="23FF55CA"/>
    <w:rsid w:val="2404110C"/>
    <w:rsid w:val="24046E61"/>
    <w:rsid w:val="240471AD"/>
    <w:rsid w:val="240863A3"/>
    <w:rsid w:val="240B34CF"/>
    <w:rsid w:val="24100DC3"/>
    <w:rsid w:val="241A5125"/>
    <w:rsid w:val="241B7CA0"/>
    <w:rsid w:val="241C3720"/>
    <w:rsid w:val="241F0FC3"/>
    <w:rsid w:val="24247744"/>
    <w:rsid w:val="2429127F"/>
    <w:rsid w:val="242C7A53"/>
    <w:rsid w:val="242E684B"/>
    <w:rsid w:val="24315180"/>
    <w:rsid w:val="243429A5"/>
    <w:rsid w:val="24383A5D"/>
    <w:rsid w:val="24392C9F"/>
    <w:rsid w:val="243970E2"/>
    <w:rsid w:val="243A7875"/>
    <w:rsid w:val="243F2A3C"/>
    <w:rsid w:val="244A34AC"/>
    <w:rsid w:val="2454045C"/>
    <w:rsid w:val="245A19F2"/>
    <w:rsid w:val="245C0939"/>
    <w:rsid w:val="245E220E"/>
    <w:rsid w:val="2464409D"/>
    <w:rsid w:val="2466377D"/>
    <w:rsid w:val="24685933"/>
    <w:rsid w:val="246C44C6"/>
    <w:rsid w:val="246E3067"/>
    <w:rsid w:val="246F641D"/>
    <w:rsid w:val="24707DA0"/>
    <w:rsid w:val="24782253"/>
    <w:rsid w:val="24794C44"/>
    <w:rsid w:val="247B3433"/>
    <w:rsid w:val="247D3D94"/>
    <w:rsid w:val="247F2EFB"/>
    <w:rsid w:val="2481105D"/>
    <w:rsid w:val="248960EB"/>
    <w:rsid w:val="2489677E"/>
    <w:rsid w:val="248F7F5C"/>
    <w:rsid w:val="24917326"/>
    <w:rsid w:val="249262CC"/>
    <w:rsid w:val="249322C0"/>
    <w:rsid w:val="249821A9"/>
    <w:rsid w:val="249874CB"/>
    <w:rsid w:val="24987B6D"/>
    <w:rsid w:val="249C3A66"/>
    <w:rsid w:val="24A01611"/>
    <w:rsid w:val="24A45675"/>
    <w:rsid w:val="24A65092"/>
    <w:rsid w:val="24AB4BF9"/>
    <w:rsid w:val="24AB6C54"/>
    <w:rsid w:val="24AB7801"/>
    <w:rsid w:val="24AC7C72"/>
    <w:rsid w:val="24B110A7"/>
    <w:rsid w:val="24B1700A"/>
    <w:rsid w:val="24B40137"/>
    <w:rsid w:val="24B51B23"/>
    <w:rsid w:val="24B61ACE"/>
    <w:rsid w:val="24B62B82"/>
    <w:rsid w:val="24BB07F0"/>
    <w:rsid w:val="24BD7077"/>
    <w:rsid w:val="24BE15D7"/>
    <w:rsid w:val="24C17921"/>
    <w:rsid w:val="24C46169"/>
    <w:rsid w:val="24CC7F28"/>
    <w:rsid w:val="24D11C0B"/>
    <w:rsid w:val="24D938A6"/>
    <w:rsid w:val="24D94DD8"/>
    <w:rsid w:val="24DE5778"/>
    <w:rsid w:val="24E50936"/>
    <w:rsid w:val="24ED2E70"/>
    <w:rsid w:val="24EE3A78"/>
    <w:rsid w:val="24FD0778"/>
    <w:rsid w:val="250832EF"/>
    <w:rsid w:val="25091E74"/>
    <w:rsid w:val="250B45F8"/>
    <w:rsid w:val="250F6DD8"/>
    <w:rsid w:val="25107D0F"/>
    <w:rsid w:val="25151A0E"/>
    <w:rsid w:val="251B407F"/>
    <w:rsid w:val="251F549E"/>
    <w:rsid w:val="252107BE"/>
    <w:rsid w:val="25225587"/>
    <w:rsid w:val="2523064D"/>
    <w:rsid w:val="25282F1C"/>
    <w:rsid w:val="25291DBE"/>
    <w:rsid w:val="252969F0"/>
    <w:rsid w:val="252B295E"/>
    <w:rsid w:val="253E5ADD"/>
    <w:rsid w:val="25442AA6"/>
    <w:rsid w:val="254513BE"/>
    <w:rsid w:val="25453CD7"/>
    <w:rsid w:val="25480D99"/>
    <w:rsid w:val="254954AC"/>
    <w:rsid w:val="254B6083"/>
    <w:rsid w:val="25533C0D"/>
    <w:rsid w:val="255962B3"/>
    <w:rsid w:val="25657DC3"/>
    <w:rsid w:val="257072D4"/>
    <w:rsid w:val="25742134"/>
    <w:rsid w:val="257E38E7"/>
    <w:rsid w:val="258133D5"/>
    <w:rsid w:val="2582606A"/>
    <w:rsid w:val="258439C3"/>
    <w:rsid w:val="25852B02"/>
    <w:rsid w:val="25897701"/>
    <w:rsid w:val="258B65B6"/>
    <w:rsid w:val="258F2CC1"/>
    <w:rsid w:val="25906FCD"/>
    <w:rsid w:val="25926707"/>
    <w:rsid w:val="2593509B"/>
    <w:rsid w:val="259537E2"/>
    <w:rsid w:val="25961310"/>
    <w:rsid w:val="259A0091"/>
    <w:rsid w:val="259C22B4"/>
    <w:rsid w:val="259E20CD"/>
    <w:rsid w:val="25A0765B"/>
    <w:rsid w:val="25A20C7C"/>
    <w:rsid w:val="25A36CF2"/>
    <w:rsid w:val="25A51BD0"/>
    <w:rsid w:val="25A56535"/>
    <w:rsid w:val="25A62696"/>
    <w:rsid w:val="25A74C85"/>
    <w:rsid w:val="25AB2082"/>
    <w:rsid w:val="25AF524D"/>
    <w:rsid w:val="25B03D19"/>
    <w:rsid w:val="25B3493B"/>
    <w:rsid w:val="25B4390B"/>
    <w:rsid w:val="25B61109"/>
    <w:rsid w:val="25BE5440"/>
    <w:rsid w:val="25C54F40"/>
    <w:rsid w:val="25C723BF"/>
    <w:rsid w:val="25C73CF2"/>
    <w:rsid w:val="25C9717A"/>
    <w:rsid w:val="25CC06F8"/>
    <w:rsid w:val="25D1152E"/>
    <w:rsid w:val="25D40D4A"/>
    <w:rsid w:val="25D85889"/>
    <w:rsid w:val="25DC6189"/>
    <w:rsid w:val="25DE47A2"/>
    <w:rsid w:val="25E6350D"/>
    <w:rsid w:val="25E65A27"/>
    <w:rsid w:val="25E72483"/>
    <w:rsid w:val="25ED79D1"/>
    <w:rsid w:val="25F22D1E"/>
    <w:rsid w:val="25FC02F2"/>
    <w:rsid w:val="25FF2003"/>
    <w:rsid w:val="260170A0"/>
    <w:rsid w:val="26072E33"/>
    <w:rsid w:val="26074785"/>
    <w:rsid w:val="260F07C5"/>
    <w:rsid w:val="261023E8"/>
    <w:rsid w:val="26117A38"/>
    <w:rsid w:val="26122AC6"/>
    <w:rsid w:val="26161938"/>
    <w:rsid w:val="26180871"/>
    <w:rsid w:val="26190556"/>
    <w:rsid w:val="26194F9E"/>
    <w:rsid w:val="261961AC"/>
    <w:rsid w:val="261E54B1"/>
    <w:rsid w:val="262228F6"/>
    <w:rsid w:val="26296FF8"/>
    <w:rsid w:val="262F2E02"/>
    <w:rsid w:val="26392F65"/>
    <w:rsid w:val="263963D6"/>
    <w:rsid w:val="263A3D73"/>
    <w:rsid w:val="264278FA"/>
    <w:rsid w:val="26466A69"/>
    <w:rsid w:val="26482EAD"/>
    <w:rsid w:val="265E5B13"/>
    <w:rsid w:val="26651F5C"/>
    <w:rsid w:val="2666356C"/>
    <w:rsid w:val="266A605D"/>
    <w:rsid w:val="266D7649"/>
    <w:rsid w:val="266E3466"/>
    <w:rsid w:val="266E716E"/>
    <w:rsid w:val="2670314E"/>
    <w:rsid w:val="2670744D"/>
    <w:rsid w:val="267461AD"/>
    <w:rsid w:val="26750D5D"/>
    <w:rsid w:val="26773AA3"/>
    <w:rsid w:val="26823E2A"/>
    <w:rsid w:val="26852B99"/>
    <w:rsid w:val="26862D80"/>
    <w:rsid w:val="26881955"/>
    <w:rsid w:val="26895681"/>
    <w:rsid w:val="268B20A0"/>
    <w:rsid w:val="268D7DA3"/>
    <w:rsid w:val="269012B0"/>
    <w:rsid w:val="269F132B"/>
    <w:rsid w:val="26A23291"/>
    <w:rsid w:val="26A604A7"/>
    <w:rsid w:val="26A62ACF"/>
    <w:rsid w:val="26A86FD4"/>
    <w:rsid w:val="26A9310F"/>
    <w:rsid w:val="26AD240F"/>
    <w:rsid w:val="26B06999"/>
    <w:rsid w:val="26B41159"/>
    <w:rsid w:val="26B668AE"/>
    <w:rsid w:val="26BC4BF2"/>
    <w:rsid w:val="26C21865"/>
    <w:rsid w:val="26C666DD"/>
    <w:rsid w:val="26CB126C"/>
    <w:rsid w:val="26CD69E7"/>
    <w:rsid w:val="26CF723D"/>
    <w:rsid w:val="26D213F0"/>
    <w:rsid w:val="26DD48E2"/>
    <w:rsid w:val="26E04274"/>
    <w:rsid w:val="26E22244"/>
    <w:rsid w:val="26E4723D"/>
    <w:rsid w:val="26EB7058"/>
    <w:rsid w:val="26F07A2F"/>
    <w:rsid w:val="26F55D55"/>
    <w:rsid w:val="26F74F6B"/>
    <w:rsid w:val="26F913C1"/>
    <w:rsid w:val="26FB7F09"/>
    <w:rsid w:val="26FE3E86"/>
    <w:rsid w:val="26FF39F2"/>
    <w:rsid w:val="26FF5BC1"/>
    <w:rsid w:val="27001313"/>
    <w:rsid w:val="27024E47"/>
    <w:rsid w:val="27041205"/>
    <w:rsid w:val="2707623D"/>
    <w:rsid w:val="27095C6A"/>
    <w:rsid w:val="270A565D"/>
    <w:rsid w:val="2710258D"/>
    <w:rsid w:val="27141BF0"/>
    <w:rsid w:val="27161A53"/>
    <w:rsid w:val="27163580"/>
    <w:rsid w:val="27175871"/>
    <w:rsid w:val="27183F3B"/>
    <w:rsid w:val="271E318E"/>
    <w:rsid w:val="27276B74"/>
    <w:rsid w:val="2728244E"/>
    <w:rsid w:val="27286AB9"/>
    <w:rsid w:val="272B48C8"/>
    <w:rsid w:val="2730463C"/>
    <w:rsid w:val="27381900"/>
    <w:rsid w:val="273B41F5"/>
    <w:rsid w:val="27421AF3"/>
    <w:rsid w:val="27455801"/>
    <w:rsid w:val="27457752"/>
    <w:rsid w:val="2746737C"/>
    <w:rsid w:val="27484E00"/>
    <w:rsid w:val="27591962"/>
    <w:rsid w:val="275A041E"/>
    <w:rsid w:val="275C3006"/>
    <w:rsid w:val="275C38FE"/>
    <w:rsid w:val="275D6D1A"/>
    <w:rsid w:val="275E7494"/>
    <w:rsid w:val="276008A7"/>
    <w:rsid w:val="27603342"/>
    <w:rsid w:val="27605996"/>
    <w:rsid w:val="276B7ED3"/>
    <w:rsid w:val="276D2F80"/>
    <w:rsid w:val="276E247C"/>
    <w:rsid w:val="276E4AEC"/>
    <w:rsid w:val="277020F5"/>
    <w:rsid w:val="27772628"/>
    <w:rsid w:val="277A3F29"/>
    <w:rsid w:val="277E6E7A"/>
    <w:rsid w:val="278770E8"/>
    <w:rsid w:val="278D333E"/>
    <w:rsid w:val="279060B4"/>
    <w:rsid w:val="27954650"/>
    <w:rsid w:val="279835A2"/>
    <w:rsid w:val="27995830"/>
    <w:rsid w:val="279D19B7"/>
    <w:rsid w:val="27A51A61"/>
    <w:rsid w:val="27A96A1F"/>
    <w:rsid w:val="27AA0CAF"/>
    <w:rsid w:val="27B16C38"/>
    <w:rsid w:val="27B350A1"/>
    <w:rsid w:val="27B37ADC"/>
    <w:rsid w:val="27B44490"/>
    <w:rsid w:val="27B54BA5"/>
    <w:rsid w:val="27BD53C9"/>
    <w:rsid w:val="27BE297F"/>
    <w:rsid w:val="27C062AC"/>
    <w:rsid w:val="27C13BEC"/>
    <w:rsid w:val="27C968BB"/>
    <w:rsid w:val="27CB0527"/>
    <w:rsid w:val="27CB5054"/>
    <w:rsid w:val="27D1753D"/>
    <w:rsid w:val="27D1758A"/>
    <w:rsid w:val="27D6541A"/>
    <w:rsid w:val="27DA1D81"/>
    <w:rsid w:val="27DB32EF"/>
    <w:rsid w:val="27DB6DC9"/>
    <w:rsid w:val="27E166A6"/>
    <w:rsid w:val="27E30A1B"/>
    <w:rsid w:val="27E9705C"/>
    <w:rsid w:val="27E970A1"/>
    <w:rsid w:val="27EB76E3"/>
    <w:rsid w:val="27F1264F"/>
    <w:rsid w:val="27FC5E05"/>
    <w:rsid w:val="27FF088F"/>
    <w:rsid w:val="28004268"/>
    <w:rsid w:val="280232CF"/>
    <w:rsid w:val="28075C1E"/>
    <w:rsid w:val="280A1D2E"/>
    <w:rsid w:val="280B3D32"/>
    <w:rsid w:val="280C2E29"/>
    <w:rsid w:val="281846DB"/>
    <w:rsid w:val="28196FFD"/>
    <w:rsid w:val="281A46ED"/>
    <w:rsid w:val="281B59EF"/>
    <w:rsid w:val="281E26A9"/>
    <w:rsid w:val="28225F29"/>
    <w:rsid w:val="28237D65"/>
    <w:rsid w:val="28254416"/>
    <w:rsid w:val="2828517D"/>
    <w:rsid w:val="28293644"/>
    <w:rsid w:val="283047C5"/>
    <w:rsid w:val="28334B16"/>
    <w:rsid w:val="28337CD9"/>
    <w:rsid w:val="2834598C"/>
    <w:rsid w:val="283649DE"/>
    <w:rsid w:val="283E2927"/>
    <w:rsid w:val="283E723C"/>
    <w:rsid w:val="28446D9B"/>
    <w:rsid w:val="284526F5"/>
    <w:rsid w:val="28472543"/>
    <w:rsid w:val="284E2912"/>
    <w:rsid w:val="28510B42"/>
    <w:rsid w:val="285A2C88"/>
    <w:rsid w:val="285E7040"/>
    <w:rsid w:val="28620F42"/>
    <w:rsid w:val="28730315"/>
    <w:rsid w:val="287369FD"/>
    <w:rsid w:val="28754605"/>
    <w:rsid w:val="28773112"/>
    <w:rsid w:val="287A0D5C"/>
    <w:rsid w:val="287C6739"/>
    <w:rsid w:val="287F5CD8"/>
    <w:rsid w:val="28824C3A"/>
    <w:rsid w:val="28840881"/>
    <w:rsid w:val="2884525E"/>
    <w:rsid w:val="2886480A"/>
    <w:rsid w:val="288D1DA7"/>
    <w:rsid w:val="288E6414"/>
    <w:rsid w:val="28923C02"/>
    <w:rsid w:val="28930BE7"/>
    <w:rsid w:val="289C38BB"/>
    <w:rsid w:val="289C5FB3"/>
    <w:rsid w:val="28A376A1"/>
    <w:rsid w:val="28A82A97"/>
    <w:rsid w:val="28A878E5"/>
    <w:rsid w:val="28B40007"/>
    <w:rsid w:val="28B44B87"/>
    <w:rsid w:val="28B51BFC"/>
    <w:rsid w:val="28B84AEC"/>
    <w:rsid w:val="28BC0282"/>
    <w:rsid w:val="28BC0E3C"/>
    <w:rsid w:val="28BD414D"/>
    <w:rsid w:val="28C0135C"/>
    <w:rsid w:val="28C0405C"/>
    <w:rsid w:val="28C07178"/>
    <w:rsid w:val="28C43D07"/>
    <w:rsid w:val="28C5628C"/>
    <w:rsid w:val="28C8083D"/>
    <w:rsid w:val="28CE3F88"/>
    <w:rsid w:val="28D1659E"/>
    <w:rsid w:val="28DD3477"/>
    <w:rsid w:val="28ED34BF"/>
    <w:rsid w:val="28F543A5"/>
    <w:rsid w:val="28F649EB"/>
    <w:rsid w:val="28FC5EB3"/>
    <w:rsid w:val="28FE1297"/>
    <w:rsid w:val="290649E1"/>
    <w:rsid w:val="290720C4"/>
    <w:rsid w:val="290808EF"/>
    <w:rsid w:val="29090DBD"/>
    <w:rsid w:val="290966EC"/>
    <w:rsid w:val="290B0B06"/>
    <w:rsid w:val="290D41E7"/>
    <w:rsid w:val="290D42A9"/>
    <w:rsid w:val="290D645E"/>
    <w:rsid w:val="290D76AB"/>
    <w:rsid w:val="29105ED7"/>
    <w:rsid w:val="29157047"/>
    <w:rsid w:val="2917206A"/>
    <w:rsid w:val="291D4790"/>
    <w:rsid w:val="291D5EE3"/>
    <w:rsid w:val="29223B0A"/>
    <w:rsid w:val="29273D41"/>
    <w:rsid w:val="29286CEB"/>
    <w:rsid w:val="29293D5F"/>
    <w:rsid w:val="2929569D"/>
    <w:rsid w:val="292A453D"/>
    <w:rsid w:val="292A4ACF"/>
    <w:rsid w:val="292A6D95"/>
    <w:rsid w:val="292D4C21"/>
    <w:rsid w:val="292F5D7E"/>
    <w:rsid w:val="29302818"/>
    <w:rsid w:val="293239A5"/>
    <w:rsid w:val="293258DF"/>
    <w:rsid w:val="29397305"/>
    <w:rsid w:val="293E704B"/>
    <w:rsid w:val="294014F6"/>
    <w:rsid w:val="294047FA"/>
    <w:rsid w:val="294433C0"/>
    <w:rsid w:val="294511AF"/>
    <w:rsid w:val="29456F99"/>
    <w:rsid w:val="294871E4"/>
    <w:rsid w:val="294919E0"/>
    <w:rsid w:val="29494D5D"/>
    <w:rsid w:val="294C11DE"/>
    <w:rsid w:val="294C4015"/>
    <w:rsid w:val="294C77ED"/>
    <w:rsid w:val="294F6CB7"/>
    <w:rsid w:val="29590E21"/>
    <w:rsid w:val="295F7F1D"/>
    <w:rsid w:val="29620FEC"/>
    <w:rsid w:val="29642CB5"/>
    <w:rsid w:val="29662FE9"/>
    <w:rsid w:val="29695BCB"/>
    <w:rsid w:val="2969664B"/>
    <w:rsid w:val="296D053A"/>
    <w:rsid w:val="296F2430"/>
    <w:rsid w:val="296F7D2F"/>
    <w:rsid w:val="297725B6"/>
    <w:rsid w:val="2977633B"/>
    <w:rsid w:val="297D67FB"/>
    <w:rsid w:val="2980032B"/>
    <w:rsid w:val="29803849"/>
    <w:rsid w:val="298225D3"/>
    <w:rsid w:val="29846E06"/>
    <w:rsid w:val="29962315"/>
    <w:rsid w:val="2996402C"/>
    <w:rsid w:val="2997291B"/>
    <w:rsid w:val="29976924"/>
    <w:rsid w:val="29984592"/>
    <w:rsid w:val="299B168B"/>
    <w:rsid w:val="299C724D"/>
    <w:rsid w:val="299E69F4"/>
    <w:rsid w:val="29A602A1"/>
    <w:rsid w:val="29A67B1D"/>
    <w:rsid w:val="29A77D0C"/>
    <w:rsid w:val="29A94C12"/>
    <w:rsid w:val="29AB2D48"/>
    <w:rsid w:val="29AB2DED"/>
    <w:rsid w:val="29AF40AB"/>
    <w:rsid w:val="29B31DC2"/>
    <w:rsid w:val="29B548B5"/>
    <w:rsid w:val="29B67D94"/>
    <w:rsid w:val="29B72AD1"/>
    <w:rsid w:val="29BB74A0"/>
    <w:rsid w:val="29BD1925"/>
    <w:rsid w:val="29BF1301"/>
    <w:rsid w:val="29C10018"/>
    <w:rsid w:val="29C23FAC"/>
    <w:rsid w:val="29C268E6"/>
    <w:rsid w:val="29C349CB"/>
    <w:rsid w:val="29C446C3"/>
    <w:rsid w:val="29C511FA"/>
    <w:rsid w:val="29C62F85"/>
    <w:rsid w:val="29C6712F"/>
    <w:rsid w:val="29CC5B75"/>
    <w:rsid w:val="29CD2A9B"/>
    <w:rsid w:val="29CE2B03"/>
    <w:rsid w:val="29CF038A"/>
    <w:rsid w:val="29D157E4"/>
    <w:rsid w:val="29D32156"/>
    <w:rsid w:val="29D57F6B"/>
    <w:rsid w:val="29D65A8B"/>
    <w:rsid w:val="29E0707E"/>
    <w:rsid w:val="29E53A2C"/>
    <w:rsid w:val="29E92EFE"/>
    <w:rsid w:val="29F021FB"/>
    <w:rsid w:val="29FB4A34"/>
    <w:rsid w:val="29FE40EF"/>
    <w:rsid w:val="29FE45A7"/>
    <w:rsid w:val="2A08486F"/>
    <w:rsid w:val="2A0C69C3"/>
    <w:rsid w:val="2A0D5559"/>
    <w:rsid w:val="2A0D6C5B"/>
    <w:rsid w:val="2A0F13A2"/>
    <w:rsid w:val="2A103B34"/>
    <w:rsid w:val="2A123224"/>
    <w:rsid w:val="2A162C26"/>
    <w:rsid w:val="2A17141D"/>
    <w:rsid w:val="2A1A6256"/>
    <w:rsid w:val="2A215F6F"/>
    <w:rsid w:val="2A245B5D"/>
    <w:rsid w:val="2A287F79"/>
    <w:rsid w:val="2A2A01D3"/>
    <w:rsid w:val="2A2B5EC7"/>
    <w:rsid w:val="2A2D39A6"/>
    <w:rsid w:val="2A307257"/>
    <w:rsid w:val="2A3456D3"/>
    <w:rsid w:val="2A3B0E2C"/>
    <w:rsid w:val="2A3C1892"/>
    <w:rsid w:val="2A431E5F"/>
    <w:rsid w:val="2A4868DB"/>
    <w:rsid w:val="2A4B044D"/>
    <w:rsid w:val="2A4B5BCB"/>
    <w:rsid w:val="2A5454AE"/>
    <w:rsid w:val="2A5C0255"/>
    <w:rsid w:val="2A5E5B25"/>
    <w:rsid w:val="2A5F53F8"/>
    <w:rsid w:val="2A6C122F"/>
    <w:rsid w:val="2A6D3881"/>
    <w:rsid w:val="2A6F7896"/>
    <w:rsid w:val="2A705063"/>
    <w:rsid w:val="2A707EEC"/>
    <w:rsid w:val="2A713D52"/>
    <w:rsid w:val="2A723928"/>
    <w:rsid w:val="2A742D04"/>
    <w:rsid w:val="2A74695F"/>
    <w:rsid w:val="2A75378A"/>
    <w:rsid w:val="2A762E4C"/>
    <w:rsid w:val="2A76420B"/>
    <w:rsid w:val="2A767C04"/>
    <w:rsid w:val="2A775075"/>
    <w:rsid w:val="2A791D5A"/>
    <w:rsid w:val="2A7A369A"/>
    <w:rsid w:val="2A7D4E50"/>
    <w:rsid w:val="2A8317C3"/>
    <w:rsid w:val="2A8D6B91"/>
    <w:rsid w:val="2A8F77EE"/>
    <w:rsid w:val="2A900D3D"/>
    <w:rsid w:val="2AA51702"/>
    <w:rsid w:val="2AB67B01"/>
    <w:rsid w:val="2ABA31AA"/>
    <w:rsid w:val="2ABB2A11"/>
    <w:rsid w:val="2AC03E51"/>
    <w:rsid w:val="2AC42CA6"/>
    <w:rsid w:val="2AC71DAF"/>
    <w:rsid w:val="2ACB18A5"/>
    <w:rsid w:val="2ACF7318"/>
    <w:rsid w:val="2ADC2B16"/>
    <w:rsid w:val="2ADC5799"/>
    <w:rsid w:val="2AE037EC"/>
    <w:rsid w:val="2AE33FAA"/>
    <w:rsid w:val="2AE45F85"/>
    <w:rsid w:val="2AE5452B"/>
    <w:rsid w:val="2AE66AB2"/>
    <w:rsid w:val="2AE72206"/>
    <w:rsid w:val="2AED3A6C"/>
    <w:rsid w:val="2AEE54A6"/>
    <w:rsid w:val="2AF044B9"/>
    <w:rsid w:val="2AF32FD0"/>
    <w:rsid w:val="2AFC17E4"/>
    <w:rsid w:val="2AFD7590"/>
    <w:rsid w:val="2AFE3D76"/>
    <w:rsid w:val="2B0E42F1"/>
    <w:rsid w:val="2B181EFF"/>
    <w:rsid w:val="2B1B5191"/>
    <w:rsid w:val="2B1D5D70"/>
    <w:rsid w:val="2B226C5B"/>
    <w:rsid w:val="2B23353E"/>
    <w:rsid w:val="2B241364"/>
    <w:rsid w:val="2B292A44"/>
    <w:rsid w:val="2B294A4D"/>
    <w:rsid w:val="2B2A27EC"/>
    <w:rsid w:val="2B2B14A6"/>
    <w:rsid w:val="2B2D6131"/>
    <w:rsid w:val="2B2E098F"/>
    <w:rsid w:val="2B2F3FF4"/>
    <w:rsid w:val="2B304C38"/>
    <w:rsid w:val="2B3309D3"/>
    <w:rsid w:val="2B331552"/>
    <w:rsid w:val="2B374AA1"/>
    <w:rsid w:val="2B3B66A6"/>
    <w:rsid w:val="2B3C05E9"/>
    <w:rsid w:val="2B3E2998"/>
    <w:rsid w:val="2B3F3C91"/>
    <w:rsid w:val="2B4070B4"/>
    <w:rsid w:val="2B415829"/>
    <w:rsid w:val="2B424A21"/>
    <w:rsid w:val="2B452EDA"/>
    <w:rsid w:val="2B4752FF"/>
    <w:rsid w:val="2B4D055D"/>
    <w:rsid w:val="2B4E0B09"/>
    <w:rsid w:val="2B5022F5"/>
    <w:rsid w:val="2B521C86"/>
    <w:rsid w:val="2B5275CE"/>
    <w:rsid w:val="2B600E88"/>
    <w:rsid w:val="2B610649"/>
    <w:rsid w:val="2B634103"/>
    <w:rsid w:val="2B7634F6"/>
    <w:rsid w:val="2B7B7D23"/>
    <w:rsid w:val="2B7E6B9A"/>
    <w:rsid w:val="2B7F1444"/>
    <w:rsid w:val="2B804DEB"/>
    <w:rsid w:val="2B812EE4"/>
    <w:rsid w:val="2B820BEE"/>
    <w:rsid w:val="2B827B78"/>
    <w:rsid w:val="2B831C7A"/>
    <w:rsid w:val="2B841777"/>
    <w:rsid w:val="2B8543D5"/>
    <w:rsid w:val="2B8814B1"/>
    <w:rsid w:val="2B8A41D0"/>
    <w:rsid w:val="2B8C0441"/>
    <w:rsid w:val="2B8E473E"/>
    <w:rsid w:val="2B9C2CEF"/>
    <w:rsid w:val="2B9C3F90"/>
    <w:rsid w:val="2BA0443B"/>
    <w:rsid w:val="2BA720CA"/>
    <w:rsid w:val="2BA944D9"/>
    <w:rsid w:val="2BAA3EB9"/>
    <w:rsid w:val="2BAC2949"/>
    <w:rsid w:val="2BB01B27"/>
    <w:rsid w:val="2BB11B7C"/>
    <w:rsid w:val="2BB14995"/>
    <w:rsid w:val="2BB270F7"/>
    <w:rsid w:val="2BB40015"/>
    <w:rsid w:val="2BB81A82"/>
    <w:rsid w:val="2BB921E0"/>
    <w:rsid w:val="2BBB6514"/>
    <w:rsid w:val="2BBB75D4"/>
    <w:rsid w:val="2BBD125B"/>
    <w:rsid w:val="2BBE639C"/>
    <w:rsid w:val="2BCE2094"/>
    <w:rsid w:val="2BD4307E"/>
    <w:rsid w:val="2BD6407D"/>
    <w:rsid w:val="2BE35C9B"/>
    <w:rsid w:val="2BE56B02"/>
    <w:rsid w:val="2BE60FC1"/>
    <w:rsid w:val="2BE62B7F"/>
    <w:rsid w:val="2BE84FAB"/>
    <w:rsid w:val="2BEA5102"/>
    <w:rsid w:val="2BEB35A1"/>
    <w:rsid w:val="2BEE1C7F"/>
    <w:rsid w:val="2BF00FA5"/>
    <w:rsid w:val="2BF17822"/>
    <w:rsid w:val="2BF35A00"/>
    <w:rsid w:val="2BFA0758"/>
    <w:rsid w:val="2BFD3E4B"/>
    <w:rsid w:val="2C0304ED"/>
    <w:rsid w:val="2C056E46"/>
    <w:rsid w:val="2C080B42"/>
    <w:rsid w:val="2C0B2433"/>
    <w:rsid w:val="2C0F6402"/>
    <w:rsid w:val="2C1669C5"/>
    <w:rsid w:val="2C174C25"/>
    <w:rsid w:val="2C195B4C"/>
    <w:rsid w:val="2C2310C7"/>
    <w:rsid w:val="2C2630C0"/>
    <w:rsid w:val="2C267BBA"/>
    <w:rsid w:val="2C2833A4"/>
    <w:rsid w:val="2C294240"/>
    <w:rsid w:val="2C2A3DE0"/>
    <w:rsid w:val="2C2E71EB"/>
    <w:rsid w:val="2C301350"/>
    <w:rsid w:val="2C340CD9"/>
    <w:rsid w:val="2C362DB6"/>
    <w:rsid w:val="2C421C9A"/>
    <w:rsid w:val="2C4701AD"/>
    <w:rsid w:val="2C5073DB"/>
    <w:rsid w:val="2C562A9A"/>
    <w:rsid w:val="2C5C56A9"/>
    <w:rsid w:val="2C5E3BB0"/>
    <w:rsid w:val="2C5F00EE"/>
    <w:rsid w:val="2C603CB1"/>
    <w:rsid w:val="2C61020D"/>
    <w:rsid w:val="2C6C3DA9"/>
    <w:rsid w:val="2C6C770A"/>
    <w:rsid w:val="2C751ABE"/>
    <w:rsid w:val="2C755461"/>
    <w:rsid w:val="2C7741A7"/>
    <w:rsid w:val="2C7D0295"/>
    <w:rsid w:val="2C7F1201"/>
    <w:rsid w:val="2C880F54"/>
    <w:rsid w:val="2C8864A7"/>
    <w:rsid w:val="2C8A5CAB"/>
    <w:rsid w:val="2C8A7EDF"/>
    <w:rsid w:val="2C8F255C"/>
    <w:rsid w:val="2C8F3145"/>
    <w:rsid w:val="2C952370"/>
    <w:rsid w:val="2C997B54"/>
    <w:rsid w:val="2C9B17F1"/>
    <w:rsid w:val="2C9E64A7"/>
    <w:rsid w:val="2CA930D0"/>
    <w:rsid w:val="2CB15D49"/>
    <w:rsid w:val="2CB31D07"/>
    <w:rsid w:val="2CBA6B7D"/>
    <w:rsid w:val="2CC0205B"/>
    <w:rsid w:val="2CC27E1F"/>
    <w:rsid w:val="2CC56939"/>
    <w:rsid w:val="2CC56E95"/>
    <w:rsid w:val="2CC66FFD"/>
    <w:rsid w:val="2CC745F0"/>
    <w:rsid w:val="2CCA3A22"/>
    <w:rsid w:val="2CCC786E"/>
    <w:rsid w:val="2CD04785"/>
    <w:rsid w:val="2CD55F0D"/>
    <w:rsid w:val="2CD73C34"/>
    <w:rsid w:val="2CDA5095"/>
    <w:rsid w:val="2CDB6A07"/>
    <w:rsid w:val="2CE03DB4"/>
    <w:rsid w:val="2CE15EF4"/>
    <w:rsid w:val="2CE27622"/>
    <w:rsid w:val="2CE36607"/>
    <w:rsid w:val="2CEB2687"/>
    <w:rsid w:val="2CED24BB"/>
    <w:rsid w:val="2CED458C"/>
    <w:rsid w:val="2CF03985"/>
    <w:rsid w:val="2CF855BE"/>
    <w:rsid w:val="2CFA4FC1"/>
    <w:rsid w:val="2CFA5E91"/>
    <w:rsid w:val="2D01216D"/>
    <w:rsid w:val="2D01535B"/>
    <w:rsid w:val="2D02641D"/>
    <w:rsid w:val="2D0416CF"/>
    <w:rsid w:val="2D0A0FED"/>
    <w:rsid w:val="2D0C0FA2"/>
    <w:rsid w:val="2D0C76C7"/>
    <w:rsid w:val="2D0E38F9"/>
    <w:rsid w:val="2D123913"/>
    <w:rsid w:val="2D1465EC"/>
    <w:rsid w:val="2D17177B"/>
    <w:rsid w:val="2D247B40"/>
    <w:rsid w:val="2D2A08CE"/>
    <w:rsid w:val="2D355C78"/>
    <w:rsid w:val="2D390539"/>
    <w:rsid w:val="2D3A27EA"/>
    <w:rsid w:val="2D3A2A19"/>
    <w:rsid w:val="2D3C4C0D"/>
    <w:rsid w:val="2D3E22B7"/>
    <w:rsid w:val="2D3F5950"/>
    <w:rsid w:val="2D42717E"/>
    <w:rsid w:val="2D440008"/>
    <w:rsid w:val="2D4635BF"/>
    <w:rsid w:val="2D4E1AF2"/>
    <w:rsid w:val="2D535D24"/>
    <w:rsid w:val="2D557FF2"/>
    <w:rsid w:val="2D5D3119"/>
    <w:rsid w:val="2D661877"/>
    <w:rsid w:val="2D672372"/>
    <w:rsid w:val="2D6B62FC"/>
    <w:rsid w:val="2D6C1783"/>
    <w:rsid w:val="2D6E6CF1"/>
    <w:rsid w:val="2D75644E"/>
    <w:rsid w:val="2D757B0E"/>
    <w:rsid w:val="2D77270D"/>
    <w:rsid w:val="2D7736D5"/>
    <w:rsid w:val="2D7B39D0"/>
    <w:rsid w:val="2D7C6629"/>
    <w:rsid w:val="2D813999"/>
    <w:rsid w:val="2D821592"/>
    <w:rsid w:val="2D8441A0"/>
    <w:rsid w:val="2D852190"/>
    <w:rsid w:val="2D873601"/>
    <w:rsid w:val="2D876E73"/>
    <w:rsid w:val="2D8A18CC"/>
    <w:rsid w:val="2D8C0B53"/>
    <w:rsid w:val="2D915420"/>
    <w:rsid w:val="2D934A76"/>
    <w:rsid w:val="2D962E38"/>
    <w:rsid w:val="2D976552"/>
    <w:rsid w:val="2D9868F3"/>
    <w:rsid w:val="2D9A264D"/>
    <w:rsid w:val="2D9E065A"/>
    <w:rsid w:val="2DA01CA6"/>
    <w:rsid w:val="2DAC7810"/>
    <w:rsid w:val="2DB107AE"/>
    <w:rsid w:val="2DB56848"/>
    <w:rsid w:val="2DB75017"/>
    <w:rsid w:val="2DC236ED"/>
    <w:rsid w:val="2DC30CBA"/>
    <w:rsid w:val="2DC4566E"/>
    <w:rsid w:val="2DCD3B06"/>
    <w:rsid w:val="2DD040E9"/>
    <w:rsid w:val="2DD20AF3"/>
    <w:rsid w:val="2DDB5E66"/>
    <w:rsid w:val="2DDF23B4"/>
    <w:rsid w:val="2DE007B5"/>
    <w:rsid w:val="2DE910DE"/>
    <w:rsid w:val="2DEC0373"/>
    <w:rsid w:val="2DEC7B89"/>
    <w:rsid w:val="2DF31328"/>
    <w:rsid w:val="2DF3481C"/>
    <w:rsid w:val="2DF35537"/>
    <w:rsid w:val="2DF9565E"/>
    <w:rsid w:val="2DFA1BD5"/>
    <w:rsid w:val="2DFB2653"/>
    <w:rsid w:val="2E003CFA"/>
    <w:rsid w:val="2E021EB7"/>
    <w:rsid w:val="2E025836"/>
    <w:rsid w:val="2E0331BF"/>
    <w:rsid w:val="2E04671B"/>
    <w:rsid w:val="2E050750"/>
    <w:rsid w:val="2E060BFD"/>
    <w:rsid w:val="2E0910AC"/>
    <w:rsid w:val="2E0A25CF"/>
    <w:rsid w:val="2E0A2A2A"/>
    <w:rsid w:val="2E0E7E49"/>
    <w:rsid w:val="2E1140D1"/>
    <w:rsid w:val="2E120D6A"/>
    <w:rsid w:val="2E151D5D"/>
    <w:rsid w:val="2E1540B7"/>
    <w:rsid w:val="2E176C95"/>
    <w:rsid w:val="2E182996"/>
    <w:rsid w:val="2E1D412B"/>
    <w:rsid w:val="2E1D56BA"/>
    <w:rsid w:val="2E1D6157"/>
    <w:rsid w:val="2E202766"/>
    <w:rsid w:val="2E281576"/>
    <w:rsid w:val="2E2C44F3"/>
    <w:rsid w:val="2E2E294E"/>
    <w:rsid w:val="2E3218FB"/>
    <w:rsid w:val="2E374D7B"/>
    <w:rsid w:val="2E427524"/>
    <w:rsid w:val="2E4D33E1"/>
    <w:rsid w:val="2E51788D"/>
    <w:rsid w:val="2E53426A"/>
    <w:rsid w:val="2E5604D5"/>
    <w:rsid w:val="2E576881"/>
    <w:rsid w:val="2E580E9D"/>
    <w:rsid w:val="2E584124"/>
    <w:rsid w:val="2E584FF0"/>
    <w:rsid w:val="2E60412C"/>
    <w:rsid w:val="2E64032C"/>
    <w:rsid w:val="2E6A0ABD"/>
    <w:rsid w:val="2E6C2443"/>
    <w:rsid w:val="2E6D7AA3"/>
    <w:rsid w:val="2E7007F4"/>
    <w:rsid w:val="2E791144"/>
    <w:rsid w:val="2E7B7BA4"/>
    <w:rsid w:val="2E816164"/>
    <w:rsid w:val="2E8433F5"/>
    <w:rsid w:val="2E86276C"/>
    <w:rsid w:val="2E865181"/>
    <w:rsid w:val="2E8A7E01"/>
    <w:rsid w:val="2E956C3B"/>
    <w:rsid w:val="2E971390"/>
    <w:rsid w:val="2E9A2E9E"/>
    <w:rsid w:val="2EA763BE"/>
    <w:rsid w:val="2EAD60DC"/>
    <w:rsid w:val="2EAF032F"/>
    <w:rsid w:val="2EB03424"/>
    <w:rsid w:val="2EB33724"/>
    <w:rsid w:val="2EB5090B"/>
    <w:rsid w:val="2EB65381"/>
    <w:rsid w:val="2EBA6156"/>
    <w:rsid w:val="2EBC2C96"/>
    <w:rsid w:val="2EBE2039"/>
    <w:rsid w:val="2EC067F9"/>
    <w:rsid w:val="2EC202C6"/>
    <w:rsid w:val="2EC41B56"/>
    <w:rsid w:val="2EC930F5"/>
    <w:rsid w:val="2EDB6E0D"/>
    <w:rsid w:val="2EDD0554"/>
    <w:rsid w:val="2EE37882"/>
    <w:rsid w:val="2EE41966"/>
    <w:rsid w:val="2EE57668"/>
    <w:rsid w:val="2EE60485"/>
    <w:rsid w:val="2EEF59D5"/>
    <w:rsid w:val="2EEF600C"/>
    <w:rsid w:val="2EF1539B"/>
    <w:rsid w:val="2EF4052A"/>
    <w:rsid w:val="2EF65489"/>
    <w:rsid w:val="2EF91999"/>
    <w:rsid w:val="2EF95448"/>
    <w:rsid w:val="2EFB4276"/>
    <w:rsid w:val="2EFC1D8A"/>
    <w:rsid w:val="2F077B35"/>
    <w:rsid w:val="2F085A41"/>
    <w:rsid w:val="2F092DC3"/>
    <w:rsid w:val="2F0A0D24"/>
    <w:rsid w:val="2F0B0EA6"/>
    <w:rsid w:val="2F0B3897"/>
    <w:rsid w:val="2F120673"/>
    <w:rsid w:val="2F19427A"/>
    <w:rsid w:val="2F1A3D6E"/>
    <w:rsid w:val="2F1D2141"/>
    <w:rsid w:val="2F201AA3"/>
    <w:rsid w:val="2F201BE2"/>
    <w:rsid w:val="2F276BD6"/>
    <w:rsid w:val="2F291754"/>
    <w:rsid w:val="2F2B236C"/>
    <w:rsid w:val="2F324D2A"/>
    <w:rsid w:val="2F351D6E"/>
    <w:rsid w:val="2F375457"/>
    <w:rsid w:val="2F3945AC"/>
    <w:rsid w:val="2F3F1F61"/>
    <w:rsid w:val="2F402264"/>
    <w:rsid w:val="2F420A06"/>
    <w:rsid w:val="2F423617"/>
    <w:rsid w:val="2F4547A1"/>
    <w:rsid w:val="2F467A9D"/>
    <w:rsid w:val="2F4706D7"/>
    <w:rsid w:val="2F485924"/>
    <w:rsid w:val="2F5A31D0"/>
    <w:rsid w:val="2F5B44FA"/>
    <w:rsid w:val="2F5C067F"/>
    <w:rsid w:val="2F5C3061"/>
    <w:rsid w:val="2F635522"/>
    <w:rsid w:val="2F653347"/>
    <w:rsid w:val="2F667019"/>
    <w:rsid w:val="2F671A25"/>
    <w:rsid w:val="2F6727AC"/>
    <w:rsid w:val="2F674CAF"/>
    <w:rsid w:val="2F6C1BA5"/>
    <w:rsid w:val="2F6F4467"/>
    <w:rsid w:val="2F767686"/>
    <w:rsid w:val="2F810F39"/>
    <w:rsid w:val="2F837CF6"/>
    <w:rsid w:val="2F8F147B"/>
    <w:rsid w:val="2F93334E"/>
    <w:rsid w:val="2F94792A"/>
    <w:rsid w:val="2F992814"/>
    <w:rsid w:val="2F9B49BC"/>
    <w:rsid w:val="2FA72904"/>
    <w:rsid w:val="2FA82DE7"/>
    <w:rsid w:val="2FAB371B"/>
    <w:rsid w:val="2FAC6779"/>
    <w:rsid w:val="2FAF49A9"/>
    <w:rsid w:val="2FB639C4"/>
    <w:rsid w:val="2FBB0943"/>
    <w:rsid w:val="2FBB3741"/>
    <w:rsid w:val="2FC22D3D"/>
    <w:rsid w:val="2FC3385F"/>
    <w:rsid w:val="2FC439EA"/>
    <w:rsid w:val="2FC558F8"/>
    <w:rsid w:val="2FCC7C2D"/>
    <w:rsid w:val="2FCD4980"/>
    <w:rsid w:val="2FCE3773"/>
    <w:rsid w:val="2FD16B4B"/>
    <w:rsid w:val="2FD4347C"/>
    <w:rsid w:val="2FD5180A"/>
    <w:rsid w:val="2FD922DC"/>
    <w:rsid w:val="2FE32042"/>
    <w:rsid w:val="2FE46888"/>
    <w:rsid w:val="2FE56B31"/>
    <w:rsid w:val="2FE775F6"/>
    <w:rsid w:val="2FE95BBF"/>
    <w:rsid w:val="2FEC2130"/>
    <w:rsid w:val="2FEE0A39"/>
    <w:rsid w:val="2FEF6B27"/>
    <w:rsid w:val="2FF7631B"/>
    <w:rsid w:val="2FF816F1"/>
    <w:rsid w:val="2FFC47E0"/>
    <w:rsid w:val="30033D88"/>
    <w:rsid w:val="300379C7"/>
    <w:rsid w:val="30062377"/>
    <w:rsid w:val="30075D7A"/>
    <w:rsid w:val="30076C34"/>
    <w:rsid w:val="300E5F5E"/>
    <w:rsid w:val="301044E8"/>
    <w:rsid w:val="301059BE"/>
    <w:rsid w:val="30153865"/>
    <w:rsid w:val="30183C9D"/>
    <w:rsid w:val="30202FBF"/>
    <w:rsid w:val="302452AE"/>
    <w:rsid w:val="30285A91"/>
    <w:rsid w:val="30293010"/>
    <w:rsid w:val="302D47AC"/>
    <w:rsid w:val="302F033E"/>
    <w:rsid w:val="3031730C"/>
    <w:rsid w:val="303D22DC"/>
    <w:rsid w:val="304005DF"/>
    <w:rsid w:val="3043659E"/>
    <w:rsid w:val="30511C10"/>
    <w:rsid w:val="305608D1"/>
    <w:rsid w:val="30597319"/>
    <w:rsid w:val="305E0CED"/>
    <w:rsid w:val="305F3004"/>
    <w:rsid w:val="30604705"/>
    <w:rsid w:val="30641477"/>
    <w:rsid w:val="30646C77"/>
    <w:rsid w:val="30654110"/>
    <w:rsid w:val="306748A6"/>
    <w:rsid w:val="306A38B6"/>
    <w:rsid w:val="306B5E20"/>
    <w:rsid w:val="306E0F31"/>
    <w:rsid w:val="307C23F1"/>
    <w:rsid w:val="307D7961"/>
    <w:rsid w:val="307E7AF7"/>
    <w:rsid w:val="30827621"/>
    <w:rsid w:val="30857EEA"/>
    <w:rsid w:val="30860F36"/>
    <w:rsid w:val="308E68FD"/>
    <w:rsid w:val="308F0369"/>
    <w:rsid w:val="309166BF"/>
    <w:rsid w:val="309C5F2F"/>
    <w:rsid w:val="309D4B53"/>
    <w:rsid w:val="30A16C7C"/>
    <w:rsid w:val="30A40144"/>
    <w:rsid w:val="30A47938"/>
    <w:rsid w:val="30AC5AF3"/>
    <w:rsid w:val="30AD1918"/>
    <w:rsid w:val="30BC1B3D"/>
    <w:rsid w:val="30BD4513"/>
    <w:rsid w:val="30BE6F41"/>
    <w:rsid w:val="30C173B7"/>
    <w:rsid w:val="30C431D2"/>
    <w:rsid w:val="30C46BF7"/>
    <w:rsid w:val="30C723E2"/>
    <w:rsid w:val="30CA678D"/>
    <w:rsid w:val="30D32982"/>
    <w:rsid w:val="30D90821"/>
    <w:rsid w:val="30DB041F"/>
    <w:rsid w:val="30DB5A0E"/>
    <w:rsid w:val="30DC6441"/>
    <w:rsid w:val="30E75D4E"/>
    <w:rsid w:val="30EC2F66"/>
    <w:rsid w:val="30EE1A4C"/>
    <w:rsid w:val="30EF6B3E"/>
    <w:rsid w:val="30F15C39"/>
    <w:rsid w:val="30F60ADF"/>
    <w:rsid w:val="30FA153E"/>
    <w:rsid w:val="31001AAF"/>
    <w:rsid w:val="310510B7"/>
    <w:rsid w:val="31073410"/>
    <w:rsid w:val="310A4DC0"/>
    <w:rsid w:val="310C0395"/>
    <w:rsid w:val="310E672A"/>
    <w:rsid w:val="31120EC2"/>
    <w:rsid w:val="31145E66"/>
    <w:rsid w:val="31176E1D"/>
    <w:rsid w:val="31186748"/>
    <w:rsid w:val="311920E1"/>
    <w:rsid w:val="311E161D"/>
    <w:rsid w:val="311F28AF"/>
    <w:rsid w:val="31280F4F"/>
    <w:rsid w:val="312812F1"/>
    <w:rsid w:val="312B54F5"/>
    <w:rsid w:val="312E657D"/>
    <w:rsid w:val="31300816"/>
    <w:rsid w:val="31300FB8"/>
    <w:rsid w:val="31317581"/>
    <w:rsid w:val="313C77CB"/>
    <w:rsid w:val="313F1D2C"/>
    <w:rsid w:val="31404D92"/>
    <w:rsid w:val="314631CD"/>
    <w:rsid w:val="31466158"/>
    <w:rsid w:val="31475CED"/>
    <w:rsid w:val="314D45F2"/>
    <w:rsid w:val="314D4B9A"/>
    <w:rsid w:val="314D650C"/>
    <w:rsid w:val="31501E81"/>
    <w:rsid w:val="315146E6"/>
    <w:rsid w:val="3156312A"/>
    <w:rsid w:val="315F6FB6"/>
    <w:rsid w:val="31603F54"/>
    <w:rsid w:val="316262F8"/>
    <w:rsid w:val="31665943"/>
    <w:rsid w:val="316727AC"/>
    <w:rsid w:val="316B2D86"/>
    <w:rsid w:val="316C2C10"/>
    <w:rsid w:val="316E35BE"/>
    <w:rsid w:val="31703D3F"/>
    <w:rsid w:val="31711344"/>
    <w:rsid w:val="31784874"/>
    <w:rsid w:val="317A0805"/>
    <w:rsid w:val="317D03F9"/>
    <w:rsid w:val="318A16FC"/>
    <w:rsid w:val="318A1A47"/>
    <w:rsid w:val="318F1562"/>
    <w:rsid w:val="31916D63"/>
    <w:rsid w:val="31934545"/>
    <w:rsid w:val="31936D4E"/>
    <w:rsid w:val="31961474"/>
    <w:rsid w:val="319749D1"/>
    <w:rsid w:val="3199759E"/>
    <w:rsid w:val="319A21B4"/>
    <w:rsid w:val="319B348C"/>
    <w:rsid w:val="319D09A8"/>
    <w:rsid w:val="31A27F3E"/>
    <w:rsid w:val="31AA7D11"/>
    <w:rsid w:val="31AB4936"/>
    <w:rsid w:val="31AF72DD"/>
    <w:rsid w:val="31B231D3"/>
    <w:rsid w:val="31B538DD"/>
    <w:rsid w:val="31B74B3C"/>
    <w:rsid w:val="31BC2599"/>
    <w:rsid w:val="31BC3FE3"/>
    <w:rsid w:val="31BF4365"/>
    <w:rsid w:val="31C46DB6"/>
    <w:rsid w:val="31C532A0"/>
    <w:rsid w:val="31C62045"/>
    <w:rsid w:val="31CA4AB4"/>
    <w:rsid w:val="31D4501A"/>
    <w:rsid w:val="31D74EB0"/>
    <w:rsid w:val="31D91FF6"/>
    <w:rsid w:val="31D97C57"/>
    <w:rsid w:val="31E105B2"/>
    <w:rsid w:val="31E24FDE"/>
    <w:rsid w:val="31E56364"/>
    <w:rsid w:val="31EA604B"/>
    <w:rsid w:val="31EC0202"/>
    <w:rsid w:val="31EF31F3"/>
    <w:rsid w:val="31F345C7"/>
    <w:rsid w:val="31F4773D"/>
    <w:rsid w:val="31F561F5"/>
    <w:rsid w:val="31F77D09"/>
    <w:rsid w:val="31F96A33"/>
    <w:rsid w:val="321228A8"/>
    <w:rsid w:val="321402B7"/>
    <w:rsid w:val="321600FE"/>
    <w:rsid w:val="32196694"/>
    <w:rsid w:val="321B0B6D"/>
    <w:rsid w:val="321B31AC"/>
    <w:rsid w:val="3220409B"/>
    <w:rsid w:val="32277D2C"/>
    <w:rsid w:val="322A160C"/>
    <w:rsid w:val="322B4813"/>
    <w:rsid w:val="322C3CC7"/>
    <w:rsid w:val="322E3700"/>
    <w:rsid w:val="32317861"/>
    <w:rsid w:val="323278ED"/>
    <w:rsid w:val="32342433"/>
    <w:rsid w:val="32344A56"/>
    <w:rsid w:val="323728CD"/>
    <w:rsid w:val="323A18BA"/>
    <w:rsid w:val="323F3A3D"/>
    <w:rsid w:val="32443DB1"/>
    <w:rsid w:val="32483028"/>
    <w:rsid w:val="32497F15"/>
    <w:rsid w:val="324A1B67"/>
    <w:rsid w:val="324A5E44"/>
    <w:rsid w:val="324E5473"/>
    <w:rsid w:val="32503790"/>
    <w:rsid w:val="32525589"/>
    <w:rsid w:val="325522E2"/>
    <w:rsid w:val="3255760B"/>
    <w:rsid w:val="325A4F81"/>
    <w:rsid w:val="325B0047"/>
    <w:rsid w:val="325B1B92"/>
    <w:rsid w:val="325C5700"/>
    <w:rsid w:val="325C6701"/>
    <w:rsid w:val="32605A8A"/>
    <w:rsid w:val="326202BB"/>
    <w:rsid w:val="32640FA8"/>
    <w:rsid w:val="32671E3F"/>
    <w:rsid w:val="32726F15"/>
    <w:rsid w:val="32772413"/>
    <w:rsid w:val="32776973"/>
    <w:rsid w:val="32785A6F"/>
    <w:rsid w:val="327F77AE"/>
    <w:rsid w:val="328301AA"/>
    <w:rsid w:val="32833BC7"/>
    <w:rsid w:val="32850E89"/>
    <w:rsid w:val="32870ACF"/>
    <w:rsid w:val="32883510"/>
    <w:rsid w:val="328964CF"/>
    <w:rsid w:val="328E0E67"/>
    <w:rsid w:val="32901299"/>
    <w:rsid w:val="329335A4"/>
    <w:rsid w:val="329C6A5A"/>
    <w:rsid w:val="32A02CFD"/>
    <w:rsid w:val="32A63239"/>
    <w:rsid w:val="32A740A8"/>
    <w:rsid w:val="32A96E49"/>
    <w:rsid w:val="32AB242A"/>
    <w:rsid w:val="32AC11E0"/>
    <w:rsid w:val="32B357BF"/>
    <w:rsid w:val="32B95CA7"/>
    <w:rsid w:val="32BA59DA"/>
    <w:rsid w:val="32BD03EC"/>
    <w:rsid w:val="32C42DDD"/>
    <w:rsid w:val="32C61964"/>
    <w:rsid w:val="32D021EE"/>
    <w:rsid w:val="32D1084A"/>
    <w:rsid w:val="32D10E22"/>
    <w:rsid w:val="32D12321"/>
    <w:rsid w:val="32D5370B"/>
    <w:rsid w:val="32D634B1"/>
    <w:rsid w:val="32DE0185"/>
    <w:rsid w:val="32E803E6"/>
    <w:rsid w:val="32EA38F3"/>
    <w:rsid w:val="32EA657C"/>
    <w:rsid w:val="32EB4731"/>
    <w:rsid w:val="32EE4E48"/>
    <w:rsid w:val="32F211BA"/>
    <w:rsid w:val="32FB38B2"/>
    <w:rsid w:val="32FC4EDE"/>
    <w:rsid w:val="32FD42D2"/>
    <w:rsid w:val="32FE2F9C"/>
    <w:rsid w:val="33027157"/>
    <w:rsid w:val="33047B7C"/>
    <w:rsid w:val="3305038B"/>
    <w:rsid w:val="3309106E"/>
    <w:rsid w:val="330927FA"/>
    <w:rsid w:val="33093749"/>
    <w:rsid w:val="330C2AF2"/>
    <w:rsid w:val="33152172"/>
    <w:rsid w:val="331D1E6A"/>
    <w:rsid w:val="3324593B"/>
    <w:rsid w:val="332C2886"/>
    <w:rsid w:val="332C7AFF"/>
    <w:rsid w:val="332E6256"/>
    <w:rsid w:val="33302AC9"/>
    <w:rsid w:val="33383D6C"/>
    <w:rsid w:val="33383D9A"/>
    <w:rsid w:val="333A0F44"/>
    <w:rsid w:val="334232C1"/>
    <w:rsid w:val="33447ABC"/>
    <w:rsid w:val="33464925"/>
    <w:rsid w:val="3349085E"/>
    <w:rsid w:val="334C3EA7"/>
    <w:rsid w:val="334E67B6"/>
    <w:rsid w:val="335119CC"/>
    <w:rsid w:val="335F536E"/>
    <w:rsid w:val="336A04C4"/>
    <w:rsid w:val="336F0A92"/>
    <w:rsid w:val="337102B6"/>
    <w:rsid w:val="33716111"/>
    <w:rsid w:val="33727762"/>
    <w:rsid w:val="33745DFA"/>
    <w:rsid w:val="33776708"/>
    <w:rsid w:val="337D36BC"/>
    <w:rsid w:val="337E5523"/>
    <w:rsid w:val="33845D60"/>
    <w:rsid w:val="33847294"/>
    <w:rsid w:val="3388736E"/>
    <w:rsid w:val="338A4CD6"/>
    <w:rsid w:val="338D5323"/>
    <w:rsid w:val="338E452C"/>
    <w:rsid w:val="338F0479"/>
    <w:rsid w:val="33952737"/>
    <w:rsid w:val="33A13536"/>
    <w:rsid w:val="33A13857"/>
    <w:rsid w:val="33A318D4"/>
    <w:rsid w:val="33A43902"/>
    <w:rsid w:val="33AA3442"/>
    <w:rsid w:val="33AA620D"/>
    <w:rsid w:val="33AC38A1"/>
    <w:rsid w:val="33AF0565"/>
    <w:rsid w:val="33B51C4D"/>
    <w:rsid w:val="33B62119"/>
    <w:rsid w:val="33B63F5D"/>
    <w:rsid w:val="33B80505"/>
    <w:rsid w:val="33BD0A03"/>
    <w:rsid w:val="33BD12A1"/>
    <w:rsid w:val="33BE4741"/>
    <w:rsid w:val="33C070A6"/>
    <w:rsid w:val="33C336CD"/>
    <w:rsid w:val="33C81DF5"/>
    <w:rsid w:val="33C9625D"/>
    <w:rsid w:val="33CB14D7"/>
    <w:rsid w:val="33CD0441"/>
    <w:rsid w:val="33CD705B"/>
    <w:rsid w:val="33D05652"/>
    <w:rsid w:val="33D117DF"/>
    <w:rsid w:val="33D64B76"/>
    <w:rsid w:val="33DA3FFC"/>
    <w:rsid w:val="33DA4A4F"/>
    <w:rsid w:val="33DC53BB"/>
    <w:rsid w:val="33DD5F50"/>
    <w:rsid w:val="33DF4BC6"/>
    <w:rsid w:val="33EB4AE6"/>
    <w:rsid w:val="33EC3F4F"/>
    <w:rsid w:val="33EE17CD"/>
    <w:rsid w:val="33EF045D"/>
    <w:rsid w:val="33F15E97"/>
    <w:rsid w:val="33F63489"/>
    <w:rsid w:val="33F716A8"/>
    <w:rsid w:val="33FE6FE7"/>
    <w:rsid w:val="33FF106B"/>
    <w:rsid w:val="3403177F"/>
    <w:rsid w:val="34056F49"/>
    <w:rsid w:val="340D70FB"/>
    <w:rsid w:val="34105803"/>
    <w:rsid w:val="34166525"/>
    <w:rsid w:val="341B7916"/>
    <w:rsid w:val="341C57AE"/>
    <w:rsid w:val="341D2D29"/>
    <w:rsid w:val="341E7995"/>
    <w:rsid w:val="34261A81"/>
    <w:rsid w:val="34290FFE"/>
    <w:rsid w:val="343015E3"/>
    <w:rsid w:val="34315B9A"/>
    <w:rsid w:val="34341BB9"/>
    <w:rsid w:val="343C369E"/>
    <w:rsid w:val="34451523"/>
    <w:rsid w:val="344C25CC"/>
    <w:rsid w:val="344F68EC"/>
    <w:rsid w:val="344F734A"/>
    <w:rsid w:val="34531DCA"/>
    <w:rsid w:val="3455127A"/>
    <w:rsid w:val="34617F3C"/>
    <w:rsid w:val="3463169A"/>
    <w:rsid w:val="346318D6"/>
    <w:rsid w:val="346C532E"/>
    <w:rsid w:val="346D4F59"/>
    <w:rsid w:val="346E38ED"/>
    <w:rsid w:val="347B3797"/>
    <w:rsid w:val="347B3ED0"/>
    <w:rsid w:val="34830EEB"/>
    <w:rsid w:val="34873D3D"/>
    <w:rsid w:val="34893115"/>
    <w:rsid w:val="348F05E2"/>
    <w:rsid w:val="3495111B"/>
    <w:rsid w:val="34986F70"/>
    <w:rsid w:val="349E45E6"/>
    <w:rsid w:val="34A15949"/>
    <w:rsid w:val="34A261F1"/>
    <w:rsid w:val="34AC73A9"/>
    <w:rsid w:val="34AF0DAC"/>
    <w:rsid w:val="34B04FD1"/>
    <w:rsid w:val="34B45665"/>
    <w:rsid w:val="34B76166"/>
    <w:rsid w:val="34BF342A"/>
    <w:rsid w:val="34C02433"/>
    <w:rsid w:val="34C675C7"/>
    <w:rsid w:val="34C8076D"/>
    <w:rsid w:val="34C85B0D"/>
    <w:rsid w:val="34C95BFA"/>
    <w:rsid w:val="34CE4E4B"/>
    <w:rsid w:val="34D11A8D"/>
    <w:rsid w:val="34D2503C"/>
    <w:rsid w:val="34D41430"/>
    <w:rsid w:val="34DE1BCF"/>
    <w:rsid w:val="34E07190"/>
    <w:rsid w:val="34E259BC"/>
    <w:rsid w:val="34E55EA9"/>
    <w:rsid w:val="34EC1BFD"/>
    <w:rsid w:val="34F007DC"/>
    <w:rsid w:val="34F125D3"/>
    <w:rsid w:val="34F20DC1"/>
    <w:rsid w:val="34F30481"/>
    <w:rsid w:val="34F902B8"/>
    <w:rsid w:val="34FB1AB8"/>
    <w:rsid w:val="34FE0E8C"/>
    <w:rsid w:val="350267E1"/>
    <w:rsid w:val="35040638"/>
    <w:rsid w:val="35057E7B"/>
    <w:rsid w:val="35083865"/>
    <w:rsid w:val="35090EB0"/>
    <w:rsid w:val="350A3689"/>
    <w:rsid w:val="350A6F9A"/>
    <w:rsid w:val="350B7619"/>
    <w:rsid w:val="350C088F"/>
    <w:rsid w:val="350C7529"/>
    <w:rsid w:val="350C7996"/>
    <w:rsid w:val="350E4E1B"/>
    <w:rsid w:val="351829E8"/>
    <w:rsid w:val="351B0A68"/>
    <w:rsid w:val="351C1EAF"/>
    <w:rsid w:val="35207456"/>
    <w:rsid w:val="35212ACC"/>
    <w:rsid w:val="352670BA"/>
    <w:rsid w:val="35280344"/>
    <w:rsid w:val="352B11D4"/>
    <w:rsid w:val="352D6F36"/>
    <w:rsid w:val="35353B25"/>
    <w:rsid w:val="353D06AD"/>
    <w:rsid w:val="353F3B69"/>
    <w:rsid w:val="35420207"/>
    <w:rsid w:val="35510AD9"/>
    <w:rsid w:val="35525897"/>
    <w:rsid w:val="35527058"/>
    <w:rsid w:val="35566657"/>
    <w:rsid w:val="35566678"/>
    <w:rsid w:val="356006E7"/>
    <w:rsid w:val="356243B3"/>
    <w:rsid w:val="35661255"/>
    <w:rsid w:val="35664A9F"/>
    <w:rsid w:val="356A5572"/>
    <w:rsid w:val="356B003B"/>
    <w:rsid w:val="356B5DEF"/>
    <w:rsid w:val="356E12C1"/>
    <w:rsid w:val="356F71F4"/>
    <w:rsid w:val="35725B16"/>
    <w:rsid w:val="357436E0"/>
    <w:rsid w:val="35760D80"/>
    <w:rsid w:val="357A3585"/>
    <w:rsid w:val="357C1BC9"/>
    <w:rsid w:val="35800349"/>
    <w:rsid w:val="3580772B"/>
    <w:rsid w:val="358379A8"/>
    <w:rsid w:val="358638A7"/>
    <w:rsid w:val="3589610A"/>
    <w:rsid w:val="358A460F"/>
    <w:rsid w:val="358D5D83"/>
    <w:rsid w:val="359017B1"/>
    <w:rsid w:val="35912A52"/>
    <w:rsid w:val="359768F0"/>
    <w:rsid w:val="35995335"/>
    <w:rsid w:val="359C0F02"/>
    <w:rsid w:val="359C1491"/>
    <w:rsid w:val="359F7AD7"/>
    <w:rsid w:val="35A40A04"/>
    <w:rsid w:val="35B22A06"/>
    <w:rsid w:val="35B94822"/>
    <w:rsid w:val="35BB142D"/>
    <w:rsid w:val="35BB632E"/>
    <w:rsid w:val="35BC7482"/>
    <w:rsid w:val="35BD02F3"/>
    <w:rsid w:val="35C05D3B"/>
    <w:rsid w:val="35C45C59"/>
    <w:rsid w:val="35C72677"/>
    <w:rsid w:val="35CA78F6"/>
    <w:rsid w:val="35CE50BE"/>
    <w:rsid w:val="35D2286F"/>
    <w:rsid w:val="35D23E57"/>
    <w:rsid w:val="35D51382"/>
    <w:rsid w:val="35DD5F28"/>
    <w:rsid w:val="35DE0FE4"/>
    <w:rsid w:val="35E05A88"/>
    <w:rsid w:val="35E52AE6"/>
    <w:rsid w:val="35EC265A"/>
    <w:rsid w:val="35EC3BB5"/>
    <w:rsid w:val="35EE4762"/>
    <w:rsid w:val="35EF06CD"/>
    <w:rsid w:val="35FA213A"/>
    <w:rsid w:val="36011800"/>
    <w:rsid w:val="36036792"/>
    <w:rsid w:val="36043E43"/>
    <w:rsid w:val="360669AA"/>
    <w:rsid w:val="360B0BD6"/>
    <w:rsid w:val="360D7D65"/>
    <w:rsid w:val="360E5744"/>
    <w:rsid w:val="361266A0"/>
    <w:rsid w:val="36136C1B"/>
    <w:rsid w:val="36140819"/>
    <w:rsid w:val="3615712A"/>
    <w:rsid w:val="36177738"/>
    <w:rsid w:val="361C65A8"/>
    <w:rsid w:val="361F2AEE"/>
    <w:rsid w:val="362268EB"/>
    <w:rsid w:val="36241F0B"/>
    <w:rsid w:val="362C4A59"/>
    <w:rsid w:val="362F2060"/>
    <w:rsid w:val="362F44C0"/>
    <w:rsid w:val="36311153"/>
    <w:rsid w:val="36392675"/>
    <w:rsid w:val="36412B34"/>
    <w:rsid w:val="36440362"/>
    <w:rsid w:val="36461809"/>
    <w:rsid w:val="36467CF6"/>
    <w:rsid w:val="36487B8E"/>
    <w:rsid w:val="364B47A7"/>
    <w:rsid w:val="364E6B87"/>
    <w:rsid w:val="36513A7D"/>
    <w:rsid w:val="365C3388"/>
    <w:rsid w:val="365E1380"/>
    <w:rsid w:val="36602405"/>
    <w:rsid w:val="36613DA1"/>
    <w:rsid w:val="3664232D"/>
    <w:rsid w:val="366C20CF"/>
    <w:rsid w:val="36714AE5"/>
    <w:rsid w:val="367712F9"/>
    <w:rsid w:val="367A1AEA"/>
    <w:rsid w:val="367B0C88"/>
    <w:rsid w:val="367F25B7"/>
    <w:rsid w:val="36820989"/>
    <w:rsid w:val="3682459B"/>
    <w:rsid w:val="3685700A"/>
    <w:rsid w:val="368747E9"/>
    <w:rsid w:val="369220BB"/>
    <w:rsid w:val="3696448B"/>
    <w:rsid w:val="36977098"/>
    <w:rsid w:val="36980934"/>
    <w:rsid w:val="36A269B3"/>
    <w:rsid w:val="36AB0AFD"/>
    <w:rsid w:val="36AC07DE"/>
    <w:rsid w:val="36AC1913"/>
    <w:rsid w:val="36AE3C78"/>
    <w:rsid w:val="36B610DE"/>
    <w:rsid w:val="36BA5A1B"/>
    <w:rsid w:val="36BF5587"/>
    <w:rsid w:val="36C21A68"/>
    <w:rsid w:val="36C656B9"/>
    <w:rsid w:val="36C748F5"/>
    <w:rsid w:val="36CB41E3"/>
    <w:rsid w:val="36D30456"/>
    <w:rsid w:val="36D358B0"/>
    <w:rsid w:val="36D46A11"/>
    <w:rsid w:val="36D8573C"/>
    <w:rsid w:val="36D9512B"/>
    <w:rsid w:val="36DF701A"/>
    <w:rsid w:val="36E003CF"/>
    <w:rsid w:val="36EB78CF"/>
    <w:rsid w:val="36F126D8"/>
    <w:rsid w:val="36F53520"/>
    <w:rsid w:val="36F946A8"/>
    <w:rsid w:val="36FF1000"/>
    <w:rsid w:val="370040F1"/>
    <w:rsid w:val="37011AE7"/>
    <w:rsid w:val="370149B5"/>
    <w:rsid w:val="370717C9"/>
    <w:rsid w:val="37090B31"/>
    <w:rsid w:val="370F4604"/>
    <w:rsid w:val="37127D33"/>
    <w:rsid w:val="37147529"/>
    <w:rsid w:val="37195E19"/>
    <w:rsid w:val="37237E2D"/>
    <w:rsid w:val="37242676"/>
    <w:rsid w:val="37247864"/>
    <w:rsid w:val="37266CE1"/>
    <w:rsid w:val="372F7D0C"/>
    <w:rsid w:val="373072CA"/>
    <w:rsid w:val="37351540"/>
    <w:rsid w:val="373651E8"/>
    <w:rsid w:val="373B0AE5"/>
    <w:rsid w:val="373D0181"/>
    <w:rsid w:val="37406929"/>
    <w:rsid w:val="37425D3D"/>
    <w:rsid w:val="374268FF"/>
    <w:rsid w:val="37427935"/>
    <w:rsid w:val="374341AA"/>
    <w:rsid w:val="3749211E"/>
    <w:rsid w:val="374A1CF3"/>
    <w:rsid w:val="374A20D0"/>
    <w:rsid w:val="374D5B71"/>
    <w:rsid w:val="374E394C"/>
    <w:rsid w:val="37527720"/>
    <w:rsid w:val="37554EF5"/>
    <w:rsid w:val="375603C8"/>
    <w:rsid w:val="37584E0E"/>
    <w:rsid w:val="37584E2D"/>
    <w:rsid w:val="375858E7"/>
    <w:rsid w:val="37595FB7"/>
    <w:rsid w:val="3761320B"/>
    <w:rsid w:val="376611A8"/>
    <w:rsid w:val="37677BE2"/>
    <w:rsid w:val="37677DF8"/>
    <w:rsid w:val="37683EF8"/>
    <w:rsid w:val="37710663"/>
    <w:rsid w:val="37716861"/>
    <w:rsid w:val="377273D1"/>
    <w:rsid w:val="3776758C"/>
    <w:rsid w:val="37780518"/>
    <w:rsid w:val="377911DE"/>
    <w:rsid w:val="3779488A"/>
    <w:rsid w:val="377D033F"/>
    <w:rsid w:val="377E59FA"/>
    <w:rsid w:val="377F27D0"/>
    <w:rsid w:val="377F3B21"/>
    <w:rsid w:val="37822ED8"/>
    <w:rsid w:val="37851357"/>
    <w:rsid w:val="37865D68"/>
    <w:rsid w:val="37870062"/>
    <w:rsid w:val="378A75A9"/>
    <w:rsid w:val="3791051F"/>
    <w:rsid w:val="37910A51"/>
    <w:rsid w:val="37973B1F"/>
    <w:rsid w:val="379949FF"/>
    <w:rsid w:val="379C2630"/>
    <w:rsid w:val="379F11CF"/>
    <w:rsid w:val="37A748D8"/>
    <w:rsid w:val="37AC6022"/>
    <w:rsid w:val="37AF70A5"/>
    <w:rsid w:val="37B65C63"/>
    <w:rsid w:val="37BA1DDB"/>
    <w:rsid w:val="37BB349A"/>
    <w:rsid w:val="37BC7A00"/>
    <w:rsid w:val="37C1052E"/>
    <w:rsid w:val="37C16702"/>
    <w:rsid w:val="37C428D6"/>
    <w:rsid w:val="37C708CF"/>
    <w:rsid w:val="37CA065C"/>
    <w:rsid w:val="37D32814"/>
    <w:rsid w:val="37D7661D"/>
    <w:rsid w:val="37D8779C"/>
    <w:rsid w:val="37DD678B"/>
    <w:rsid w:val="37E068B5"/>
    <w:rsid w:val="37E11572"/>
    <w:rsid w:val="37E231E2"/>
    <w:rsid w:val="37E659F8"/>
    <w:rsid w:val="37E74063"/>
    <w:rsid w:val="37E94A99"/>
    <w:rsid w:val="37EF4AE5"/>
    <w:rsid w:val="37F11946"/>
    <w:rsid w:val="37FB6F96"/>
    <w:rsid w:val="38014FA5"/>
    <w:rsid w:val="380545C9"/>
    <w:rsid w:val="380A09D9"/>
    <w:rsid w:val="380E4AB3"/>
    <w:rsid w:val="381110C1"/>
    <w:rsid w:val="381358DF"/>
    <w:rsid w:val="381E5B6F"/>
    <w:rsid w:val="381F5F5D"/>
    <w:rsid w:val="3826238F"/>
    <w:rsid w:val="38290B7E"/>
    <w:rsid w:val="38297F87"/>
    <w:rsid w:val="382B433E"/>
    <w:rsid w:val="382E43EC"/>
    <w:rsid w:val="38303D58"/>
    <w:rsid w:val="38324778"/>
    <w:rsid w:val="383E34AB"/>
    <w:rsid w:val="383F423E"/>
    <w:rsid w:val="38434809"/>
    <w:rsid w:val="38474CE4"/>
    <w:rsid w:val="384B2531"/>
    <w:rsid w:val="384D6AFF"/>
    <w:rsid w:val="38513E0A"/>
    <w:rsid w:val="3856068D"/>
    <w:rsid w:val="38566067"/>
    <w:rsid w:val="38567DE7"/>
    <w:rsid w:val="38573DA5"/>
    <w:rsid w:val="385C0A50"/>
    <w:rsid w:val="38664D6D"/>
    <w:rsid w:val="386B2053"/>
    <w:rsid w:val="386C5145"/>
    <w:rsid w:val="386C6E59"/>
    <w:rsid w:val="386F2E02"/>
    <w:rsid w:val="3873043B"/>
    <w:rsid w:val="3874146E"/>
    <w:rsid w:val="387A1418"/>
    <w:rsid w:val="387B2B20"/>
    <w:rsid w:val="387E6FA6"/>
    <w:rsid w:val="38855D13"/>
    <w:rsid w:val="388560A2"/>
    <w:rsid w:val="388663FE"/>
    <w:rsid w:val="38882BAF"/>
    <w:rsid w:val="38890E23"/>
    <w:rsid w:val="38926251"/>
    <w:rsid w:val="38975BF4"/>
    <w:rsid w:val="389A5364"/>
    <w:rsid w:val="389C3E6F"/>
    <w:rsid w:val="38AD1A52"/>
    <w:rsid w:val="38AE1688"/>
    <w:rsid w:val="38AF71A6"/>
    <w:rsid w:val="38AF7B57"/>
    <w:rsid w:val="38B547BA"/>
    <w:rsid w:val="38B8277D"/>
    <w:rsid w:val="38C41DF9"/>
    <w:rsid w:val="38C52DBE"/>
    <w:rsid w:val="38C55BBC"/>
    <w:rsid w:val="38C74402"/>
    <w:rsid w:val="38CC4029"/>
    <w:rsid w:val="38CF7035"/>
    <w:rsid w:val="38D119B7"/>
    <w:rsid w:val="38D54D87"/>
    <w:rsid w:val="38D77428"/>
    <w:rsid w:val="38DC09A0"/>
    <w:rsid w:val="38DC6BA2"/>
    <w:rsid w:val="38DF5990"/>
    <w:rsid w:val="38DF5EDD"/>
    <w:rsid w:val="38DF7057"/>
    <w:rsid w:val="38E33F3F"/>
    <w:rsid w:val="38E420CA"/>
    <w:rsid w:val="38E57E18"/>
    <w:rsid w:val="38E91694"/>
    <w:rsid w:val="38EC3646"/>
    <w:rsid w:val="38F200E1"/>
    <w:rsid w:val="38F3717E"/>
    <w:rsid w:val="38F37C9F"/>
    <w:rsid w:val="38F93243"/>
    <w:rsid w:val="38FA0E49"/>
    <w:rsid w:val="3905787D"/>
    <w:rsid w:val="3907295D"/>
    <w:rsid w:val="39083F14"/>
    <w:rsid w:val="39091AD6"/>
    <w:rsid w:val="390A1898"/>
    <w:rsid w:val="390D369B"/>
    <w:rsid w:val="390E6B44"/>
    <w:rsid w:val="390F3AE9"/>
    <w:rsid w:val="39131130"/>
    <w:rsid w:val="39142C4B"/>
    <w:rsid w:val="3915234C"/>
    <w:rsid w:val="3916458D"/>
    <w:rsid w:val="391F4CDE"/>
    <w:rsid w:val="39211B0B"/>
    <w:rsid w:val="392A69F8"/>
    <w:rsid w:val="392E5148"/>
    <w:rsid w:val="39360392"/>
    <w:rsid w:val="393E72E7"/>
    <w:rsid w:val="39402EFE"/>
    <w:rsid w:val="39423937"/>
    <w:rsid w:val="3943471A"/>
    <w:rsid w:val="39452BA1"/>
    <w:rsid w:val="394B498A"/>
    <w:rsid w:val="394C1CD8"/>
    <w:rsid w:val="394F434C"/>
    <w:rsid w:val="3952120B"/>
    <w:rsid w:val="395302FD"/>
    <w:rsid w:val="39533D45"/>
    <w:rsid w:val="39537CED"/>
    <w:rsid w:val="39554D75"/>
    <w:rsid w:val="395673BC"/>
    <w:rsid w:val="395D3B2E"/>
    <w:rsid w:val="39603761"/>
    <w:rsid w:val="396248C3"/>
    <w:rsid w:val="39636B48"/>
    <w:rsid w:val="39636BF9"/>
    <w:rsid w:val="39643350"/>
    <w:rsid w:val="39686559"/>
    <w:rsid w:val="396C52AE"/>
    <w:rsid w:val="396F234E"/>
    <w:rsid w:val="39724310"/>
    <w:rsid w:val="397602C3"/>
    <w:rsid w:val="397C4ED1"/>
    <w:rsid w:val="397E058F"/>
    <w:rsid w:val="397F439C"/>
    <w:rsid w:val="397F5040"/>
    <w:rsid w:val="39827DD5"/>
    <w:rsid w:val="39865478"/>
    <w:rsid w:val="398B12B8"/>
    <w:rsid w:val="39917A5F"/>
    <w:rsid w:val="3992283C"/>
    <w:rsid w:val="39944165"/>
    <w:rsid w:val="39952914"/>
    <w:rsid w:val="3998709B"/>
    <w:rsid w:val="399A027C"/>
    <w:rsid w:val="399A0DF9"/>
    <w:rsid w:val="39A025AB"/>
    <w:rsid w:val="39A14812"/>
    <w:rsid w:val="39A22BF3"/>
    <w:rsid w:val="39A3062B"/>
    <w:rsid w:val="39A7504C"/>
    <w:rsid w:val="39A9610B"/>
    <w:rsid w:val="39AC3CEF"/>
    <w:rsid w:val="39AD788E"/>
    <w:rsid w:val="39B148E2"/>
    <w:rsid w:val="39B23B0F"/>
    <w:rsid w:val="39B35997"/>
    <w:rsid w:val="39B440E7"/>
    <w:rsid w:val="39BD445F"/>
    <w:rsid w:val="39BE06D0"/>
    <w:rsid w:val="39BE52B0"/>
    <w:rsid w:val="39C179BA"/>
    <w:rsid w:val="39C510C0"/>
    <w:rsid w:val="39C63C70"/>
    <w:rsid w:val="39CB4FCA"/>
    <w:rsid w:val="39CD33AE"/>
    <w:rsid w:val="39CE4A54"/>
    <w:rsid w:val="39D12E1C"/>
    <w:rsid w:val="39D435DE"/>
    <w:rsid w:val="39D65BAA"/>
    <w:rsid w:val="39D7581A"/>
    <w:rsid w:val="39DA31EA"/>
    <w:rsid w:val="39DF20D0"/>
    <w:rsid w:val="39E439DD"/>
    <w:rsid w:val="39E75FC4"/>
    <w:rsid w:val="39E87963"/>
    <w:rsid w:val="39E90121"/>
    <w:rsid w:val="39EA7A95"/>
    <w:rsid w:val="39ED52A7"/>
    <w:rsid w:val="39EF2082"/>
    <w:rsid w:val="39F04A63"/>
    <w:rsid w:val="39F276D7"/>
    <w:rsid w:val="39F41352"/>
    <w:rsid w:val="39F47294"/>
    <w:rsid w:val="39F84C68"/>
    <w:rsid w:val="39FB088E"/>
    <w:rsid w:val="39FE2988"/>
    <w:rsid w:val="39FF6330"/>
    <w:rsid w:val="3A020B46"/>
    <w:rsid w:val="3A044697"/>
    <w:rsid w:val="3A066199"/>
    <w:rsid w:val="3A066E94"/>
    <w:rsid w:val="3A0911EC"/>
    <w:rsid w:val="3A095836"/>
    <w:rsid w:val="3A096BD6"/>
    <w:rsid w:val="3A0A1C1C"/>
    <w:rsid w:val="3A0A4D6F"/>
    <w:rsid w:val="3A0E31B5"/>
    <w:rsid w:val="3A1626B0"/>
    <w:rsid w:val="3A1711C2"/>
    <w:rsid w:val="3A1809CA"/>
    <w:rsid w:val="3A1975D7"/>
    <w:rsid w:val="3A1A51D9"/>
    <w:rsid w:val="3A1F0B79"/>
    <w:rsid w:val="3A1F6EA7"/>
    <w:rsid w:val="3A1F75EE"/>
    <w:rsid w:val="3A280336"/>
    <w:rsid w:val="3A296B6A"/>
    <w:rsid w:val="3A2C0175"/>
    <w:rsid w:val="3A2C3736"/>
    <w:rsid w:val="3A2D0985"/>
    <w:rsid w:val="3A2D4ADE"/>
    <w:rsid w:val="3A311025"/>
    <w:rsid w:val="3A37705F"/>
    <w:rsid w:val="3A3D6DA6"/>
    <w:rsid w:val="3A403DDE"/>
    <w:rsid w:val="3A412C2E"/>
    <w:rsid w:val="3A4D66F1"/>
    <w:rsid w:val="3A500011"/>
    <w:rsid w:val="3A502FB1"/>
    <w:rsid w:val="3A5243DE"/>
    <w:rsid w:val="3A5A461E"/>
    <w:rsid w:val="3A5D6117"/>
    <w:rsid w:val="3A600142"/>
    <w:rsid w:val="3A641DD5"/>
    <w:rsid w:val="3A656100"/>
    <w:rsid w:val="3A665740"/>
    <w:rsid w:val="3A6A5C51"/>
    <w:rsid w:val="3A6B52C4"/>
    <w:rsid w:val="3A6B65A5"/>
    <w:rsid w:val="3A7D11B9"/>
    <w:rsid w:val="3A8427DE"/>
    <w:rsid w:val="3A84678B"/>
    <w:rsid w:val="3A864202"/>
    <w:rsid w:val="3A887C0B"/>
    <w:rsid w:val="3A8922C7"/>
    <w:rsid w:val="3A8F7A77"/>
    <w:rsid w:val="3A9170C4"/>
    <w:rsid w:val="3A92695D"/>
    <w:rsid w:val="3A9343DF"/>
    <w:rsid w:val="3A952E0F"/>
    <w:rsid w:val="3A9D057F"/>
    <w:rsid w:val="3A9E06C1"/>
    <w:rsid w:val="3AA13C01"/>
    <w:rsid w:val="3AA62A03"/>
    <w:rsid w:val="3AA63358"/>
    <w:rsid w:val="3AA63F9B"/>
    <w:rsid w:val="3AA84956"/>
    <w:rsid w:val="3AAA117B"/>
    <w:rsid w:val="3AAB3A0D"/>
    <w:rsid w:val="3AAC23B6"/>
    <w:rsid w:val="3AAC2438"/>
    <w:rsid w:val="3AB1628C"/>
    <w:rsid w:val="3AB33191"/>
    <w:rsid w:val="3AB424FE"/>
    <w:rsid w:val="3AB467BC"/>
    <w:rsid w:val="3AB50DDE"/>
    <w:rsid w:val="3AB6444B"/>
    <w:rsid w:val="3AB848A9"/>
    <w:rsid w:val="3ABF0575"/>
    <w:rsid w:val="3AC07842"/>
    <w:rsid w:val="3AC12E46"/>
    <w:rsid w:val="3AC402DC"/>
    <w:rsid w:val="3AC54112"/>
    <w:rsid w:val="3AD15CD5"/>
    <w:rsid w:val="3AD2049B"/>
    <w:rsid w:val="3AD47F1D"/>
    <w:rsid w:val="3AD513FB"/>
    <w:rsid w:val="3AD5506F"/>
    <w:rsid w:val="3AD74AF9"/>
    <w:rsid w:val="3AD87389"/>
    <w:rsid w:val="3ADC4B30"/>
    <w:rsid w:val="3ADD3A8C"/>
    <w:rsid w:val="3ADF0700"/>
    <w:rsid w:val="3AE22BB8"/>
    <w:rsid w:val="3AE4209C"/>
    <w:rsid w:val="3AE44504"/>
    <w:rsid w:val="3AE47A74"/>
    <w:rsid w:val="3AE47F74"/>
    <w:rsid w:val="3AE55552"/>
    <w:rsid w:val="3AE71230"/>
    <w:rsid w:val="3AEA7739"/>
    <w:rsid w:val="3AEB0241"/>
    <w:rsid w:val="3AEC07DB"/>
    <w:rsid w:val="3AEC4955"/>
    <w:rsid w:val="3AED6F1C"/>
    <w:rsid w:val="3AEF1B69"/>
    <w:rsid w:val="3AF02E8B"/>
    <w:rsid w:val="3AF90A35"/>
    <w:rsid w:val="3AFB097F"/>
    <w:rsid w:val="3AFC3DF2"/>
    <w:rsid w:val="3AFC655B"/>
    <w:rsid w:val="3B032678"/>
    <w:rsid w:val="3B03672C"/>
    <w:rsid w:val="3B0372FA"/>
    <w:rsid w:val="3B063FC5"/>
    <w:rsid w:val="3B086350"/>
    <w:rsid w:val="3B123C1F"/>
    <w:rsid w:val="3B143E37"/>
    <w:rsid w:val="3B1B53B8"/>
    <w:rsid w:val="3B210A53"/>
    <w:rsid w:val="3B233413"/>
    <w:rsid w:val="3B2335AF"/>
    <w:rsid w:val="3B243114"/>
    <w:rsid w:val="3B2D0AFA"/>
    <w:rsid w:val="3B320760"/>
    <w:rsid w:val="3B3359B5"/>
    <w:rsid w:val="3B34695B"/>
    <w:rsid w:val="3B366C8B"/>
    <w:rsid w:val="3B393982"/>
    <w:rsid w:val="3B3B1806"/>
    <w:rsid w:val="3B3C23DE"/>
    <w:rsid w:val="3B414EF7"/>
    <w:rsid w:val="3B4420D9"/>
    <w:rsid w:val="3B446937"/>
    <w:rsid w:val="3B466C2D"/>
    <w:rsid w:val="3B502FCE"/>
    <w:rsid w:val="3B561B29"/>
    <w:rsid w:val="3B563663"/>
    <w:rsid w:val="3B5F6A2A"/>
    <w:rsid w:val="3B621ACF"/>
    <w:rsid w:val="3B656088"/>
    <w:rsid w:val="3B676CCA"/>
    <w:rsid w:val="3B6B7044"/>
    <w:rsid w:val="3B6E4E1B"/>
    <w:rsid w:val="3B754D3E"/>
    <w:rsid w:val="3B766D35"/>
    <w:rsid w:val="3B7C7E0D"/>
    <w:rsid w:val="3B7D3339"/>
    <w:rsid w:val="3B7E3AD5"/>
    <w:rsid w:val="3B7F0386"/>
    <w:rsid w:val="3B7F677C"/>
    <w:rsid w:val="3B7F7F7F"/>
    <w:rsid w:val="3B8F7763"/>
    <w:rsid w:val="3B906F49"/>
    <w:rsid w:val="3B907A7C"/>
    <w:rsid w:val="3B9267C1"/>
    <w:rsid w:val="3B943FAE"/>
    <w:rsid w:val="3B9674DB"/>
    <w:rsid w:val="3B994387"/>
    <w:rsid w:val="3B9A2384"/>
    <w:rsid w:val="3BA115CC"/>
    <w:rsid w:val="3BA64BE4"/>
    <w:rsid w:val="3BAD0A19"/>
    <w:rsid w:val="3BB10F63"/>
    <w:rsid w:val="3BB2511D"/>
    <w:rsid w:val="3BB275F3"/>
    <w:rsid w:val="3BB80FB8"/>
    <w:rsid w:val="3BBB44BC"/>
    <w:rsid w:val="3BBB5E9F"/>
    <w:rsid w:val="3BBE6C09"/>
    <w:rsid w:val="3BC36AFD"/>
    <w:rsid w:val="3BC62AE2"/>
    <w:rsid w:val="3BCE59D3"/>
    <w:rsid w:val="3BD77BE8"/>
    <w:rsid w:val="3BD86C52"/>
    <w:rsid w:val="3BDD6AE1"/>
    <w:rsid w:val="3BE24CF1"/>
    <w:rsid w:val="3BE35B47"/>
    <w:rsid w:val="3BE374E9"/>
    <w:rsid w:val="3BE408EC"/>
    <w:rsid w:val="3BE96F74"/>
    <w:rsid w:val="3BEF6628"/>
    <w:rsid w:val="3BF40C21"/>
    <w:rsid w:val="3BF433AB"/>
    <w:rsid w:val="3BF470E3"/>
    <w:rsid w:val="3BF71C1C"/>
    <w:rsid w:val="3BF95852"/>
    <w:rsid w:val="3BFF7AC5"/>
    <w:rsid w:val="3C022FE6"/>
    <w:rsid w:val="3C080F29"/>
    <w:rsid w:val="3C1735DF"/>
    <w:rsid w:val="3C19204B"/>
    <w:rsid w:val="3C197DAD"/>
    <w:rsid w:val="3C2255DC"/>
    <w:rsid w:val="3C225D2B"/>
    <w:rsid w:val="3C2814B7"/>
    <w:rsid w:val="3C2D6ED9"/>
    <w:rsid w:val="3C2E0D1B"/>
    <w:rsid w:val="3C2E172B"/>
    <w:rsid w:val="3C326D01"/>
    <w:rsid w:val="3C3A4ADA"/>
    <w:rsid w:val="3C3B77D9"/>
    <w:rsid w:val="3C420210"/>
    <w:rsid w:val="3C424044"/>
    <w:rsid w:val="3C4266C2"/>
    <w:rsid w:val="3C496367"/>
    <w:rsid w:val="3C4A0FAE"/>
    <w:rsid w:val="3C4A507B"/>
    <w:rsid w:val="3C4D2447"/>
    <w:rsid w:val="3C500BEA"/>
    <w:rsid w:val="3C522540"/>
    <w:rsid w:val="3C5473CC"/>
    <w:rsid w:val="3C575DB3"/>
    <w:rsid w:val="3C576182"/>
    <w:rsid w:val="3C5A56A0"/>
    <w:rsid w:val="3C5B0909"/>
    <w:rsid w:val="3C5C1CAA"/>
    <w:rsid w:val="3C631F4B"/>
    <w:rsid w:val="3C692ACC"/>
    <w:rsid w:val="3C6F74B1"/>
    <w:rsid w:val="3C723CC4"/>
    <w:rsid w:val="3C762F54"/>
    <w:rsid w:val="3C79443D"/>
    <w:rsid w:val="3C7A5420"/>
    <w:rsid w:val="3C805D68"/>
    <w:rsid w:val="3C8473EB"/>
    <w:rsid w:val="3C851317"/>
    <w:rsid w:val="3C8F7005"/>
    <w:rsid w:val="3C901131"/>
    <w:rsid w:val="3C913815"/>
    <w:rsid w:val="3C936F09"/>
    <w:rsid w:val="3C9D4CB8"/>
    <w:rsid w:val="3C9E1154"/>
    <w:rsid w:val="3CA2506F"/>
    <w:rsid w:val="3CA26605"/>
    <w:rsid w:val="3CA353FF"/>
    <w:rsid w:val="3CA57539"/>
    <w:rsid w:val="3CA626FE"/>
    <w:rsid w:val="3CB81E71"/>
    <w:rsid w:val="3CBA7E01"/>
    <w:rsid w:val="3CBE3B0C"/>
    <w:rsid w:val="3CBF5AD8"/>
    <w:rsid w:val="3CC27E7D"/>
    <w:rsid w:val="3CC87DEE"/>
    <w:rsid w:val="3CCB7976"/>
    <w:rsid w:val="3CCE00D3"/>
    <w:rsid w:val="3CD12753"/>
    <w:rsid w:val="3CD46E61"/>
    <w:rsid w:val="3CD62EF6"/>
    <w:rsid w:val="3CDC1029"/>
    <w:rsid w:val="3CE03138"/>
    <w:rsid w:val="3CE25B39"/>
    <w:rsid w:val="3CE41F03"/>
    <w:rsid w:val="3CE51B01"/>
    <w:rsid w:val="3CE82AB3"/>
    <w:rsid w:val="3CEA4406"/>
    <w:rsid w:val="3CEC3BDB"/>
    <w:rsid w:val="3CF06780"/>
    <w:rsid w:val="3CF306DB"/>
    <w:rsid w:val="3CF57760"/>
    <w:rsid w:val="3CFC2422"/>
    <w:rsid w:val="3CFD0B76"/>
    <w:rsid w:val="3D0A7D17"/>
    <w:rsid w:val="3D140087"/>
    <w:rsid w:val="3D140BAA"/>
    <w:rsid w:val="3D1F24A3"/>
    <w:rsid w:val="3D235C68"/>
    <w:rsid w:val="3D242190"/>
    <w:rsid w:val="3D244AA0"/>
    <w:rsid w:val="3D2A2941"/>
    <w:rsid w:val="3D2A4817"/>
    <w:rsid w:val="3D312C86"/>
    <w:rsid w:val="3D332BE6"/>
    <w:rsid w:val="3D375DD3"/>
    <w:rsid w:val="3D3876AE"/>
    <w:rsid w:val="3D3941A4"/>
    <w:rsid w:val="3D3A4EA1"/>
    <w:rsid w:val="3D411E7F"/>
    <w:rsid w:val="3D4122D8"/>
    <w:rsid w:val="3D441316"/>
    <w:rsid w:val="3D46621F"/>
    <w:rsid w:val="3D472C82"/>
    <w:rsid w:val="3D4E26E5"/>
    <w:rsid w:val="3D4E5491"/>
    <w:rsid w:val="3D512062"/>
    <w:rsid w:val="3D531F0F"/>
    <w:rsid w:val="3D5447C3"/>
    <w:rsid w:val="3D5508CE"/>
    <w:rsid w:val="3D591FF0"/>
    <w:rsid w:val="3D5F00FB"/>
    <w:rsid w:val="3D650CC7"/>
    <w:rsid w:val="3D664868"/>
    <w:rsid w:val="3D6A3041"/>
    <w:rsid w:val="3D6B159B"/>
    <w:rsid w:val="3D7062E1"/>
    <w:rsid w:val="3D772515"/>
    <w:rsid w:val="3D7832DF"/>
    <w:rsid w:val="3D824E04"/>
    <w:rsid w:val="3D862134"/>
    <w:rsid w:val="3D8640D7"/>
    <w:rsid w:val="3D870580"/>
    <w:rsid w:val="3D8862D9"/>
    <w:rsid w:val="3D8B4D7D"/>
    <w:rsid w:val="3D8D7A01"/>
    <w:rsid w:val="3D8E4116"/>
    <w:rsid w:val="3D8F2249"/>
    <w:rsid w:val="3D91060E"/>
    <w:rsid w:val="3D9613B4"/>
    <w:rsid w:val="3D96279D"/>
    <w:rsid w:val="3D9B50B2"/>
    <w:rsid w:val="3DA76036"/>
    <w:rsid w:val="3DA958CC"/>
    <w:rsid w:val="3DA96421"/>
    <w:rsid w:val="3DAB0B93"/>
    <w:rsid w:val="3DAB20AC"/>
    <w:rsid w:val="3DAE1DF0"/>
    <w:rsid w:val="3DB06A54"/>
    <w:rsid w:val="3DB31CD2"/>
    <w:rsid w:val="3DB65B06"/>
    <w:rsid w:val="3DBB56BE"/>
    <w:rsid w:val="3DBC20DC"/>
    <w:rsid w:val="3DBE3580"/>
    <w:rsid w:val="3DC67B43"/>
    <w:rsid w:val="3DC924C8"/>
    <w:rsid w:val="3DCD2030"/>
    <w:rsid w:val="3DD174E0"/>
    <w:rsid w:val="3DD87856"/>
    <w:rsid w:val="3DDB049A"/>
    <w:rsid w:val="3DDC322E"/>
    <w:rsid w:val="3DDD0F64"/>
    <w:rsid w:val="3DDD3B98"/>
    <w:rsid w:val="3DDF22F6"/>
    <w:rsid w:val="3DE12480"/>
    <w:rsid w:val="3DE86B80"/>
    <w:rsid w:val="3DE943AB"/>
    <w:rsid w:val="3DEA45D4"/>
    <w:rsid w:val="3DEB63EF"/>
    <w:rsid w:val="3DF52F60"/>
    <w:rsid w:val="3DF56D39"/>
    <w:rsid w:val="3DF76115"/>
    <w:rsid w:val="3DFA58FD"/>
    <w:rsid w:val="3DFD41B5"/>
    <w:rsid w:val="3DFE79C3"/>
    <w:rsid w:val="3E0132DF"/>
    <w:rsid w:val="3E021EC3"/>
    <w:rsid w:val="3E057FE4"/>
    <w:rsid w:val="3E0C521B"/>
    <w:rsid w:val="3E0F6359"/>
    <w:rsid w:val="3E0F7CCF"/>
    <w:rsid w:val="3E103A12"/>
    <w:rsid w:val="3E135518"/>
    <w:rsid w:val="3E19347D"/>
    <w:rsid w:val="3E1C3A43"/>
    <w:rsid w:val="3E216EF6"/>
    <w:rsid w:val="3E246643"/>
    <w:rsid w:val="3E266027"/>
    <w:rsid w:val="3E275212"/>
    <w:rsid w:val="3E28641F"/>
    <w:rsid w:val="3E2C7828"/>
    <w:rsid w:val="3E2F78A8"/>
    <w:rsid w:val="3E306C76"/>
    <w:rsid w:val="3E312E80"/>
    <w:rsid w:val="3E335CEB"/>
    <w:rsid w:val="3E352F09"/>
    <w:rsid w:val="3E367F4A"/>
    <w:rsid w:val="3E3E4AEC"/>
    <w:rsid w:val="3E3F3676"/>
    <w:rsid w:val="3E445DFF"/>
    <w:rsid w:val="3E45069E"/>
    <w:rsid w:val="3E472300"/>
    <w:rsid w:val="3E48065F"/>
    <w:rsid w:val="3E4A509E"/>
    <w:rsid w:val="3E4B0825"/>
    <w:rsid w:val="3E50130B"/>
    <w:rsid w:val="3E5B614E"/>
    <w:rsid w:val="3E5C035E"/>
    <w:rsid w:val="3E5D7B67"/>
    <w:rsid w:val="3E67364A"/>
    <w:rsid w:val="3E6D1376"/>
    <w:rsid w:val="3E733B78"/>
    <w:rsid w:val="3E787386"/>
    <w:rsid w:val="3E7915C6"/>
    <w:rsid w:val="3E7C4650"/>
    <w:rsid w:val="3E7D5764"/>
    <w:rsid w:val="3E7E57FE"/>
    <w:rsid w:val="3E7E7FB9"/>
    <w:rsid w:val="3E812FA7"/>
    <w:rsid w:val="3E822400"/>
    <w:rsid w:val="3E8526AC"/>
    <w:rsid w:val="3E8D0623"/>
    <w:rsid w:val="3E924354"/>
    <w:rsid w:val="3E947721"/>
    <w:rsid w:val="3E996B99"/>
    <w:rsid w:val="3E9E1FE7"/>
    <w:rsid w:val="3EA2572C"/>
    <w:rsid w:val="3EA42636"/>
    <w:rsid w:val="3EA53E42"/>
    <w:rsid w:val="3EA732D0"/>
    <w:rsid w:val="3EAF2026"/>
    <w:rsid w:val="3EB227C5"/>
    <w:rsid w:val="3EB23DB7"/>
    <w:rsid w:val="3EB42C9D"/>
    <w:rsid w:val="3EB8519C"/>
    <w:rsid w:val="3EBA1D98"/>
    <w:rsid w:val="3EBD40C6"/>
    <w:rsid w:val="3EBE30F9"/>
    <w:rsid w:val="3EBF2A79"/>
    <w:rsid w:val="3EC057E2"/>
    <w:rsid w:val="3EC05FE0"/>
    <w:rsid w:val="3EC069ED"/>
    <w:rsid w:val="3EC42E27"/>
    <w:rsid w:val="3EC46F80"/>
    <w:rsid w:val="3EC54216"/>
    <w:rsid w:val="3EC64F06"/>
    <w:rsid w:val="3EC70F82"/>
    <w:rsid w:val="3EC81D65"/>
    <w:rsid w:val="3ECF7054"/>
    <w:rsid w:val="3ED95FC6"/>
    <w:rsid w:val="3EDD5167"/>
    <w:rsid w:val="3EE15D74"/>
    <w:rsid w:val="3EE80F58"/>
    <w:rsid w:val="3EE91E73"/>
    <w:rsid w:val="3EEA50A3"/>
    <w:rsid w:val="3EF9136F"/>
    <w:rsid w:val="3EFC6D76"/>
    <w:rsid w:val="3EFD7E77"/>
    <w:rsid w:val="3F001D27"/>
    <w:rsid w:val="3F017DC7"/>
    <w:rsid w:val="3F050CD1"/>
    <w:rsid w:val="3F0F30C5"/>
    <w:rsid w:val="3F107211"/>
    <w:rsid w:val="3F134139"/>
    <w:rsid w:val="3F140A8B"/>
    <w:rsid w:val="3F184020"/>
    <w:rsid w:val="3F192535"/>
    <w:rsid w:val="3F1D4C6B"/>
    <w:rsid w:val="3F227552"/>
    <w:rsid w:val="3F232296"/>
    <w:rsid w:val="3F2829F0"/>
    <w:rsid w:val="3F291CCF"/>
    <w:rsid w:val="3F2A2C41"/>
    <w:rsid w:val="3F3227BE"/>
    <w:rsid w:val="3F327C35"/>
    <w:rsid w:val="3F343A26"/>
    <w:rsid w:val="3F3C338F"/>
    <w:rsid w:val="3F3E1B6D"/>
    <w:rsid w:val="3F3E6FA8"/>
    <w:rsid w:val="3F423E35"/>
    <w:rsid w:val="3F4353DF"/>
    <w:rsid w:val="3F484DCC"/>
    <w:rsid w:val="3F55019A"/>
    <w:rsid w:val="3F5A65F0"/>
    <w:rsid w:val="3F5E6A5F"/>
    <w:rsid w:val="3F624100"/>
    <w:rsid w:val="3F640DA3"/>
    <w:rsid w:val="3F64483C"/>
    <w:rsid w:val="3F67415D"/>
    <w:rsid w:val="3F7030A4"/>
    <w:rsid w:val="3F725D7F"/>
    <w:rsid w:val="3F77137F"/>
    <w:rsid w:val="3F77435C"/>
    <w:rsid w:val="3F7B6D67"/>
    <w:rsid w:val="3F7D0425"/>
    <w:rsid w:val="3F835E19"/>
    <w:rsid w:val="3F862FBA"/>
    <w:rsid w:val="3F8E398A"/>
    <w:rsid w:val="3F9A1445"/>
    <w:rsid w:val="3F9A2E3A"/>
    <w:rsid w:val="3FA45520"/>
    <w:rsid w:val="3FA46432"/>
    <w:rsid w:val="3FA51E71"/>
    <w:rsid w:val="3FA9267D"/>
    <w:rsid w:val="3FA9622B"/>
    <w:rsid w:val="3FAB1FEF"/>
    <w:rsid w:val="3FAE4206"/>
    <w:rsid w:val="3FAE4E69"/>
    <w:rsid w:val="3FB02E72"/>
    <w:rsid w:val="3FB402CC"/>
    <w:rsid w:val="3FC17D1B"/>
    <w:rsid w:val="3FC53D1E"/>
    <w:rsid w:val="3FCD71BC"/>
    <w:rsid w:val="3FCF4279"/>
    <w:rsid w:val="3FD61E91"/>
    <w:rsid w:val="3FD86AB4"/>
    <w:rsid w:val="3FD87DBB"/>
    <w:rsid w:val="3FDF214F"/>
    <w:rsid w:val="3FE076B9"/>
    <w:rsid w:val="3FE87D4C"/>
    <w:rsid w:val="3FE94591"/>
    <w:rsid w:val="3FEA600B"/>
    <w:rsid w:val="3FEE5EA2"/>
    <w:rsid w:val="3FF04279"/>
    <w:rsid w:val="3FF11CCD"/>
    <w:rsid w:val="3FF30A23"/>
    <w:rsid w:val="3FF45784"/>
    <w:rsid w:val="3FF56C09"/>
    <w:rsid w:val="3FF62B81"/>
    <w:rsid w:val="3FF73BB1"/>
    <w:rsid w:val="3FF87DDC"/>
    <w:rsid w:val="3FF90F01"/>
    <w:rsid w:val="40025FCD"/>
    <w:rsid w:val="40060710"/>
    <w:rsid w:val="4008628D"/>
    <w:rsid w:val="40140C2C"/>
    <w:rsid w:val="401803F6"/>
    <w:rsid w:val="401A17AA"/>
    <w:rsid w:val="401E0F96"/>
    <w:rsid w:val="40221CF2"/>
    <w:rsid w:val="4022337E"/>
    <w:rsid w:val="402D02F7"/>
    <w:rsid w:val="40404CF4"/>
    <w:rsid w:val="40490F77"/>
    <w:rsid w:val="404947AE"/>
    <w:rsid w:val="404A464E"/>
    <w:rsid w:val="404E21B3"/>
    <w:rsid w:val="405058EA"/>
    <w:rsid w:val="40512588"/>
    <w:rsid w:val="4057027C"/>
    <w:rsid w:val="405D7E4D"/>
    <w:rsid w:val="40623869"/>
    <w:rsid w:val="406745E1"/>
    <w:rsid w:val="4068373D"/>
    <w:rsid w:val="40691F07"/>
    <w:rsid w:val="40693AEB"/>
    <w:rsid w:val="40697690"/>
    <w:rsid w:val="406C4AF2"/>
    <w:rsid w:val="406E0406"/>
    <w:rsid w:val="407638DE"/>
    <w:rsid w:val="4081256C"/>
    <w:rsid w:val="40864CB2"/>
    <w:rsid w:val="4086748C"/>
    <w:rsid w:val="40874BA6"/>
    <w:rsid w:val="408955EE"/>
    <w:rsid w:val="408D45A4"/>
    <w:rsid w:val="408F0A62"/>
    <w:rsid w:val="40913119"/>
    <w:rsid w:val="40932490"/>
    <w:rsid w:val="40935590"/>
    <w:rsid w:val="409A51DD"/>
    <w:rsid w:val="409B4785"/>
    <w:rsid w:val="40A33278"/>
    <w:rsid w:val="40A70A94"/>
    <w:rsid w:val="40AE2838"/>
    <w:rsid w:val="40AF04C9"/>
    <w:rsid w:val="40B045BB"/>
    <w:rsid w:val="40B14208"/>
    <w:rsid w:val="40B27E26"/>
    <w:rsid w:val="40B41CAD"/>
    <w:rsid w:val="40B4541C"/>
    <w:rsid w:val="40C25CFC"/>
    <w:rsid w:val="40C50FB5"/>
    <w:rsid w:val="40C96510"/>
    <w:rsid w:val="40CC4E7E"/>
    <w:rsid w:val="40D011D9"/>
    <w:rsid w:val="40D14CC2"/>
    <w:rsid w:val="40D17BB7"/>
    <w:rsid w:val="40D6488E"/>
    <w:rsid w:val="40D73D19"/>
    <w:rsid w:val="40DF0386"/>
    <w:rsid w:val="40DF6591"/>
    <w:rsid w:val="40E34AD8"/>
    <w:rsid w:val="40E40DFC"/>
    <w:rsid w:val="40E50542"/>
    <w:rsid w:val="40E6682F"/>
    <w:rsid w:val="40E9480B"/>
    <w:rsid w:val="40EE2357"/>
    <w:rsid w:val="40EF08F8"/>
    <w:rsid w:val="40F05FA2"/>
    <w:rsid w:val="40F24D4B"/>
    <w:rsid w:val="40F41FD4"/>
    <w:rsid w:val="40F42E70"/>
    <w:rsid w:val="40F664E4"/>
    <w:rsid w:val="40F744DC"/>
    <w:rsid w:val="40F92824"/>
    <w:rsid w:val="40FA7EDA"/>
    <w:rsid w:val="41053EDC"/>
    <w:rsid w:val="410F759D"/>
    <w:rsid w:val="411003D7"/>
    <w:rsid w:val="41193895"/>
    <w:rsid w:val="41237041"/>
    <w:rsid w:val="41256E7E"/>
    <w:rsid w:val="412859A1"/>
    <w:rsid w:val="4129726C"/>
    <w:rsid w:val="412C7366"/>
    <w:rsid w:val="412D2A7D"/>
    <w:rsid w:val="412D502A"/>
    <w:rsid w:val="413110F2"/>
    <w:rsid w:val="41347C64"/>
    <w:rsid w:val="41381011"/>
    <w:rsid w:val="413959F5"/>
    <w:rsid w:val="413B7DDF"/>
    <w:rsid w:val="413D5027"/>
    <w:rsid w:val="4148643C"/>
    <w:rsid w:val="415077C2"/>
    <w:rsid w:val="41524F91"/>
    <w:rsid w:val="41566655"/>
    <w:rsid w:val="415703A0"/>
    <w:rsid w:val="41570C70"/>
    <w:rsid w:val="41595098"/>
    <w:rsid w:val="415B5182"/>
    <w:rsid w:val="415C05EF"/>
    <w:rsid w:val="415F435E"/>
    <w:rsid w:val="41654299"/>
    <w:rsid w:val="41663F3C"/>
    <w:rsid w:val="41674926"/>
    <w:rsid w:val="4172382F"/>
    <w:rsid w:val="41751362"/>
    <w:rsid w:val="41773005"/>
    <w:rsid w:val="41783E5F"/>
    <w:rsid w:val="417C2D91"/>
    <w:rsid w:val="417F0D1F"/>
    <w:rsid w:val="41813296"/>
    <w:rsid w:val="418516AA"/>
    <w:rsid w:val="41896689"/>
    <w:rsid w:val="418C5AAF"/>
    <w:rsid w:val="419136EC"/>
    <w:rsid w:val="41993883"/>
    <w:rsid w:val="419968EE"/>
    <w:rsid w:val="419C2E2A"/>
    <w:rsid w:val="41A02D75"/>
    <w:rsid w:val="41A33592"/>
    <w:rsid w:val="41A64C7C"/>
    <w:rsid w:val="41A873A3"/>
    <w:rsid w:val="41AC2533"/>
    <w:rsid w:val="41B24296"/>
    <w:rsid w:val="41B51176"/>
    <w:rsid w:val="41BF563C"/>
    <w:rsid w:val="41BF703A"/>
    <w:rsid w:val="41BF7256"/>
    <w:rsid w:val="41C300C2"/>
    <w:rsid w:val="41C4744C"/>
    <w:rsid w:val="41C96DEE"/>
    <w:rsid w:val="41CB180F"/>
    <w:rsid w:val="41CC5292"/>
    <w:rsid w:val="41CC6644"/>
    <w:rsid w:val="41D0300C"/>
    <w:rsid w:val="41D14E02"/>
    <w:rsid w:val="41D27262"/>
    <w:rsid w:val="41D30E33"/>
    <w:rsid w:val="41D54F5B"/>
    <w:rsid w:val="41D560F3"/>
    <w:rsid w:val="41D64819"/>
    <w:rsid w:val="41D727E8"/>
    <w:rsid w:val="41D95E70"/>
    <w:rsid w:val="41DE3101"/>
    <w:rsid w:val="41DF15FB"/>
    <w:rsid w:val="41E1400F"/>
    <w:rsid w:val="41E76596"/>
    <w:rsid w:val="41EC7847"/>
    <w:rsid w:val="41F241A8"/>
    <w:rsid w:val="41F472ED"/>
    <w:rsid w:val="41FD5AC5"/>
    <w:rsid w:val="41FE3008"/>
    <w:rsid w:val="420223C8"/>
    <w:rsid w:val="42064B46"/>
    <w:rsid w:val="42094C6E"/>
    <w:rsid w:val="420E082C"/>
    <w:rsid w:val="420F728E"/>
    <w:rsid w:val="42190828"/>
    <w:rsid w:val="42191C08"/>
    <w:rsid w:val="421F08AA"/>
    <w:rsid w:val="422244D0"/>
    <w:rsid w:val="423109B3"/>
    <w:rsid w:val="42314152"/>
    <w:rsid w:val="42321B85"/>
    <w:rsid w:val="423513C0"/>
    <w:rsid w:val="42362A44"/>
    <w:rsid w:val="4237376B"/>
    <w:rsid w:val="4238295E"/>
    <w:rsid w:val="4238599A"/>
    <w:rsid w:val="423A6382"/>
    <w:rsid w:val="423C3FD0"/>
    <w:rsid w:val="424001B8"/>
    <w:rsid w:val="42410CED"/>
    <w:rsid w:val="42413A52"/>
    <w:rsid w:val="42451A22"/>
    <w:rsid w:val="42463474"/>
    <w:rsid w:val="42485812"/>
    <w:rsid w:val="424F05D5"/>
    <w:rsid w:val="42527648"/>
    <w:rsid w:val="425673D7"/>
    <w:rsid w:val="42582D54"/>
    <w:rsid w:val="425E5B07"/>
    <w:rsid w:val="425F1DAD"/>
    <w:rsid w:val="42603E91"/>
    <w:rsid w:val="42637F53"/>
    <w:rsid w:val="427206CA"/>
    <w:rsid w:val="4275798F"/>
    <w:rsid w:val="42773ED7"/>
    <w:rsid w:val="427A3EE0"/>
    <w:rsid w:val="427B3151"/>
    <w:rsid w:val="427D0824"/>
    <w:rsid w:val="427F42F4"/>
    <w:rsid w:val="42807C86"/>
    <w:rsid w:val="42854D65"/>
    <w:rsid w:val="4286248C"/>
    <w:rsid w:val="4287454C"/>
    <w:rsid w:val="428B746A"/>
    <w:rsid w:val="428F3E92"/>
    <w:rsid w:val="428F4656"/>
    <w:rsid w:val="4293129E"/>
    <w:rsid w:val="4293712D"/>
    <w:rsid w:val="42942AE9"/>
    <w:rsid w:val="429A2B43"/>
    <w:rsid w:val="429C08FB"/>
    <w:rsid w:val="429C722E"/>
    <w:rsid w:val="42A3369A"/>
    <w:rsid w:val="42AA6B76"/>
    <w:rsid w:val="42AA70D8"/>
    <w:rsid w:val="42AB5AA5"/>
    <w:rsid w:val="42AD2F26"/>
    <w:rsid w:val="42B075C4"/>
    <w:rsid w:val="42B115AF"/>
    <w:rsid w:val="42B137A3"/>
    <w:rsid w:val="42B32E97"/>
    <w:rsid w:val="42B47240"/>
    <w:rsid w:val="42B84EA0"/>
    <w:rsid w:val="42CE5E19"/>
    <w:rsid w:val="42CE7D7C"/>
    <w:rsid w:val="42D22808"/>
    <w:rsid w:val="42D234AF"/>
    <w:rsid w:val="42D714EF"/>
    <w:rsid w:val="42DB3B91"/>
    <w:rsid w:val="42DB5579"/>
    <w:rsid w:val="42DF4161"/>
    <w:rsid w:val="42DF7189"/>
    <w:rsid w:val="42E14ACB"/>
    <w:rsid w:val="42E51691"/>
    <w:rsid w:val="42E64ECF"/>
    <w:rsid w:val="42EB3E08"/>
    <w:rsid w:val="42EC26D5"/>
    <w:rsid w:val="42EE56CA"/>
    <w:rsid w:val="42EF410F"/>
    <w:rsid w:val="42F4270E"/>
    <w:rsid w:val="42F73D36"/>
    <w:rsid w:val="42FF747E"/>
    <w:rsid w:val="4304513A"/>
    <w:rsid w:val="43050811"/>
    <w:rsid w:val="430D0873"/>
    <w:rsid w:val="43117000"/>
    <w:rsid w:val="43162C5A"/>
    <w:rsid w:val="431C16E0"/>
    <w:rsid w:val="431C1E05"/>
    <w:rsid w:val="431C45A9"/>
    <w:rsid w:val="431D7FFB"/>
    <w:rsid w:val="431E7608"/>
    <w:rsid w:val="43262D44"/>
    <w:rsid w:val="432C0960"/>
    <w:rsid w:val="432C33F5"/>
    <w:rsid w:val="432D3F90"/>
    <w:rsid w:val="433058C0"/>
    <w:rsid w:val="43316CE4"/>
    <w:rsid w:val="433A2855"/>
    <w:rsid w:val="433F2E4E"/>
    <w:rsid w:val="43426001"/>
    <w:rsid w:val="43433715"/>
    <w:rsid w:val="43462670"/>
    <w:rsid w:val="434958FA"/>
    <w:rsid w:val="434D60D5"/>
    <w:rsid w:val="43521AAB"/>
    <w:rsid w:val="43530C4F"/>
    <w:rsid w:val="43567B05"/>
    <w:rsid w:val="435C1A32"/>
    <w:rsid w:val="43643DCD"/>
    <w:rsid w:val="436616AC"/>
    <w:rsid w:val="43665D06"/>
    <w:rsid w:val="436672A2"/>
    <w:rsid w:val="4368620E"/>
    <w:rsid w:val="436C53AC"/>
    <w:rsid w:val="4373728A"/>
    <w:rsid w:val="43742A82"/>
    <w:rsid w:val="4377603C"/>
    <w:rsid w:val="437E6291"/>
    <w:rsid w:val="43814F8A"/>
    <w:rsid w:val="43841F97"/>
    <w:rsid w:val="438547D8"/>
    <w:rsid w:val="43862A89"/>
    <w:rsid w:val="438767D7"/>
    <w:rsid w:val="438A6E75"/>
    <w:rsid w:val="438D0071"/>
    <w:rsid w:val="438D2F21"/>
    <w:rsid w:val="438E2667"/>
    <w:rsid w:val="43902056"/>
    <w:rsid w:val="4393627A"/>
    <w:rsid w:val="43965C06"/>
    <w:rsid w:val="43970FAB"/>
    <w:rsid w:val="439B58D8"/>
    <w:rsid w:val="439C53A7"/>
    <w:rsid w:val="439E32E2"/>
    <w:rsid w:val="439F2259"/>
    <w:rsid w:val="43A914B9"/>
    <w:rsid w:val="43AA4577"/>
    <w:rsid w:val="43AC4564"/>
    <w:rsid w:val="43AF61A2"/>
    <w:rsid w:val="43B82BB1"/>
    <w:rsid w:val="43BA4624"/>
    <w:rsid w:val="43BB24CD"/>
    <w:rsid w:val="43BE0D0B"/>
    <w:rsid w:val="43BF4E38"/>
    <w:rsid w:val="43C22482"/>
    <w:rsid w:val="43C4177F"/>
    <w:rsid w:val="43C61F19"/>
    <w:rsid w:val="43CC28E8"/>
    <w:rsid w:val="43CC360A"/>
    <w:rsid w:val="43D46E8F"/>
    <w:rsid w:val="43DB07C9"/>
    <w:rsid w:val="43DB49F3"/>
    <w:rsid w:val="43DF4D10"/>
    <w:rsid w:val="43E05FD2"/>
    <w:rsid w:val="43E2374E"/>
    <w:rsid w:val="43E630C9"/>
    <w:rsid w:val="43ED1248"/>
    <w:rsid w:val="43F00D5F"/>
    <w:rsid w:val="43F21E90"/>
    <w:rsid w:val="43F45A6A"/>
    <w:rsid w:val="43F470F6"/>
    <w:rsid w:val="43F53413"/>
    <w:rsid w:val="43F95A71"/>
    <w:rsid w:val="43FF49F5"/>
    <w:rsid w:val="44011959"/>
    <w:rsid w:val="4405417F"/>
    <w:rsid w:val="4408718E"/>
    <w:rsid w:val="440A7E8D"/>
    <w:rsid w:val="440D5F69"/>
    <w:rsid w:val="440D784D"/>
    <w:rsid w:val="44102DC0"/>
    <w:rsid w:val="441200F3"/>
    <w:rsid w:val="441377D0"/>
    <w:rsid w:val="441A3ECB"/>
    <w:rsid w:val="442223C1"/>
    <w:rsid w:val="44267A77"/>
    <w:rsid w:val="44276CB4"/>
    <w:rsid w:val="44281B1F"/>
    <w:rsid w:val="44297110"/>
    <w:rsid w:val="44392355"/>
    <w:rsid w:val="443A5970"/>
    <w:rsid w:val="443B6E59"/>
    <w:rsid w:val="443E7A4E"/>
    <w:rsid w:val="44454B1C"/>
    <w:rsid w:val="444B0B07"/>
    <w:rsid w:val="444B2676"/>
    <w:rsid w:val="444D5F51"/>
    <w:rsid w:val="444E5A59"/>
    <w:rsid w:val="444F452E"/>
    <w:rsid w:val="4450053D"/>
    <w:rsid w:val="44544E65"/>
    <w:rsid w:val="4454598C"/>
    <w:rsid w:val="445D7BEF"/>
    <w:rsid w:val="445E5404"/>
    <w:rsid w:val="44670346"/>
    <w:rsid w:val="446B179A"/>
    <w:rsid w:val="446B4998"/>
    <w:rsid w:val="446B650F"/>
    <w:rsid w:val="44705DE2"/>
    <w:rsid w:val="447130F7"/>
    <w:rsid w:val="44717144"/>
    <w:rsid w:val="44742021"/>
    <w:rsid w:val="44782E00"/>
    <w:rsid w:val="44793583"/>
    <w:rsid w:val="447E5AC6"/>
    <w:rsid w:val="447E78AB"/>
    <w:rsid w:val="448040AD"/>
    <w:rsid w:val="44822D96"/>
    <w:rsid w:val="44836173"/>
    <w:rsid w:val="448B70E8"/>
    <w:rsid w:val="4493135E"/>
    <w:rsid w:val="449328FA"/>
    <w:rsid w:val="44973A26"/>
    <w:rsid w:val="449B79C2"/>
    <w:rsid w:val="449F4858"/>
    <w:rsid w:val="44B17530"/>
    <w:rsid w:val="44B722D6"/>
    <w:rsid w:val="44B847C6"/>
    <w:rsid w:val="44BA7B5B"/>
    <w:rsid w:val="44C12E9E"/>
    <w:rsid w:val="44C56C28"/>
    <w:rsid w:val="44C64311"/>
    <w:rsid w:val="44C87A76"/>
    <w:rsid w:val="44C924E7"/>
    <w:rsid w:val="44CA204E"/>
    <w:rsid w:val="44CB7362"/>
    <w:rsid w:val="44CE2D69"/>
    <w:rsid w:val="44CF6960"/>
    <w:rsid w:val="44D022EC"/>
    <w:rsid w:val="44D3003F"/>
    <w:rsid w:val="44D47729"/>
    <w:rsid w:val="44D61218"/>
    <w:rsid w:val="44D8309E"/>
    <w:rsid w:val="44DC4F3C"/>
    <w:rsid w:val="44DF2A9F"/>
    <w:rsid w:val="44E609F6"/>
    <w:rsid w:val="44E832B3"/>
    <w:rsid w:val="44EB3C4B"/>
    <w:rsid w:val="44ED0065"/>
    <w:rsid w:val="44F3108A"/>
    <w:rsid w:val="44F3208C"/>
    <w:rsid w:val="44F357AD"/>
    <w:rsid w:val="44FC0349"/>
    <w:rsid w:val="44FD02B4"/>
    <w:rsid w:val="44FE2D20"/>
    <w:rsid w:val="44FF79B9"/>
    <w:rsid w:val="45023AC8"/>
    <w:rsid w:val="4504635C"/>
    <w:rsid w:val="45046896"/>
    <w:rsid w:val="45070702"/>
    <w:rsid w:val="45071880"/>
    <w:rsid w:val="450A28FB"/>
    <w:rsid w:val="450C405C"/>
    <w:rsid w:val="45172844"/>
    <w:rsid w:val="45183304"/>
    <w:rsid w:val="451A56CC"/>
    <w:rsid w:val="451C7A3B"/>
    <w:rsid w:val="452132F1"/>
    <w:rsid w:val="45216567"/>
    <w:rsid w:val="45220535"/>
    <w:rsid w:val="45244599"/>
    <w:rsid w:val="45281C6D"/>
    <w:rsid w:val="452B3D35"/>
    <w:rsid w:val="452E6183"/>
    <w:rsid w:val="453234E7"/>
    <w:rsid w:val="4535145B"/>
    <w:rsid w:val="45365854"/>
    <w:rsid w:val="45372819"/>
    <w:rsid w:val="45384761"/>
    <w:rsid w:val="453B603E"/>
    <w:rsid w:val="453B6418"/>
    <w:rsid w:val="453C5257"/>
    <w:rsid w:val="453D5BFE"/>
    <w:rsid w:val="45481DBD"/>
    <w:rsid w:val="45487843"/>
    <w:rsid w:val="45492A86"/>
    <w:rsid w:val="45504D3F"/>
    <w:rsid w:val="455329FD"/>
    <w:rsid w:val="455373B5"/>
    <w:rsid w:val="45543419"/>
    <w:rsid w:val="45555CCC"/>
    <w:rsid w:val="45573834"/>
    <w:rsid w:val="45582B2A"/>
    <w:rsid w:val="455D537D"/>
    <w:rsid w:val="455E0CD1"/>
    <w:rsid w:val="455F1932"/>
    <w:rsid w:val="45626202"/>
    <w:rsid w:val="45661740"/>
    <w:rsid w:val="45677C5B"/>
    <w:rsid w:val="456B3AE3"/>
    <w:rsid w:val="456E70EA"/>
    <w:rsid w:val="456F1399"/>
    <w:rsid w:val="45717602"/>
    <w:rsid w:val="457269EF"/>
    <w:rsid w:val="45727142"/>
    <w:rsid w:val="4575063B"/>
    <w:rsid w:val="4575600B"/>
    <w:rsid w:val="4575772F"/>
    <w:rsid w:val="45763405"/>
    <w:rsid w:val="45844F4B"/>
    <w:rsid w:val="45886C54"/>
    <w:rsid w:val="458C677C"/>
    <w:rsid w:val="458E2E54"/>
    <w:rsid w:val="458F5F4E"/>
    <w:rsid w:val="459750E0"/>
    <w:rsid w:val="45991851"/>
    <w:rsid w:val="459930C1"/>
    <w:rsid w:val="459A5680"/>
    <w:rsid w:val="45A154D0"/>
    <w:rsid w:val="45A355F9"/>
    <w:rsid w:val="45A45490"/>
    <w:rsid w:val="45A509E2"/>
    <w:rsid w:val="45A67D8E"/>
    <w:rsid w:val="45A857AE"/>
    <w:rsid w:val="45AC6870"/>
    <w:rsid w:val="45B008ED"/>
    <w:rsid w:val="45B66F35"/>
    <w:rsid w:val="45B80618"/>
    <w:rsid w:val="45BA2146"/>
    <w:rsid w:val="45BA4BE2"/>
    <w:rsid w:val="45BF78BC"/>
    <w:rsid w:val="45C10D04"/>
    <w:rsid w:val="45CD538E"/>
    <w:rsid w:val="45D02C97"/>
    <w:rsid w:val="45D42CF0"/>
    <w:rsid w:val="45D74CDA"/>
    <w:rsid w:val="45DA1D53"/>
    <w:rsid w:val="45DB72AB"/>
    <w:rsid w:val="45DC1B24"/>
    <w:rsid w:val="45E10A91"/>
    <w:rsid w:val="45E3384D"/>
    <w:rsid w:val="45E42DDB"/>
    <w:rsid w:val="45E72E01"/>
    <w:rsid w:val="45F065CD"/>
    <w:rsid w:val="45F373D0"/>
    <w:rsid w:val="45F41F88"/>
    <w:rsid w:val="45F85A5E"/>
    <w:rsid w:val="45FB59FE"/>
    <w:rsid w:val="45FB7589"/>
    <w:rsid w:val="45FF0398"/>
    <w:rsid w:val="460226C2"/>
    <w:rsid w:val="4604111F"/>
    <w:rsid w:val="4608499F"/>
    <w:rsid w:val="460C7C2D"/>
    <w:rsid w:val="46107C53"/>
    <w:rsid w:val="461263A3"/>
    <w:rsid w:val="461450B5"/>
    <w:rsid w:val="46146099"/>
    <w:rsid w:val="46146317"/>
    <w:rsid w:val="4614790C"/>
    <w:rsid w:val="461A0D7B"/>
    <w:rsid w:val="46204BB1"/>
    <w:rsid w:val="462349F7"/>
    <w:rsid w:val="462367FE"/>
    <w:rsid w:val="46256772"/>
    <w:rsid w:val="462F3081"/>
    <w:rsid w:val="463025A8"/>
    <w:rsid w:val="46366AA0"/>
    <w:rsid w:val="463B0FD4"/>
    <w:rsid w:val="463E1A9B"/>
    <w:rsid w:val="463E5311"/>
    <w:rsid w:val="46407FBF"/>
    <w:rsid w:val="46412BEB"/>
    <w:rsid w:val="46443C45"/>
    <w:rsid w:val="46472C72"/>
    <w:rsid w:val="464E68D0"/>
    <w:rsid w:val="464F2109"/>
    <w:rsid w:val="46516EA2"/>
    <w:rsid w:val="46550CFC"/>
    <w:rsid w:val="46575EF9"/>
    <w:rsid w:val="465C445A"/>
    <w:rsid w:val="465C73B5"/>
    <w:rsid w:val="46622CAD"/>
    <w:rsid w:val="46634D1E"/>
    <w:rsid w:val="46663FBB"/>
    <w:rsid w:val="466A118E"/>
    <w:rsid w:val="466D7AD3"/>
    <w:rsid w:val="4671371C"/>
    <w:rsid w:val="467143CE"/>
    <w:rsid w:val="46726220"/>
    <w:rsid w:val="46746A5E"/>
    <w:rsid w:val="4677491B"/>
    <w:rsid w:val="467A156F"/>
    <w:rsid w:val="467E2746"/>
    <w:rsid w:val="46864C0F"/>
    <w:rsid w:val="468B11E8"/>
    <w:rsid w:val="468B463D"/>
    <w:rsid w:val="468B7AAF"/>
    <w:rsid w:val="468C03AA"/>
    <w:rsid w:val="4691085D"/>
    <w:rsid w:val="46994964"/>
    <w:rsid w:val="469A5840"/>
    <w:rsid w:val="46A11A77"/>
    <w:rsid w:val="46A32A34"/>
    <w:rsid w:val="46A8073A"/>
    <w:rsid w:val="46AB7166"/>
    <w:rsid w:val="46AE5E10"/>
    <w:rsid w:val="46B17157"/>
    <w:rsid w:val="46B74D42"/>
    <w:rsid w:val="46B81828"/>
    <w:rsid w:val="46BE4502"/>
    <w:rsid w:val="46C9540B"/>
    <w:rsid w:val="46CD32B8"/>
    <w:rsid w:val="46CD57A4"/>
    <w:rsid w:val="46CD60B2"/>
    <w:rsid w:val="46CD6338"/>
    <w:rsid w:val="46D01784"/>
    <w:rsid w:val="46D032FD"/>
    <w:rsid w:val="46D357FD"/>
    <w:rsid w:val="46D45652"/>
    <w:rsid w:val="46DB4CB4"/>
    <w:rsid w:val="46DC7EEB"/>
    <w:rsid w:val="46DD5040"/>
    <w:rsid w:val="46DF581A"/>
    <w:rsid w:val="46E11F13"/>
    <w:rsid w:val="46E33494"/>
    <w:rsid w:val="46E94541"/>
    <w:rsid w:val="46EC7145"/>
    <w:rsid w:val="46EF63B2"/>
    <w:rsid w:val="46F656FD"/>
    <w:rsid w:val="470178AF"/>
    <w:rsid w:val="4703430E"/>
    <w:rsid w:val="47064366"/>
    <w:rsid w:val="470A1FFD"/>
    <w:rsid w:val="47125EA3"/>
    <w:rsid w:val="47137B4A"/>
    <w:rsid w:val="4716766D"/>
    <w:rsid w:val="471879C9"/>
    <w:rsid w:val="471A2E2F"/>
    <w:rsid w:val="47221F41"/>
    <w:rsid w:val="4723516F"/>
    <w:rsid w:val="47295FAA"/>
    <w:rsid w:val="472E29B7"/>
    <w:rsid w:val="473277D0"/>
    <w:rsid w:val="473A0EEB"/>
    <w:rsid w:val="473C1A8D"/>
    <w:rsid w:val="473C7235"/>
    <w:rsid w:val="473E6DC7"/>
    <w:rsid w:val="473F0C75"/>
    <w:rsid w:val="47410568"/>
    <w:rsid w:val="47442DF0"/>
    <w:rsid w:val="474561ED"/>
    <w:rsid w:val="474A0D9C"/>
    <w:rsid w:val="474A3F22"/>
    <w:rsid w:val="4758049B"/>
    <w:rsid w:val="47584235"/>
    <w:rsid w:val="47611588"/>
    <w:rsid w:val="47617D18"/>
    <w:rsid w:val="476377B7"/>
    <w:rsid w:val="476428FB"/>
    <w:rsid w:val="47656C87"/>
    <w:rsid w:val="47682F72"/>
    <w:rsid w:val="476D40C4"/>
    <w:rsid w:val="476D62F0"/>
    <w:rsid w:val="476F6A52"/>
    <w:rsid w:val="4770007C"/>
    <w:rsid w:val="47770F10"/>
    <w:rsid w:val="477778F7"/>
    <w:rsid w:val="47787311"/>
    <w:rsid w:val="47797ED9"/>
    <w:rsid w:val="47807632"/>
    <w:rsid w:val="47857324"/>
    <w:rsid w:val="47870EFA"/>
    <w:rsid w:val="478B7A91"/>
    <w:rsid w:val="478D6729"/>
    <w:rsid w:val="478E19BB"/>
    <w:rsid w:val="478F2680"/>
    <w:rsid w:val="479A4787"/>
    <w:rsid w:val="479D17EE"/>
    <w:rsid w:val="47A03414"/>
    <w:rsid w:val="47A47578"/>
    <w:rsid w:val="47A77B26"/>
    <w:rsid w:val="47A958F4"/>
    <w:rsid w:val="47AA168D"/>
    <w:rsid w:val="47AC42B9"/>
    <w:rsid w:val="47AE5415"/>
    <w:rsid w:val="47B2679E"/>
    <w:rsid w:val="47B36419"/>
    <w:rsid w:val="47B70E1B"/>
    <w:rsid w:val="47BA389D"/>
    <w:rsid w:val="47BA4BD0"/>
    <w:rsid w:val="47BB5026"/>
    <w:rsid w:val="47BE7890"/>
    <w:rsid w:val="47BF41AF"/>
    <w:rsid w:val="47BF79F9"/>
    <w:rsid w:val="47C14ACE"/>
    <w:rsid w:val="47C9284A"/>
    <w:rsid w:val="47CA3BCA"/>
    <w:rsid w:val="47D01898"/>
    <w:rsid w:val="47D3705B"/>
    <w:rsid w:val="47D667FF"/>
    <w:rsid w:val="47D94F76"/>
    <w:rsid w:val="47DC28AC"/>
    <w:rsid w:val="47DE0552"/>
    <w:rsid w:val="47DF7594"/>
    <w:rsid w:val="47E7515D"/>
    <w:rsid w:val="47E81A46"/>
    <w:rsid w:val="47F146F5"/>
    <w:rsid w:val="47F22DC1"/>
    <w:rsid w:val="47F4380D"/>
    <w:rsid w:val="47F4614F"/>
    <w:rsid w:val="47F92B79"/>
    <w:rsid w:val="47FA0CD6"/>
    <w:rsid w:val="48017DA4"/>
    <w:rsid w:val="4802403D"/>
    <w:rsid w:val="480861EF"/>
    <w:rsid w:val="48086AF1"/>
    <w:rsid w:val="480C071A"/>
    <w:rsid w:val="480C1493"/>
    <w:rsid w:val="480E23FF"/>
    <w:rsid w:val="480F6BC9"/>
    <w:rsid w:val="4812359A"/>
    <w:rsid w:val="48132F73"/>
    <w:rsid w:val="481567B5"/>
    <w:rsid w:val="48156A72"/>
    <w:rsid w:val="481A2ADE"/>
    <w:rsid w:val="481B3B16"/>
    <w:rsid w:val="481C1932"/>
    <w:rsid w:val="481C35CC"/>
    <w:rsid w:val="481D3C97"/>
    <w:rsid w:val="481D583D"/>
    <w:rsid w:val="481F3807"/>
    <w:rsid w:val="48204A92"/>
    <w:rsid w:val="4825498E"/>
    <w:rsid w:val="48292412"/>
    <w:rsid w:val="482A0411"/>
    <w:rsid w:val="482E331D"/>
    <w:rsid w:val="482F0033"/>
    <w:rsid w:val="48334D33"/>
    <w:rsid w:val="483662BC"/>
    <w:rsid w:val="483959EE"/>
    <w:rsid w:val="483A460F"/>
    <w:rsid w:val="483D0D07"/>
    <w:rsid w:val="483E2FBF"/>
    <w:rsid w:val="483F4251"/>
    <w:rsid w:val="483F473E"/>
    <w:rsid w:val="48485AFE"/>
    <w:rsid w:val="484A44F5"/>
    <w:rsid w:val="484E2996"/>
    <w:rsid w:val="48501AC9"/>
    <w:rsid w:val="48553CE4"/>
    <w:rsid w:val="48560583"/>
    <w:rsid w:val="48567AA4"/>
    <w:rsid w:val="485F5668"/>
    <w:rsid w:val="485F7560"/>
    <w:rsid w:val="4866603C"/>
    <w:rsid w:val="48692C65"/>
    <w:rsid w:val="486F48DE"/>
    <w:rsid w:val="4872417F"/>
    <w:rsid w:val="48725357"/>
    <w:rsid w:val="487268EF"/>
    <w:rsid w:val="487B71C3"/>
    <w:rsid w:val="487C18B2"/>
    <w:rsid w:val="487F1F94"/>
    <w:rsid w:val="487F2CFD"/>
    <w:rsid w:val="4884101D"/>
    <w:rsid w:val="48845D9A"/>
    <w:rsid w:val="48877F03"/>
    <w:rsid w:val="488913D3"/>
    <w:rsid w:val="488B0C92"/>
    <w:rsid w:val="488B3701"/>
    <w:rsid w:val="488C1466"/>
    <w:rsid w:val="48907208"/>
    <w:rsid w:val="489373B8"/>
    <w:rsid w:val="48940D8E"/>
    <w:rsid w:val="4894790F"/>
    <w:rsid w:val="4895544A"/>
    <w:rsid w:val="489B15B2"/>
    <w:rsid w:val="489B2888"/>
    <w:rsid w:val="48A2557F"/>
    <w:rsid w:val="48A67247"/>
    <w:rsid w:val="48A8796B"/>
    <w:rsid w:val="48A92956"/>
    <w:rsid w:val="48B240C2"/>
    <w:rsid w:val="48B2770D"/>
    <w:rsid w:val="48C3100C"/>
    <w:rsid w:val="48C319AE"/>
    <w:rsid w:val="48C93E40"/>
    <w:rsid w:val="48CD6D6A"/>
    <w:rsid w:val="48CF12CF"/>
    <w:rsid w:val="48D0293D"/>
    <w:rsid w:val="48D218C4"/>
    <w:rsid w:val="48D46AEE"/>
    <w:rsid w:val="48D5219E"/>
    <w:rsid w:val="48D90A19"/>
    <w:rsid w:val="48E434A5"/>
    <w:rsid w:val="48E711FD"/>
    <w:rsid w:val="48E806CB"/>
    <w:rsid w:val="48EB65F4"/>
    <w:rsid w:val="48EE12CA"/>
    <w:rsid w:val="48EF0CCB"/>
    <w:rsid w:val="48F11804"/>
    <w:rsid w:val="48FF5865"/>
    <w:rsid w:val="49045BBE"/>
    <w:rsid w:val="49051A4B"/>
    <w:rsid w:val="49066D7D"/>
    <w:rsid w:val="49076AD6"/>
    <w:rsid w:val="490C1FB4"/>
    <w:rsid w:val="49185C36"/>
    <w:rsid w:val="4919384E"/>
    <w:rsid w:val="491D3FA0"/>
    <w:rsid w:val="491D6B7F"/>
    <w:rsid w:val="491E27C8"/>
    <w:rsid w:val="49233AFA"/>
    <w:rsid w:val="4923574B"/>
    <w:rsid w:val="49257CD1"/>
    <w:rsid w:val="492877AD"/>
    <w:rsid w:val="4929485B"/>
    <w:rsid w:val="492A55C0"/>
    <w:rsid w:val="492A5AF3"/>
    <w:rsid w:val="492B040B"/>
    <w:rsid w:val="492E2A43"/>
    <w:rsid w:val="492E3EB4"/>
    <w:rsid w:val="4930183C"/>
    <w:rsid w:val="49315945"/>
    <w:rsid w:val="493466AB"/>
    <w:rsid w:val="493E7C5A"/>
    <w:rsid w:val="493F2753"/>
    <w:rsid w:val="49404176"/>
    <w:rsid w:val="4941670D"/>
    <w:rsid w:val="494A3DC6"/>
    <w:rsid w:val="494C671C"/>
    <w:rsid w:val="4951654C"/>
    <w:rsid w:val="495C5E9B"/>
    <w:rsid w:val="495E5814"/>
    <w:rsid w:val="49683752"/>
    <w:rsid w:val="49694C41"/>
    <w:rsid w:val="497216FD"/>
    <w:rsid w:val="49746A9C"/>
    <w:rsid w:val="497B60EF"/>
    <w:rsid w:val="497E0658"/>
    <w:rsid w:val="497E3CB8"/>
    <w:rsid w:val="497F211D"/>
    <w:rsid w:val="498108B0"/>
    <w:rsid w:val="49826A93"/>
    <w:rsid w:val="49877512"/>
    <w:rsid w:val="498C02B4"/>
    <w:rsid w:val="499109D1"/>
    <w:rsid w:val="49925013"/>
    <w:rsid w:val="49947B8D"/>
    <w:rsid w:val="49950282"/>
    <w:rsid w:val="499C5750"/>
    <w:rsid w:val="499E7335"/>
    <w:rsid w:val="49A06842"/>
    <w:rsid w:val="49A9664F"/>
    <w:rsid w:val="49AA65ED"/>
    <w:rsid w:val="49AB28F7"/>
    <w:rsid w:val="49AD416E"/>
    <w:rsid w:val="49B61E87"/>
    <w:rsid w:val="49BB0660"/>
    <w:rsid w:val="49BD1058"/>
    <w:rsid w:val="49C148FF"/>
    <w:rsid w:val="49C204AD"/>
    <w:rsid w:val="49C70F6F"/>
    <w:rsid w:val="49C8438D"/>
    <w:rsid w:val="49CB49C3"/>
    <w:rsid w:val="49CC38EF"/>
    <w:rsid w:val="49CD211C"/>
    <w:rsid w:val="49CF0852"/>
    <w:rsid w:val="49CF4110"/>
    <w:rsid w:val="49D21E59"/>
    <w:rsid w:val="49D27CFD"/>
    <w:rsid w:val="49D5359D"/>
    <w:rsid w:val="49D7499F"/>
    <w:rsid w:val="49DE3A77"/>
    <w:rsid w:val="49E42568"/>
    <w:rsid w:val="49E467F4"/>
    <w:rsid w:val="49E57AC1"/>
    <w:rsid w:val="49EA5E68"/>
    <w:rsid w:val="49F01809"/>
    <w:rsid w:val="49F03023"/>
    <w:rsid w:val="49F04D77"/>
    <w:rsid w:val="49F32123"/>
    <w:rsid w:val="49F47844"/>
    <w:rsid w:val="49F526D3"/>
    <w:rsid w:val="49F945C7"/>
    <w:rsid w:val="49FD3E1E"/>
    <w:rsid w:val="4A002675"/>
    <w:rsid w:val="4A022CC8"/>
    <w:rsid w:val="4A091FA3"/>
    <w:rsid w:val="4A0D4F84"/>
    <w:rsid w:val="4A0E104B"/>
    <w:rsid w:val="4A14216F"/>
    <w:rsid w:val="4A14532B"/>
    <w:rsid w:val="4A186A8E"/>
    <w:rsid w:val="4A1907A1"/>
    <w:rsid w:val="4A26049B"/>
    <w:rsid w:val="4A2C354D"/>
    <w:rsid w:val="4A2E5468"/>
    <w:rsid w:val="4A2F496D"/>
    <w:rsid w:val="4A307DE5"/>
    <w:rsid w:val="4A313638"/>
    <w:rsid w:val="4A382347"/>
    <w:rsid w:val="4A394122"/>
    <w:rsid w:val="4A3B7316"/>
    <w:rsid w:val="4A3C44CA"/>
    <w:rsid w:val="4A3F3ECF"/>
    <w:rsid w:val="4A41641B"/>
    <w:rsid w:val="4A4250EC"/>
    <w:rsid w:val="4A434EF6"/>
    <w:rsid w:val="4A435FAD"/>
    <w:rsid w:val="4A47627C"/>
    <w:rsid w:val="4A4B19FE"/>
    <w:rsid w:val="4A4E3D6A"/>
    <w:rsid w:val="4A513B14"/>
    <w:rsid w:val="4A514E35"/>
    <w:rsid w:val="4A520C2B"/>
    <w:rsid w:val="4A58318C"/>
    <w:rsid w:val="4A5C503E"/>
    <w:rsid w:val="4A5D53E5"/>
    <w:rsid w:val="4A601882"/>
    <w:rsid w:val="4A653203"/>
    <w:rsid w:val="4A6B3B56"/>
    <w:rsid w:val="4A6F431D"/>
    <w:rsid w:val="4A6F4366"/>
    <w:rsid w:val="4A7673FF"/>
    <w:rsid w:val="4A7739DD"/>
    <w:rsid w:val="4A7921C7"/>
    <w:rsid w:val="4A7B7BA5"/>
    <w:rsid w:val="4A7F4927"/>
    <w:rsid w:val="4A805C20"/>
    <w:rsid w:val="4A8062E4"/>
    <w:rsid w:val="4A830B80"/>
    <w:rsid w:val="4A857E15"/>
    <w:rsid w:val="4A8A694F"/>
    <w:rsid w:val="4A8E037B"/>
    <w:rsid w:val="4A8E30EB"/>
    <w:rsid w:val="4A8F200B"/>
    <w:rsid w:val="4A8F6203"/>
    <w:rsid w:val="4A903258"/>
    <w:rsid w:val="4A9572BA"/>
    <w:rsid w:val="4A9A029A"/>
    <w:rsid w:val="4AA37406"/>
    <w:rsid w:val="4AB5626A"/>
    <w:rsid w:val="4AB77CEB"/>
    <w:rsid w:val="4ABA6D5C"/>
    <w:rsid w:val="4ABA7FB7"/>
    <w:rsid w:val="4AC2780D"/>
    <w:rsid w:val="4ACF05AB"/>
    <w:rsid w:val="4ACF561D"/>
    <w:rsid w:val="4AD13E69"/>
    <w:rsid w:val="4AD410B6"/>
    <w:rsid w:val="4AD421C1"/>
    <w:rsid w:val="4AD53DD2"/>
    <w:rsid w:val="4ADD2BF3"/>
    <w:rsid w:val="4ADE04EA"/>
    <w:rsid w:val="4AE31FA2"/>
    <w:rsid w:val="4AE50902"/>
    <w:rsid w:val="4AE8451B"/>
    <w:rsid w:val="4AF30723"/>
    <w:rsid w:val="4AF522D0"/>
    <w:rsid w:val="4AF74D05"/>
    <w:rsid w:val="4AF77DAB"/>
    <w:rsid w:val="4B056CD9"/>
    <w:rsid w:val="4B0C0E69"/>
    <w:rsid w:val="4B0F4648"/>
    <w:rsid w:val="4B1345A8"/>
    <w:rsid w:val="4B1A36A5"/>
    <w:rsid w:val="4B2266DC"/>
    <w:rsid w:val="4B2D3208"/>
    <w:rsid w:val="4B303E2F"/>
    <w:rsid w:val="4B3A5B2D"/>
    <w:rsid w:val="4B3B3311"/>
    <w:rsid w:val="4B3D7F8C"/>
    <w:rsid w:val="4B444B56"/>
    <w:rsid w:val="4B45505F"/>
    <w:rsid w:val="4B482CDE"/>
    <w:rsid w:val="4B4939F9"/>
    <w:rsid w:val="4B4A625D"/>
    <w:rsid w:val="4B4A7165"/>
    <w:rsid w:val="4B511D3A"/>
    <w:rsid w:val="4B521014"/>
    <w:rsid w:val="4B547346"/>
    <w:rsid w:val="4B55247A"/>
    <w:rsid w:val="4B5F2E21"/>
    <w:rsid w:val="4B652842"/>
    <w:rsid w:val="4B6823BB"/>
    <w:rsid w:val="4B69487B"/>
    <w:rsid w:val="4B71601C"/>
    <w:rsid w:val="4B71643F"/>
    <w:rsid w:val="4B741883"/>
    <w:rsid w:val="4B796433"/>
    <w:rsid w:val="4B796FBE"/>
    <w:rsid w:val="4B797B2C"/>
    <w:rsid w:val="4B850115"/>
    <w:rsid w:val="4B85023B"/>
    <w:rsid w:val="4B8B6031"/>
    <w:rsid w:val="4B8F2876"/>
    <w:rsid w:val="4B964742"/>
    <w:rsid w:val="4B981554"/>
    <w:rsid w:val="4BA0316D"/>
    <w:rsid w:val="4BA12109"/>
    <w:rsid w:val="4BA21C8B"/>
    <w:rsid w:val="4BB004F0"/>
    <w:rsid w:val="4BB7390F"/>
    <w:rsid w:val="4BB75897"/>
    <w:rsid w:val="4BBC082F"/>
    <w:rsid w:val="4BC078DE"/>
    <w:rsid w:val="4BC17A30"/>
    <w:rsid w:val="4BC46763"/>
    <w:rsid w:val="4BC55780"/>
    <w:rsid w:val="4BCB49E7"/>
    <w:rsid w:val="4BD31E44"/>
    <w:rsid w:val="4BD64B53"/>
    <w:rsid w:val="4BD75A58"/>
    <w:rsid w:val="4BDF0422"/>
    <w:rsid w:val="4BE45784"/>
    <w:rsid w:val="4BE65925"/>
    <w:rsid w:val="4BE91700"/>
    <w:rsid w:val="4BEA612B"/>
    <w:rsid w:val="4BEB32E0"/>
    <w:rsid w:val="4BEC482F"/>
    <w:rsid w:val="4BED7790"/>
    <w:rsid w:val="4BF7367B"/>
    <w:rsid w:val="4BFF6A68"/>
    <w:rsid w:val="4C015414"/>
    <w:rsid w:val="4C026358"/>
    <w:rsid w:val="4C103ADF"/>
    <w:rsid w:val="4C12067F"/>
    <w:rsid w:val="4C123F59"/>
    <w:rsid w:val="4C201E1E"/>
    <w:rsid w:val="4C254D43"/>
    <w:rsid w:val="4C264875"/>
    <w:rsid w:val="4C266954"/>
    <w:rsid w:val="4C292C55"/>
    <w:rsid w:val="4C2B024A"/>
    <w:rsid w:val="4C2B7288"/>
    <w:rsid w:val="4C2D0260"/>
    <w:rsid w:val="4C2D115E"/>
    <w:rsid w:val="4C302114"/>
    <w:rsid w:val="4C325B24"/>
    <w:rsid w:val="4C3A253B"/>
    <w:rsid w:val="4C3A2624"/>
    <w:rsid w:val="4C3C29DF"/>
    <w:rsid w:val="4C3E35B2"/>
    <w:rsid w:val="4C3F0DE5"/>
    <w:rsid w:val="4C41322C"/>
    <w:rsid w:val="4C424946"/>
    <w:rsid w:val="4C452E98"/>
    <w:rsid w:val="4C4A1368"/>
    <w:rsid w:val="4C4B7AF1"/>
    <w:rsid w:val="4C4C1692"/>
    <w:rsid w:val="4C5277D0"/>
    <w:rsid w:val="4C530E35"/>
    <w:rsid w:val="4C58396F"/>
    <w:rsid w:val="4C59240F"/>
    <w:rsid w:val="4C610B2B"/>
    <w:rsid w:val="4C611406"/>
    <w:rsid w:val="4C626B97"/>
    <w:rsid w:val="4C6A6D9B"/>
    <w:rsid w:val="4C6C317C"/>
    <w:rsid w:val="4C6C6B0E"/>
    <w:rsid w:val="4C6D19A0"/>
    <w:rsid w:val="4C702248"/>
    <w:rsid w:val="4C7063B2"/>
    <w:rsid w:val="4C7478ED"/>
    <w:rsid w:val="4C764183"/>
    <w:rsid w:val="4C7A36EC"/>
    <w:rsid w:val="4C7C413D"/>
    <w:rsid w:val="4C7E3740"/>
    <w:rsid w:val="4C8346C6"/>
    <w:rsid w:val="4C8A729A"/>
    <w:rsid w:val="4C8C3038"/>
    <w:rsid w:val="4C8D7EC4"/>
    <w:rsid w:val="4C911ED5"/>
    <w:rsid w:val="4C921983"/>
    <w:rsid w:val="4C97753C"/>
    <w:rsid w:val="4C982227"/>
    <w:rsid w:val="4C9C7690"/>
    <w:rsid w:val="4C9E018D"/>
    <w:rsid w:val="4C9E177D"/>
    <w:rsid w:val="4CA74128"/>
    <w:rsid w:val="4CA76738"/>
    <w:rsid w:val="4CAA6CC6"/>
    <w:rsid w:val="4CB05495"/>
    <w:rsid w:val="4CB135E8"/>
    <w:rsid w:val="4CB41043"/>
    <w:rsid w:val="4CBA4304"/>
    <w:rsid w:val="4CBB6B57"/>
    <w:rsid w:val="4CBC229C"/>
    <w:rsid w:val="4CC02674"/>
    <w:rsid w:val="4CC212F0"/>
    <w:rsid w:val="4CC25CFC"/>
    <w:rsid w:val="4CD42E1A"/>
    <w:rsid w:val="4CD51FCA"/>
    <w:rsid w:val="4CD5368B"/>
    <w:rsid w:val="4CD731A6"/>
    <w:rsid w:val="4CDB047D"/>
    <w:rsid w:val="4CE03517"/>
    <w:rsid w:val="4CE06F81"/>
    <w:rsid w:val="4CEA144E"/>
    <w:rsid w:val="4CEC5EE3"/>
    <w:rsid w:val="4CED1F2C"/>
    <w:rsid w:val="4CF04013"/>
    <w:rsid w:val="4CF1307A"/>
    <w:rsid w:val="4CF70A91"/>
    <w:rsid w:val="4CF87202"/>
    <w:rsid w:val="4CFA5421"/>
    <w:rsid w:val="4CFC21C9"/>
    <w:rsid w:val="4D01420A"/>
    <w:rsid w:val="4D0145D6"/>
    <w:rsid w:val="4D017723"/>
    <w:rsid w:val="4D022926"/>
    <w:rsid w:val="4D030E39"/>
    <w:rsid w:val="4D061F27"/>
    <w:rsid w:val="4D094709"/>
    <w:rsid w:val="4D0A379F"/>
    <w:rsid w:val="4D0A4C5C"/>
    <w:rsid w:val="4D0D0161"/>
    <w:rsid w:val="4D0F7D56"/>
    <w:rsid w:val="4D102029"/>
    <w:rsid w:val="4D2517E4"/>
    <w:rsid w:val="4D267506"/>
    <w:rsid w:val="4D2749A3"/>
    <w:rsid w:val="4D2907C2"/>
    <w:rsid w:val="4D294314"/>
    <w:rsid w:val="4D2A0E7C"/>
    <w:rsid w:val="4D2D2873"/>
    <w:rsid w:val="4D2E4FB5"/>
    <w:rsid w:val="4D376618"/>
    <w:rsid w:val="4D382E45"/>
    <w:rsid w:val="4D3C41F7"/>
    <w:rsid w:val="4D3E1410"/>
    <w:rsid w:val="4D400162"/>
    <w:rsid w:val="4D4119ED"/>
    <w:rsid w:val="4D4405AE"/>
    <w:rsid w:val="4D452727"/>
    <w:rsid w:val="4D4667B5"/>
    <w:rsid w:val="4D483A1B"/>
    <w:rsid w:val="4D485DA4"/>
    <w:rsid w:val="4D4C0DC7"/>
    <w:rsid w:val="4D4C6D38"/>
    <w:rsid w:val="4D4F1197"/>
    <w:rsid w:val="4D571CC4"/>
    <w:rsid w:val="4D5722A7"/>
    <w:rsid w:val="4D58009E"/>
    <w:rsid w:val="4D5D0651"/>
    <w:rsid w:val="4D5E0DF0"/>
    <w:rsid w:val="4D5E7C49"/>
    <w:rsid w:val="4D5F1496"/>
    <w:rsid w:val="4D613724"/>
    <w:rsid w:val="4D627B39"/>
    <w:rsid w:val="4D63474E"/>
    <w:rsid w:val="4D6C7C04"/>
    <w:rsid w:val="4D7067BC"/>
    <w:rsid w:val="4D735800"/>
    <w:rsid w:val="4D7526EF"/>
    <w:rsid w:val="4D786020"/>
    <w:rsid w:val="4D7A606E"/>
    <w:rsid w:val="4D7D3919"/>
    <w:rsid w:val="4D811D44"/>
    <w:rsid w:val="4D87639B"/>
    <w:rsid w:val="4D8A6EEB"/>
    <w:rsid w:val="4D8A759D"/>
    <w:rsid w:val="4D8B01FB"/>
    <w:rsid w:val="4D8B5447"/>
    <w:rsid w:val="4D9F1B81"/>
    <w:rsid w:val="4DA43238"/>
    <w:rsid w:val="4DA95685"/>
    <w:rsid w:val="4DAA2F7E"/>
    <w:rsid w:val="4DB345DC"/>
    <w:rsid w:val="4DB71729"/>
    <w:rsid w:val="4DBB01C7"/>
    <w:rsid w:val="4DBB28A8"/>
    <w:rsid w:val="4DBD56AC"/>
    <w:rsid w:val="4DC0461C"/>
    <w:rsid w:val="4DC06D12"/>
    <w:rsid w:val="4DC613FF"/>
    <w:rsid w:val="4DC96C28"/>
    <w:rsid w:val="4DCC7CEC"/>
    <w:rsid w:val="4DCD588F"/>
    <w:rsid w:val="4DCF69A9"/>
    <w:rsid w:val="4DD340D5"/>
    <w:rsid w:val="4DD56E93"/>
    <w:rsid w:val="4DD83A68"/>
    <w:rsid w:val="4DDC0A2D"/>
    <w:rsid w:val="4DDC49D7"/>
    <w:rsid w:val="4DDD49EA"/>
    <w:rsid w:val="4DE21EB4"/>
    <w:rsid w:val="4DE47159"/>
    <w:rsid w:val="4DE676FA"/>
    <w:rsid w:val="4DEF478E"/>
    <w:rsid w:val="4DFA5C0E"/>
    <w:rsid w:val="4E001252"/>
    <w:rsid w:val="4E00195B"/>
    <w:rsid w:val="4E006EF7"/>
    <w:rsid w:val="4E031870"/>
    <w:rsid w:val="4E066B8E"/>
    <w:rsid w:val="4E080124"/>
    <w:rsid w:val="4E0C70AD"/>
    <w:rsid w:val="4E0D3C3E"/>
    <w:rsid w:val="4E0E2115"/>
    <w:rsid w:val="4E1321F5"/>
    <w:rsid w:val="4E15069D"/>
    <w:rsid w:val="4E185FE0"/>
    <w:rsid w:val="4E1D2FE1"/>
    <w:rsid w:val="4E1F3F58"/>
    <w:rsid w:val="4E2321C0"/>
    <w:rsid w:val="4E245408"/>
    <w:rsid w:val="4E27475F"/>
    <w:rsid w:val="4E280517"/>
    <w:rsid w:val="4E2B3B7C"/>
    <w:rsid w:val="4E2C7DC0"/>
    <w:rsid w:val="4E2E6B88"/>
    <w:rsid w:val="4E307C40"/>
    <w:rsid w:val="4E31602E"/>
    <w:rsid w:val="4E333AC7"/>
    <w:rsid w:val="4E33503A"/>
    <w:rsid w:val="4E3506E2"/>
    <w:rsid w:val="4E3C087F"/>
    <w:rsid w:val="4E3D3E90"/>
    <w:rsid w:val="4E3E08A1"/>
    <w:rsid w:val="4E42335E"/>
    <w:rsid w:val="4E4925BB"/>
    <w:rsid w:val="4E4A28A4"/>
    <w:rsid w:val="4E4C31BD"/>
    <w:rsid w:val="4E4E08BC"/>
    <w:rsid w:val="4E57038F"/>
    <w:rsid w:val="4E585947"/>
    <w:rsid w:val="4E5B19F9"/>
    <w:rsid w:val="4E5C02AD"/>
    <w:rsid w:val="4E5F2B9B"/>
    <w:rsid w:val="4E610495"/>
    <w:rsid w:val="4E642C73"/>
    <w:rsid w:val="4E663B45"/>
    <w:rsid w:val="4E6713F7"/>
    <w:rsid w:val="4E675CD0"/>
    <w:rsid w:val="4E6A2BFC"/>
    <w:rsid w:val="4E6C1326"/>
    <w:rsid w:val="4E6E56A0"/>
    <w:rsid w:val="4E707E65"/>
    <w:rsid w:val="4E710597"/>
    <w:rsid w:val="4E7651A9"/>
    <w:rsid w:val="4E7859B0"/>
    <w:rsid w:val="4E820418"/>
    <w:rsid w:val="4E8278F1"/>
    <w:rsid w:val="4E833577"/>
    <w:rsid w:val="4E8451F5"/>
    <w:rsid w:val="4E854CA3"/>
    <w:rsid w:val="4E86703F"/>
    <w:rsid w:val="4E88288B"/>
    <w:rsid w:val="4E897583"/>
    <w:rsid w:val="4E8D3A4E"/>
    <w:rsid w:val="4E9466EA"/>
    <w:rsid w:val="4E946765"/>
    <w:rsid w:val="4E963F54"/>
    <w:rsid w:val="4E9A06F0"/>
    <w:rsid w:val="4E9B0634"/>
    <w:rsid w:val="4E9D6663"/>
    <w:rsid w:val="4E9D7229"/>
    <w:rsid w:val="4E9F053A"/>
    <w:rsid w:val="4E9F1320"/>
    <w:rsid w:val="4E9F66C4"/>
    <w:rsid w:val="4EA723FE"/>
    <w:rsid w:val="4EB316AB"/>
    <w:rsid w:val="4EB56CCD"/>
    <w:rsid w:val="4EB82541"/>
    <w:rsid w:val="4EB876FB"/>
    <w:rsid w:val="4EBB65D7"/>
    <w:rsid w:val="4EBC5F30"/>
    <w:rsid w:val="4EBD3EAD"/>
    <w:rsid w:val="4EC055A4"/>
    <w:rsid w:val="4EC276C9"/>
    <w:rsid w:val="4EC97948"/>
    <w:rsid w:val="4ECE6F84"/>
    <w:rsid w:val="4ED155B0"/>
    <w:rsid w:val="4ED528C6"/>
    <w:rsid w:val="4ED91808"/>
    <w:rsid w:val="4EDB2C2E"/>
    <w:rsid w:val="4EDC3854"/>
    <w:rsid w:val="4EDC7531"/>
    <w:rsid w:val="4EDF7B8A"/>
    <w:rsid w:val="4EE00A4A"/>
    <w:rsid w:val="4EE13ADB"/>
    <w:rsid w:val="4EE44295"/>
    <w:rsid w:val="4EE45CE7"/>
    <w:rsid w:val="4EE603DE"/>
    <w:rsid w:val="4EF10211"/>
    <w:rsid w:val="4EF509AD"/>
    <w:rsid w:val="4EF54A10"/>
    <w:rsid w:val="4EF85D1A"/>
    <w:rsid w:val="4EFB5CD7"/>
    <w:rsid w:val="4EFB6F90"/>
    <w:rsid w:val="4EFC46CD"/>
    <w:rsid w:val="4EFD336E"/>
    <w:rsid w:val="4EFE1846"/>
    <w:rsid w:val="4EFF4D56"/>
    <w:rsid w:val="4F015264"/>
    <w:rsid w:val="4F0759B2"/>
    <w:rsid w:val="4F07659A"/>
    <w:rsid w:val="4F08259F"/>
    <w:rsid w:val="4F0D1667"/>
    <w:rsid w:val="4F0D2D51"/>
    <w:rsid w:val="4F144E9E"/>
    <w:rsid w:val="4F176D50"/>
    <w:rsid w:val="4F1B493E"/>
    <w:rsid w:val="4F1B5FC3"/>
    <w:rsid w:val="4F2070D4"/>
    <w:rsid w:val="4F282791"/>
    <w:rsid w:val="4F282F56"/>
    <w:rsid w:val="4F2C0043"/>
    <w:rsid w:val="4F2E123D"/>
    <w:rsid w:val="4F314530"/>
    <w:rsid w:val="4F3406F0"/>
    <w:rsid w:val="4F346FAE"/>
    <w:rsid w:val="4F3516E8"/>
    <w:rsid w:val="4F35689F"/>
    <w:rsid w:val="4F361467"/>
    <w:rsid w:val="4F373357"/>
    <w:rsid w:val="4F3D1F45"/>
    <w:rsid w:val="4F4179E6"/>
    <w:rsid w:val="4F435AA2"/>
    <w:rsid w:val="4F486B93"/>
    <w:rsid w:val="4F497A71"/>
    <w:rsid w:val="4F503F28"/>
    <w:rsid w:val="4F507518"/>
    <w:rsid w:val="4F595E78"/>
    <w:rsid w:val="4F604AF8"/>
    <w:rsid w:val="4F624465"/>
    <w:rsid w:val="4F635508"/>
    <w:rsid w:val="4F636EB5"/>
    <w:rsid w:val="4F664B1A"/>
    <w:rsid w:val="4F6E0562"/>
    <w:rsid w:val="4F6F0F56"/>
    <w:rsid w:val="4F7003FF"/>
    <w:rsid w:val="4F7008CC"/>
    <w:rsid w:val="4F753D7F"/>
    <w:rsid w:val="4F78735A"/>
    <w:rsid w:val="4F7A245D"/>
    <w:rsid w:val="4F7D7F66"/>
    <w:rsid w:val="4F8167B0"/>
    <w:rsid w:val="4F82554A"/>
    <w:rsid w:val="4F826484"/>
    <w:rsid w:val="4F8B5C85"/>
    <w:rsid w:val="4F8C7CC8"/>
    <w:rsid w:val="4F8D331E"/>
    <w:rsid w:val="4F916C5F"/>
    <w:rsid w:val="4F9221B1"/>
    <w:rsid w:val="4F953167"/>
    <w:rsid w:val="4F9C24DF"/>
    <w:rsid w:val="4FA2169F"/>
    <w:rsid w:val="4FA26B29"/>
    <w:rsid w:val="4FA72148"/>
    <w:rsid w:val="4FAD2344"/>
    <w:rsid w:val="4FAD285D"/>
    <w:rsid w:val="4FB01D16"/>
    <w:rsid w:val="4FBC076C"/>
    <w:rsid w:val="4FC13CB7"/>
    <w:rsid w:val="4FC13F2A"/>
    <w:rsid w:val="4FC83F3A"/>
    <w:rsid w:val="4FC8455B"/>
    <w:rsid w:val="4FCA109D"/>
    <w:rsid w:val="4FCA363A"/>
    <w:rsid w:val="4FCC34D7"/>
    <w:rsid w:val="4FCD4F84"/>
    <w:rsid w:val="4FD2633C"/>
    <w:rsid w:val="4FD52CED"/>
    <w:rsid w:val="4FDB2061"/>
    <w:rsid w:val="4FDF3FB1"/>
    <w:rsid w:val="4FE708AC"/>
    <w:rsid w:val="4FE847CE"/>
    <w:rsid w:val="4FE93A17"/>
    <w:rsid w:val="4FEB79E4"/>
    <w:rsid w:val="4FEC5930"/>
    <w:rsid w:val="4FED56FC"/>
    <w:rsid w:val="4FED73B6"/>
    <w:rsid w:val="4FF32365"/>
    <w:rsid w:val="4FF33404"/>
    <w:rsid w:val="4FF83675"/>
    <w:rsid w:val="4FFA7913"/>
    <w:rsid w:val="4FFB7AEC"/>
    <w:rsid w:val="5003566F"/>
    <w:rsid w:val="5006176D"/>
    <w:rsid w:val="50067411"/>
    <w:rsid w:val="50127B30"/>
    <w:rsid w:val="501735BB"/>
    <w:rsid w:val="501E27A8"/>
    <w:rsid w:val="50210713"/>
    <w:rsid w:val="50213204"/>
    <w:rsid w:val="50217B17"/>
    <w:rsid w:val="50227A01"/>
    <w:rsid w:val="502762B8"/>
    <w:rsid w:val="50277741"/>
    <w:rsid w:val="50290DBB"/>
    <w:rsid w:val="502A3A0D"/>
    <w:rsid w:val="503100C3"/>
    <w:rsid w:val="50350DB3"/>
    <w:rsid w:val="50350DF8"/>
    <w:rsid w:val="503B36E1"/>
    <w:rsid w:val="505D6ECF"/>
    <w:rsid w:val="5065062E"/>
    <w:rsid w:val="50676A9E"/>
    <w:rsid w:val="506819C2"/>
    <w:rsid w:val="5068258F"/>
    <w:rsid w:val="50692F03"/>
    <w:rsid w:val="50697A93"/>
    <w:rsid w:val="506C5BC1"/>
    <w:rsid w:val="506F317D"/>
    <w:rsid w:val="507B5B96"/>
    <w:rsid w:val="507C2F70"/>
    <w:rsid w:val="507E3723"/>
    <w:rsid w:val="507E5347"/>
    <w:rsid w:val="50812CB7"/>
    <w:rsid w:val="50854655"/>
    <w:rsid w:val="508C7ED6"/>
    <w:rsid w:val="5094501A"/>
    <w:rsid w:val="50A0677C"/>
    <w:rsid w:val="50A075A4"/>
    <w:rsid w:val="50A656DE"/>
    <w:rsid w:val="50AA79EE"/>
    <w:rsid w:val="50B00534"/>
    <w:rsid w:val="50B34A8A"/>
    <w:rsid w:val="50B92FC3"/>
    <w:rsid w:val="50B96EFA"/>
    <w:rsid w:val="50BA7364"/>
    <w:rsid w:val="50BD17DB"/>
    <w:rsid w:val="50BF5B5D"/>
    <w:rsid w:val="50C35A44"/>
    <w:rsid w:val="50CA29B7"/>
    <w:rsid w:val="50CE3A7F"/>
    <w:rsid w:val="50CF42F8"/>
    <w:rsid w:val="50D36F8B"/>
    <w:rsid w:val="50D834B6"/>
    <w:rsid w:val="50E047FF"/>
    <w:rsid w:val="50E825C0"/>
    <w:rsid w:val="50F07784"/>
    <w:rsid w:val="50F12BC8"/>
    <w:rsid w:val="50F2372D"/>
    <w:rsid w:val="50F5784A"/>
    <w:rsid w:val="50F62EB1"/>
    <w:rsid w:val="50F67CEF"/>
    <w:rsid w:val="50F72215"/>
    <w:rsid w:val="50F7768F"/>
    <w:rsid w:val="51022AE9"/>
    <w:rsid w:val="5103611D"/>
    <w:rsid w:val="510557ED"/>
    <w:rsid w:val="51062978"/>
    <w:rsid w:val="51064701"/>
    <w:rsid w:val="510C2E16"/>
    <w:rsid w:val="510D2DE5"/>
    <w:rsid w:val="510D5775"/>
    <w:rsid w:val="510D795A"/>
    <w:rsid w:val="51166527"/>
    <w:rsid w:val="511765E1"/>
    <w:rsid w:val="51271674"/>
    <w:rsid w:val="51297626"/>
    <w:rsid w:val="512A19D2"/>
    <w:rsid w:val="512B7BB4"/>
    <w:rsid w:val="51303107"/>
    <w:rsid w:val="51312D01"/>
    <w:rsid w:val="51331CA2"/>
    <w:rsid w:val="51340D08"/>
    <w:rsid w:val="5141062C"/>
    <w:rsid w:val="51443809"/>
    <w:rsid w:val="514600AA"/>
    <w:rsid w:val="51496956"/>
    <w:rsid w:val="51503C92"/>
    <w:rsid w:val="51561B40"/>
    <w:rsid w:val="51587ED9"/>
    <w:rsid w:val="515A3276"/>
    <w:rsid w:val="5161073C"/>
    <w:rsid w:val="51616EE6"/>
    <w:rsid w:val="516843CD"/>
    <w:rsid w:val="516878B5"/>
    <w:rsid w:val="516D184D"/>
    <w:rsid w:val="516D3B1A"/>
    <w:rsid w:val="51725C32"/>
    <w:rsid w:val="5175240E"/>
    <w:rsid w:val="51756F5F"/>
    <w:rsid w:val="51784037"/>
    <w:rsid w:val="51794E55"/>
    <w:rsid w:val="51796A6D"/>
    <w:rsid w:val="517D7442"/>
    <w:rsid w:val="518B0B91"/>
    <w:rsid w:val="518D5466"/>
    <w:rsid w:val="518F6331"/>
    <w:rsid w:val="51A35F6C"/>
    <w:rsid w:val="51A52F6B"/>
    <w:rsid w:val="51AB7996"/>
    <w:rsid w:val="51AC5DD6"/>
    <w:rsid w:val="51AE691E"/>
    <w:rsid w:val="51B07CDB"/>
    <w:rsid w:val="51B7171D"/>
    <w:rsid w:val="51B82352"/>
    <w:rsid w:val="51B9366B"/>
    <w:rsid w:val="51BB646B"/>
    <w:rsid w:val="51C20E2A"/>
    <w:rsid w:val="51C71684"/>
    <w:rsid w:val="51CA4E9C"/>
    <w:rsid w:val="51CB316E"/>
    <w:rsid w:val="51CC474F"/>
    <w:rsid w:val="51CF78DE"/>
    <w:rsid w:val="51D34DE8"/>
    <w:rsid w:val="51D46AC1"/>
    <w:rsid w:val="51D77E60"/>
    <w:rsid w:val="51D956C3"/>
    <w:rsid w:val="51DE04FF"/>
    <w:rsid w:val="51E16366"/>
    <w:rsid w:val="51E51CFC"/>
    <w:rsid w:val="51E9784E"/>
    <w:rsid w:val="51EA765B"/>
    <w:rsid w:val="51EB5292"/>
    <w:rsid w:val="51EF16EF"/>
    <w:rsid w:val="51F9594C"/>
    <w:rsid w:val="51FA7E26"/>
    <w:rsid w:val="51FB5276"/>
    <w:rsid w:val="51FE7BCF"/>
    <w:rsid w:val="52033DB0"/>
    <w:rsid w:val="520427AD"/>
    <w:rsid w:val="520A25B7"/>
    <w:rsid w:val="520E5425"/>
    <w:rsid w:val="521155E9"/>
    <w:rsid w:val="52120C7C"/>
    <w:rsid w:val="52125E1E"/>
    <w:rsid w:val="521C577F"/>
    <w:rsid w:val="521D62BF"/>
    <w:rsid w:val="521E7AD5"/>
    <w:rsid w:val="522307ED"/>
    <w:rsid w:val="52257B50"/>
    <w:rsid w:val="522614DF"/>
    <w:rsid w:val="522B41F1"/>
    <w:rsid w:val="522B4892"/>
    <w:rsid w:val="523D3273"/>
    <w:rsid w:val="523D7E33"/>
    <w:rsid w:val="523F7412"/>
    <w:rsid w:val="52454EB1"/>
    <w:rsid w:val="5254291A"/>
    <w:rsid w:val="52554E2E"/>
    <w:rsid w:val="525873DC"/>
    <w:rsid w:val="52594BB6"/>
    <w:rsid w:val="525F4BA7"/>
    <w:rsid w:val="52660010"/>
    <w:rsid w:val="52690B0C"/>
    <w:rsid w:val="526B0932"/>
    <w:rsid w:val="526C5118"/>
    <w:rsid w:val="526C6F40"/>
    <w:rsid w:val="526F66A2"/>
    <w:rsid w:val="52702F83"/>
    <w:rsid w:val="527077D9"/>
    <w:rsid w:val="52713DFB"/>
    <w:rsid w:val="52762D3F"/>
    <w:rsid w:val="527638A5"/>
    <w:rsid w:val="52787064"/>
    <w:rsid w:val="527B2FC7"/>
    <w:rsid w:val="527B73D0"/>
    <w:rsid w:val="527D32AF"/>
    <w:rsid w:val="52894769"/>
    <w:rsid w:val="528D02F4"/>
    <w:rsid w:val="528E01A9"/>
    <w:rsid w:val="52933C3D"/>
    <w:rsid w:val="52964BF5"/>
    <w:rsid w:val="52986E19"/>
    <w:rsid w:val="529A21FA"/>
    <w:rsid w:val="529E7EEC"/>
    <w:rsid w:val="52B13A14"/>
    <w:rsid w:val="52B46773"/>
    <w:rsid w:val="52BA19FB"/>
    <w:rsid w:val="52BA5A0E"/>
    <w:rsid w:val="52BB4699"/>
    <w:rsid w:val="52BC4BC5"/>
    <w:rsid w:val="52BF44B4"/>
    <w:rsid w:val="52C21B75"/>
    <w:rsid w:val="52C42A61"/>
    <w:rsid w:val="52C62E3D"/>
    <w:rsid w:val="52C670E3"/>
    <w:rsid w:val="52C80A18"/>
    <w:rsid w:val="52CE2DD6"/>
    <w:rsid w:val="52D6215B"/>
    <w:rsid w:val="52D76003"/>
    <w:rsid w:val="52D834BD"/>
    <w:rsid w:val="52D9003D"/>
    <w:rsid w:val="52DD492B"/>
    <w:rsid w:val="52DD720B"/>
    <w:rsid w:val="52DF7E7A"/>
    <w:rsid w:val="52E32180"/>
    <w:rsid w:val="52E43D5A"/>
    <w:rsid w:val="52E577CA"/>
    <w:rsid w:val="52E6261A"/>
    <w:rsid w:val="52E92B40"/>
    <w:rsid w:val="52EA48A2"/>
    <w:rsid w:val="52F33891"/>
    <w:rsid w:val="52FA2633"/>
    <w:rsid w:val="52FA29D3"/>
    <w:rsid w:val="52FE11FF"/>
    <w:rsid w:val="53020F71"/>
    <w:rsid w:val="530318E3"/>
    <w:rsid w:val="530442AD"/>
    <w:rsid w:val="530C0F94"/>
    <w:rsid w:val="530E0745"/>
    <w:rsid w:val="530F5CEC"/>
    <w:rsid w:val="53130467"/>
    <w:rsid w:val="53132250"/>
    <w:rsid w:val="53163145"/>
    <w:rsid w:val="5317667C"/>
    <w:rsid w:val="5318073C"/>
    <w:rsid w:val="531923BB"/>
    <w:rsid w:val="531C0E28"/>
    <w:rsid w:val="531F55A2"/>
    <w:rsid w:val="532574A1"/>
    <w:rsid w:val="532A3B95"/>
    <w:rsid w:val="532F3E9F"/>
    <w:rsid w:val="533456D1"/>
    <w:rsid w:val="53375C6B"/>
    <w:rsid w:val="533E274B"/>
    <w:rsid w:val="533E575B"/>
    <w:rsid w:val="53403823"/>
    <w:rsid w:val="53405F5D"/>
    <w:rsid w:val="5343384A"/>
    <w:rsid w:val="534576B5"/>
    <w:rsid w:val="534E2C8E"/>
    <w:rsid w:val="53524F25"/>
    <w:rsid w:val="535C242E"/>
    <w:rsid w:val="536013E6"/>
    <w:rsid w:val="53603764"/>
    <w:rsid w:val="5363423D"/>
    <w:rsid w:val="536573F4"/>
    <w:rsid w:val="536B56BE"/>
    <w:rsid w:val="53732478"/>
    <w:rsid w:val="53791DF4"/>
    <w:rsid w:val="537C1510"/>
    <w:rsid w:val="537D62DE"/>
    <w:rsid w:val="537F1B54"/>
    <w:rsid w:val="53817D1F"/>
    <w:rsid w:val="53821786"/>
    <w:rsid w:val="53877326"/>
    <w:rsid w:val="538A0864"/>
    <w:rsid w:val="538B32FA"/>
    <w:rsid w:val="538C0AB8"/>
    <w:rsid w:val="5391164C"/>
    <w:rsid w:val="5395142A"/>
    <w:rsid w:val="539B0A7D"/>
    <w:rsid w:val="53A4447A"/>
    <w:rsid w:val="53A46B40"/>
    <w:rsid w:val="53A5360D"/>
    <w:rsid w:val="53A76C0D"/>
    <w:rsid w:val="53AD6D29"/>
    <w:rsid w:val="53B108C0"/>
    <w:rsid w:val="53B27DE7"/>
    <w:rsid w:val="53BB5CAF"/>
    <w:rsid w:val="53BC1B70"/>
    <w:rsid w:val="53BF4F86"/>
    <w:rsid w:val="53BF53BA"/>
    <w:rsid w:val="53C07592"/>
    <w:rsid w:val="53C1696D"/>
    <w:rsid w:val="53C23209"/>
    <w:rsid w:val="53C24F55"/>
    <w:rsid w:val="53C43DAF"/>
    <w:rsid w:val="53C72103"/>
    <w:rsid w:val="53CB06AA"/>
    <w:rsid w:val="53CE47C7"/>
    <w:rsid w:val="53D13C58"/>
    <w:rsid w:val="53D45791"/>
    <w:rsid w:val="53D569C3"/>
    <w:rsid w:val="53DC682E"/>
    <w:rsid w:val="53E072F3"/>
    <w:rsid w:val="53E6113B"/>
    <w:rsid w:val="53E6463A"/>
    <w:rsid w:val="53E84C06"/>
    <w:rsid w:val="53EB73D9"/>
    <w:rsid w:val="53EE2CAE"/>
    <w:rsid w:val="53F97992"/>
    <w:rsid w:val="53FB255A"/>
    <w:rsid w:val="53FB32D8"/>
    <w:rsid w:val="540658E0"/>
    <w:rsid w:val="540B7B98"/>
    <w:rsid w:val="540C3627"/>
    <w:rsid w:val="540F0862"/>
    <w:rsid w:val="5411232F"/>
    <w:rsid w:val="5417016D"/>
    <w:rsid w:val="541E11F7"/>
    <w:rsid w:val="541E33BC"/>
    <w:rsid w:val="541F4709"/>
    <w:rsid w:val="542356D9"/>
    <w:rsid w:val="54265E49"/>
    <w:rsid w:val="542E7FD7"/>
    <w:rsid w:val="54322047"/>
    <w:rsid w:val="54356425"/>
    <w:rsid w:val="54393E9D"/>
    <w:rsid w:val="543B2EE6"/>
    <w:rsid w:val="543D00E2"/>
    <w:rsid w:val="54425607"/>
    <w:rsid w:val="54426719"/>
    <w:rsid w:val="54470840"/>
    <w:rsid w:val="54490142"/>
    <w:rsid w:val="544A5D5E"/>
    <w:rsid w:val="544C5542"/>
    <w:rsid w:val="544D49AB"/>
    <w:rsid w:val="544E0381"/>
    <w:rsid w:val="5450148C"/>
    <w:rsid w:val="54576D27"/>
    <w:rsid w:val="54586DDA"/>
    <w:rsid w:val="545A4F07"/>
    <w:rsid w:val="545C1897"/>
    <w:rsid w:val="545C3864"/>
    <w:rsid w:val="54650514"/>
    <w:rsid w:val="54672805"/>
    <w:rsid w:val="54683171"/>
    <w:rsid w:val="546F040A"/>
    <w:rsid w:val="54703D72"/>
    <w:rsid w:val="547757AE"/>
    <w:rsid w:val="547B09D9"/>
    <w:rsid w:val="54843AA1"/>
    <w:rsid w:val="54845360"/>
    <w:rsid w:val="548517A9"/>
    <w:rsid w:val="548C03B4"/>
    <w:rsid w:val="548C3072"/>
    <w:rsid w:val="548C3728"/>
    <w:rsid w:val="548C6E57"/>
    <w:rsid w:val="548D028F"/>
    <w:rsid w:val="54915233"/>
    <w:rsid w:val="54934398"/>
    <w:rsid w:val="54957DB8"/>
    <w:rsid w:val="54964442"/>
    <w:rsid w:val="54970C3A"/>
    <w:rsid w:val="549A7029"/>
    <w:rsid w:val="54A05142"/>
    <w:rsid w:val="54A62511"/>
    <w:rsid w:val="54A97428"/>
    <w:rsid w:val="54AB1AB0"/>
    <w:rsid w:val="54B33F37"/>
    <w:rsid w:val="54B5572B"/>
    <w:rsid w:val="54B56209"/>
    <w:rsid w:val="54B704F7"/>
    <w:rsid w:val="54BB78E6"/>
    <w:rsid w:val="54BC4C68"/>
    <w:rsid w:val="54CB2BC9"/>
    <w:rsid w:val="54CE1C1B"/>
    <w:rsid w:val="54D67EDA"/>
    <w:rsid w:val="54D90D79"/>
    <w:rsid w:val="54D955DE"/>
    <w:rsid w:val="54DA151D"/>
    <w:rsid w:val="54DB5F7C"/>
    <w:rsid w:val="54DC0A7E"/>
    <w:rsid w:val="54DF4EF3"/>
    <w:rsid w:val="54DF5994"/>
    <w:rsid w:val="54DF77CB"/>
    <w:rsid w:val="54E123C4"/>
    <w:rsid w:val="54E27C87"/>
    <w:rsid w:val="54E424F3"/>
    <w:rsid w:val="54E62215"/>
    <w:rsid w:val="54EC4BBD"/>
    <w:rsid w:val="54ED1478"/>
    <w:rsid w:val="54ED7262"/>
    <w:rsid w:val="54F10E22"/>
    <w:rsid w:val="54F71708"/>
    <w:rsid w:val="54F91482"/>
    <w:rsid w:val="54F91BF8"/>
    <w:rsid w:val="54FB444C"/>
    <w:rsid w:val="54FB61F0"/>
    <w:rsid w:val="54FF249E"/>
    <w:rsid w:val="55045D4E"/>
    <w:rsid w:val="5508476D"/>
    <w:rsid w:val="55084C20"/>
    <w:rsid w:val="55086675"/>
    <w:rsid w:val="550A0B53"/>
    <w:rsid w:val="550C6FE4"/>
    <w:rsid w:val="550E5410"/>
    <w:rsid w:val="551249D7"/>
    <w:rsid w:val="551474A1"/>
    <w:rsid w:val="551527EB"/>
    <w:rsid w:val="551B663A"/>
    <w:rsid w:val="551D4224"/>
    <w:rsid w:val="551F728B"/>
    <w:rsid w:val="55201F66"/>
    <w:rsid w:val="552732C1"/>
    <w:rsid w:val="5529632B"/>
    <w:rsid w:val="552E7B9D"/>
    <w:rsid w:val="552F3078"/>
    <w:rsid w:val="553153E6"/>
    <w:rsid w:val="55354917"/>
    <w:rsid w:val="55375209"/>
    <w:rsid w:val="55402F7C"/>
    <w:rsid w:val="55422158"/>
    <w:rsid w:val="554233BE"/>
    <w:rsid w:val="55482F83"/>
    <w:rsid w:val="5548420B"/>
    <w:rsid w:val="554C31A0"/>
    <w:rsid w:val="55501ACD"/>
    <w:rsid w:val="555077F7"/>
    <w:rsid w:val="55547A2E"/>
    <w:rsid w:val="555718F3"/>
    <w:rsid w:val="55587A7D"/>
    <w:rsid w:val="555E7BD4"/>
    <w:rsid w:val="555F3D94"/>
    <w:rsid w:val="556040F2"/>
    <w:rsid w:val="5563654D"/>
    <w:rsid w:val="55641D3B"/>
    <w:rsid w:val="556C4625"/>
    <w:rsid w:val="556D2F58"/>
    <w:rsid w:val="556D46FA"/>
    <w:rsid w:val="556E3BD2"/>
    <w:rsid w:val="55712FE0"/>
    <w:rsid w:val="557167AF"/>
    <w:rsid w:val="557268E4"/>
    <w:rsid w:val="55776BDE"/>
    <w:rsid w:val="55782EB4"/>
    <w:rsid w:val="55841674"/>
    <w:rsid w:val="558676EF"/>
    <w:rsid w:val="55891C5E"/>
    <w:rsid w:val="558F1A72"/>
    <w:rsid w:val="55902800"/>
    <w:rsid w:val="5591537A"/>
    <w:rsid w:val="559A09A0"/>
    <w:rsid w:val="55A17383"/>
    <w:rsid w:val="55A35201"/>
    <w:rsid w:val="55A57702"/>
    <w:rsid w:val="55A64BAD"/>
    <w:rsid w:val="55AD2C83"/>
    <w:rsid w:val="55AF02AC"/>
    <w:rsid w:val="55B03069"/>
    <w:rsid w:val="55B40E4B"/>
    <w:rsid w:val="55B91ABA"/>
    <w:rsid w:val="55BA025D"/>
    <w:rsid w:val="55BF3B1C"/>
    <w:rsid w:val="55C07DC4"/>
    <w:rsid w:val="55C43673"/>
    <w:rsid w:val="55C7013B"/>
    <w:rsid w:val="55C71E81"/>
    <w:rsid w:val="55C8289B"/>
    <w:rsid w:val="55D20031"/>
    <w:rsid w:val="55D310CD"/>
    <w:rsid w:val="55D936B3"/>
    <w:rsid w:val="55DC57A8"/>
    <w:rsid w:val="55DC7E12"/>
    <w:rsid w:val="55DE3A05"/>
    <w:rsid w:val="55E33F94"/>
    <w:rsid w:val="55E50666"/>
    <w:rsid w:val="55E60587"/>
    <w:rsid w:val="55E61AB5"/>
    <w:rsid w:val="55EB2E14"/>
    <w:rsid w:val="55F25DD6"/>
    <w:rsid w:val="55F474DE"/>
    <w:rsid w:val="55FE1B71"/>
    <w:rsid w:val="56001D1A"/>
    <w:rsid w:val="56014622"/>
    <w:rsid w:val="5602494E"/>
    <w:rsid w:val="56032186"/>
    <w:rsid w:val="56033370"/>
    <w:rsid w:val="56072071"/>
    <w:rsid w:val="560B1F8D"/>
    <w:rsid w:val="560D126A"/>
    <w:rsid w:val="56183B6F"/>
    <w:rsid w:val="56226A99"/>
    <w:rsid w:val="562456AA"/>
    <w:rsid w:val="5627527E"/>
    <w:rsid w:val="562A263A"/>
    <w:rsid w:val="56365194"/>
    <w:rsid w:val="563C7D9A"/>
    <w:rsid w:val="563F6200"/>
    <w:rsid w:val="5645527B"/>
    <w:rsid w:val="56470E16"/>
    <w:rsid w:val="56481C0B"/>
    <w:rsid w:val="564B317B"/>
    <w:rsid w:val="564B79B4"/>
    <w:rsid w:val="5659711A"/>
    <w:rsid w:val="565A6ADA"/>
    <w:rsid w:val="565F5213"/>
    <w:rsid w:val="56630123"/>
    <w:rsid w:val="56676F22"/>
    <w:rsid w:val="566A67EE"/>
    <w:rsid w:val="566C35F4"/>
    <w:rsid w:val="566F2717"/>
    <w:rsid w:val="566F6357"/>
    <w:rsid w:val="56706ECB"/>
    <w:rsid w:val="56734DC8"/>
    <w:rsid w:val="56777FB3"/>
    <w:rsid w:val="5678361C"/>
    <w:rsid w:val="56783EF2"/>
    <w:rsid w:val="56786AE0"/>
    <w:rsid w:val="567956D2"/>
    <w:rsid w:val="567A764A"/>
    <w:rsid w:val="567E433B"/>
    <w:rsid w:val="56862084"/>
    <w:rsid w:val="56862D69"/>
    <w:rsid w:val="568C0D5A"/>
    <w:rsid w:val="568D225A"/>
    <w:rsid w:val="568D5307"/>
    <w:rsid w:val="568D62CD"/>
    <w:rsid w:val="568F52C4"/>
    <w:rsid w:val="5690512C"/>
    <w:rsid w:val="569270BF"/>
    <w:rsid w:val="56972A33"/>
    <w:rsid w:val="569C6143"/>
    <w:rsid w:val="56A11A23"/>
    <w:rsid w:val="56A509E5"/>
    <w:rsid w:val="56A56797"/>
    <w:rsid w:val="56AA1D3D"/>
    <w:rsid w:val="56AA225D"/>
    <w:rsid w:val="56B07B16"/>
    <w:rsid w:val="56B27752"/>
    <w:rsid w:val="56B31E75"/>
    <w:rsid w:val="56BA54C2"/>
    <w:rsid w:val="56BA6325"/>
    <w:rsid w:val="56BD3BF8"/>
    <w:rsid w:val="56C2084F"/>
    <w:rsid w:val="56C21348"/>
    <w:rsid w:val="56C2420F"/>
    <w:rsid w:val="56C93BBC"/>
    <w:rsid w:val="56C97FF1"/>
    <w:rsid w:val="56CA11C5"/>
    <w:rsid w:val="56CD2149"/>
    <w:rsid w:val="56CD78F2"/>
    <w:rsid w:val="56D43C29"/>
    <w:rsid w:val="56D61EED"/>
    <w:rsid w:val="56D87FD3"/>
    <w:rsid w:val="56DB7AD5"/>
    <w:rsid w:val="56E248A8"/>
    <w:rsid w:val="56E61EE0"/>
    <w:rsid w:val="56E73113"/>
    <w:rsid w:val="56EC30BF"/>
    <w:rsid w:val="56EF0842"/>
    <w:rsid w:val="56F22F4A"/>
    <w:rsid w:val="56F748D5"/>
    <w:rsid w:val="56FD6DFE"/>
    <w:rsid w:val="56FE528A"/>
    <w:rsid w:val="57060C10"/>
    <w:rsid w:val="570E7955"/>
    <w:rsid w:val="570F6771"/>
    <w:rsid w:val="57180639"/>
    <w:rsid w:val="571859F1"/>
    <w:rsid w:val="57195F1F"/>
    <w:rsid w:val="571A28C9"/>
    <w:rsid w:val="571C37E4"/>
    <w:rsid w:val="57210C5F"/>
    <w:rsid w:val="5722188A"/>
    <w:rsid w:val="57246C18"/>
    <w:rsid w:val="57265F30"/>
    <w:rsid w:val="572A71C7"/>
    <w:rsid w:val="5733241C"/>
    <w:rsid w:val="573526FC"/>
    <w:rsid w:val="57352F9C"/>
    <w:rsid w:val="5735682E"/>
    <w:rsid w:val="573A6A80"/>
    <w:rsid w:val="574366F1"/>
    <w:rsid w:val="5749287F"/>
    <w:rsid w:val="57494F77"/>
    <w:rsid w:val="57495083"/>
    <w:rsid w:val="574C4B3C"/>
    <w:rsid w:val="574F53E8"/>
    <w:rsid w:val="575547E1"/>
    <w:rsid w:val="575548F4"/>
    <w:rsid w:val="57570F6B"/>
    <w:rsid w:val="57581729"/>
    <w:rsid w:val="57586BAA"/>
    <w:rsid w:val="57592F78"/>
    <w:rsid w:val="57595ECD"/>
    <w:rsid w:val="575E7272"/>
    <w:rsid w:val="575F3C95"/>
    <w:rsid w:val="57681536"/>
    <w:rsid w:val="576E748F"/>
    <w:rsid w:val="577257CE"/>
    <w:rsid w:val="57733BA9"/>
    <w:rsid w:val="57740F31"/>
    <w:rsid w:val="577412F1"/>
    <w:rsid w:val="577562ED"/>
    <w:rsid w:val="577C0879"/>
    <w:rsid w:val="577D043D"/>
    <w:rsid w:val="57805508"/>
    <w:rsid w:val="578C7D46"/>
    <w:rsid w:val="578D61B2"/>
    <w:rsid w:val="57913EC5"/>
    <w:rsid w:val="579D0227"/>
    <w:rsid w:val="579D352E"/>
    <w:rsid w:val="57A41FF4"/>
    <w:rsid w:val="57AA1950"/>
    <w:rsid w:val="57AF1564"/>
    <w:rsid w:val="57B91A60"/>
    <w:rsid w:val="57BB4FB7"/>
    <w:rsid w:val="57BE52B2"/>
    <w:rsid w:val="57C0256F"/>
    <w:rsid w:val="57C23E45"/>
    <w:rsid w:val="57C3648B"/>
    <w:rsid w:val="57C47FEB"/>
    <w:rsid w:val="57C77935"/>
    <w:rsid w:val="57C935C0"/>
    <w:rsid w:val="57CE5AD4"/>
    <w:rsid w:val="57D105D6"/>
    <w:rsid w:val="57D56844"/>
    <w:rsid w:val="57D63E93"/>
    <w:rsid w:val="57D71506"/>
    <w:rsid w:val="57D768E1"/>
    <w:rsid w:val="57DA76E0"/>
    <w:rsid w:val="57DB5201"/>
    <w:rsid w:val="57DD36AE"/>
    <w:rsid w:val="57E045B9"/>
    <w:rsid w:val="57E656D7"/>
    <w:rsid w:val="57EB30AB"/>
    <w:rsid w:val="57EE1218"/>
    <w:rsid w:val="57F24729"/>
    <w:rsid w:val="57F36C94"/>
    <w:rsid w:val="57F60E02"/>
    <w:rsid w:val="57F67F05"/>
    <w:rsid w:val="57F82213"/>
    <w:rsid w:val="57F95ACD"/>
    <w:rsid w:val="57FA3A67"/>
    <w:rsid w:val="57FB1B46"/>
    <w:rsid w:val="57FB24D4"/>
    <w:rsid w:val="57FB308C"/>
    <w:rsid w:val="58000549"/>
    <w:rsid w:val="58002406"/>
    <w:rsid w:val="58004814"/>
    <w:rsid w:val="58016355"/>
    <w:rsid w:val="580253F5"/>
    <w:rsid w:val="580346FC"/>
    <w:rsid w:val="58153B1A"/>
    <w:rsid w:val="58154FE3"/>
    <w:rsid w:val="58183855"/>
    <w:rsid w:val="58194AAF"/>
    <w:rsid w:val="582020D8"/>
    <w:rsid w:val="582668F2"/>
    <w:rsid w:val="582C7B29"/>
    <w:rsid w:val="58340B8A"/>
    <w:rsid w:val="58465925"/>
    <w:rsid w:val="584C03C6"/>
    <w:rsid w:val="584C1CE1"/>
    <w:rsid w:val="584D58DC"/>
    <w:rsid w:val="5851342C"/>
    <w:rsid w:val="585428DF"/>
    <w:rsid w:val="58596AC9"/>
    <w:rsid w:val="585B22E7"/>
    <w:rsid w:val="585F6E8D"/>
    <w:rsid w:val="58601665"/>
    <w:rsid w:val="587A2613"/>
    <w:rsid w:val="587E6256"/>
    <w:rsid w:val="588471E2"/>
    <w:rsid w:val="58886B4C"/>
    <w:rsid w:val="588F2CC1"/>
    <w:rsid w:val="589207B0"/>
    <w:rsid w:val="58933016"/>
    <w:rsid w:val="589633A9"/>
    <w:rsid w:val="58965D97"/>
    <w:rsid w:val="589C4ABA"/>
    <w:rsid w:val="589D47B7"/>
    <w:rsid w:val="58A046CF"/>
    <w:rsid w:val="58A07AC6"/>
    <w:rsid w:val="58A17AF9"/>
    <w:rsid w:val="58A33375"/>
    <w:rsid w:val="58A34146"/>
    <w:rsid w:val="58AF3C5A"/>
    <w:rsid w:val="58B17358"/>
    <w:rsid w:val="58BA18B5"/>
    <w:rsid w:val="58BC3684"/>
    <w:rsid w:val="58BC6E2D"/>
    <w:rsid w:val="58BF2CD3"/>
    <w:rsid w:val="58C2172F"/>
    <w:rsid w:val="58C2558D"/>
    <w:rsid w:val="58C75233"/>
    <w:rsid w:val="58D13D09"/>
    <w:rsid w:val="58D46E74"/>
    <w:rsid w:val="58DC107E"/>
    <w:rsid w:val="58DD2178"/>
    <w:rsid w:val="58DE349D"/>
    <w:rsid w:val="58DF5DF1"/>
    <w:rsid w:val="58DF7EB4"/>
    <w:rsid w:val="58E243C0"/>
    <w:rsid w:val="58E51531"/>
    <w:rsid w:val="58EA65EF"/>
    <w:rsid w:val="58EB6B78"/>
    <w:rsid w:val="58ED24FB"/>
    <w:rsid w:val="58FA7264"/>
    <w:rsid w:val="58FE5ECF"/>
    <w:rsid w:val="590247D2"/>
    <w:rsid w:val="590A0642"/>
    <w:rsid w:val="590B2613"/>
    <w:rsid w:val="590D4F93"/>
    <w:rsid w:val="591271B6"/>
    <w:rsid w:val="591B1DD1"/>
    <w:rsid w:val="59243301"/>
    <w:rsid w:val="59260575"/>
    <w:rsid w:val="592872A9"/>
    <w:rsid w:val="592B4797"/>
    <w:rsid w:val="592D1775"/>
    <w:rsid w:val="592D3A13"/>
    <w:rsid w:val="592E1BEB"/>
    <w:rsid w:val="59327BD9"/>
    <w:rsid w:val="593309C6"/>
    <w:rsid w:val="59370EBB"/>
    <w:rsid w:val="593A16FB"/>
    <w:rsid w:val="59405352"/>
    <w:rsid w:val="59416253"/>
    <w:rsid w:val="59437C24"/>
    <w:rsid w:val="59445590"/>
    <w:rsid w:val="594B50A8"/>
    <w:rsid w:val="59521A8A"/>
    <w:rsid w:val="59534AAA"/>
    <w:rsid w:val="595414C1"/>
    <w:rsid w:val="59592189"/>
    <w:rsid w:val="59596B87"/>
    <w:rsid w:val="595E0790"/>
    <w:rsid w:val="596255F2"/>
    <w:rsid w:val="596261BD"/>
    <w:rsid w:val="596322AE"/>
    <w:rsid w:val="596A4F4B"/>
    <w:rsid w:val="5976302B"/>
    <w:rsid w:val="59771B83"/>
    <w:rsid w:val="59792816"/>
    <w:rsid w:val="597B4EDD"/>
    <w:rsid w:val="597C1A90"/>
    <w:rsid w:val="59827D01"/>
    <w:rsid w:val="598435CF"/>
    <w:rsid w:val="598461A5"/>
    <w:rsid w:val="598640FB"/>
    <w:rsid w:val="59875FE2"/>
    <w:rsid w:val="5988099B"/>
    <w:rsid w:val="59883989"/>
    <w:rsid w:val="598D0E6B"/>
    <w:rsid w:val="598D541F"/>
    <w:rsid w:val="598D6266"/>
    <w:rsid w:val="59930076"/>
    <w:rsid w:val="59951AAF"/>
    <w:rsid w:val="599634BA"/>
    <w:rsid w:val="599742F0"/>
    <w:rsid w:val="59982B88"/>
    <w:rsid w:val="599B1A17"/>
    <w:rsid w:val="59A1268F"/>
    <w:rsid w:val="59A27A86"/>
    <w:rsid w:val="59A32551"/>
    <w:rsid w:val="59A50855"/>
    <w:rsid w:val="59A7099B"/>
    <w:rsid w:val="59A96F56"/>
    <w:rsid w:val="59AA0AEC"/>
    <w:rsid w:val="59AC5118"/>
    <w:rsid w:val="59AE53FA"/>
    <w:rsid w:val="59B14623"/>
    <w:rsid w:val="59B40C89"/>
    <w:rsid w:val="59B430D5"/>
    <w:rsid w:val="59B55025"/>
    <w:rsid w:val="59B60458"/>
    <w:rsid w:val="59BB194C"/>
    <w:rsid w:val="59BC2E38"/>
    <w:rsid w:val="59BD6B33"/>
    <w:rsid w:val="59BF422D"/>
    <w:rsid w:val="59BF467C"/>
    <w:rsid w:val="59BF5C1F"/>
    <w:rsid w:val="59C120AD"/>
    <w:rsid w:val="59CC2A3F"/>
    <w:rsid w:val="59CE5862"/>
    <w:rsid w:val="59CF0AD7"/>
    <w:rsid w:val="59CF4B7C"/>
    <w:rsid w:val="59D55492"/>
    <w:rsid w:val="59D97178"/>
    <w:rsid w:val="59DA1AB9"/>
    <w:rsid w:val="59DA7D88"/>
    <w:rsid w:val="59DB3FDA"/>
    <w:rsid w:val="59DC1A82"/>
    <w:rsid w:val="59DC67A5"/>
    <w:rsid w:val="59DF49F8"/>
    <w:rsid w:val="59E012A5"/>
    <w:rsid w:val="59E36AA9"/>
    <w:rsid w:val="59E378F6"/>
    <w:rsid w:val="59E66B45"/>
    <w:rsid w:val="59EB2EF8"/>
    <w:rsid w:val="59EF3711"/>
    <w:rsid w:val="59F1617F"/>
    <w:rsid w:val="59F51932"/>
    <w:rsid w:val="59F57969"/>
    <w:rsid w:val="59F649F8"/>
    <w:rsid w:val="59F72BFF"/>
    <w:rsid w:val="5A050A74"/>
    <w:rsid w:val="5A050DFD"/>
    <w:rsid w:val="5A0830A9"/>
    <w:rsid w:val="5A0A4FD2"/>
    <w:rsid w:val="5A0C7559"/>
    <w:rsid w:val="5A0D257E"/>
    <w:rsid w:val="5A0F0B8B"/>
    <w:rsid w:val="5A1339A7"/>
    <w:rsid w:val="5A14344D"/>
    <w:rsid w:val="5A1B381E"/>
    <w:rsid w:val="5A1B58AB"/>
    <w:rsid w:val="5A1B7646"/>
    <w:rsid w:val="5A233597"/>
    <w:rsid w:val="5A291E89"/>
    <w:rsid w:val="5A2C4607"/>
    <w:rsid w:val="5A2C46A8"/>
    <w:rsid w:val="5A2D49D5"/>
    <w:rsid w:val="5A31226C"/>
    <w:rsid w:val="5A35766B"/>
    <w:rsid w:val="5A3B3418"/>
    <w:rsid w:val="5A3C4915"/>
    <w:rsid w:val="5A3D2907"/>
    <w:rsid w:val="5A3F1A8C"/>
    <w:rsid w:val="5A423F21"/>
    <w:rsid w:val="5A4D032D"/>
    <w:rsid w:val="5A4E27A6"/>
    <w:rsid w:val="5A4F0253"/>
    <w:rsid w:val="5A594C22"/>
    <w:rsid w:val="5A5F0FA8"/>
    <w:rsid w:val="5A5F1929"/>
    <w:rsid w:val="5A5F72F9"/>
    <w:rsid w:val="5A680532"/>
    <w:rsid w:val="5A6C3FE0"/>
    <w:rsid w:val="5A6C59DD"/>
    <w:rsid w:val="5A763F55"/>
    <w:rsid w:val="5A7D42FE"/>
    <w:rsid w:val="5A7E2C93"/>
    <w:rsid w:val="5A8070C4"/>
    <w:rsid w:val="5A823DF4"/>
    <w:rsid w:val="5A85073F"/>
    <w:rsid w:val="5A8863BE"/>
    <w:rsid w:val="5A8C1A3A"/>
    <w:rsid w:val="5A8E0083"/>
    <w:rsid w:val="5A8E6128"/>
    <w:rsid w:val="5A8F0303"/>
    <w:rsid w:val="5A953D99"/>
    <w:rsid w:val="5A961596"/>
    <w:rsid w:val="5A967047"/>
    <w:rsid w:val="5A9C07DD"/>
    <w:rsid w:val="5A9E1C2D"/>
    <w:rsid w:val="5AA37886"/>
    <w:rsid w:val="5AAD3BE3"/>
    <w:rsid w:val="5AAD63C0"/>
    <w:rsid w:val="5AB371AD"/>
    <w:rsid w:val="5AB5576A"/>
    <w:rsid w:val="5AB8232F"/>
    <w:rsid w:val="5ABF0C68"/>
    <w:rsid w:val="5AC06409"/>
    <w:rsid w:val="5AC06A20"/>
    <w:rsid w:val="5AC10C83"/>
    <w:rsid w:val="5AC1195A"/>
    <w:rsid w:val="5AC13416"/>
    <w:rsid w:val="5AC4200B"/>
    <w:rsid w:val="5AC45EE9"/>
    <w:rsid w:val="5AC86CD7"/>
    <w:rsid w:val="5AC97319"/>
    <w:rsid w:val="5ACC57D0"/>
    <w:rsid w:val="5AD27795"/>
    <w:rsid w:val="5AD34F0A"/>
    <w:rsid w:val="5AD93B00"/>
    <w:rsid w:val="5ADA65EF"/>
    <w:rsid w:val="5ADA71E6"/>
    <w:rsid w:val="5ADF4FBD"/>
    <w:rsid w:val="5AE053B5"/>
    <w:rsid w:val="5AE24A14"/>
    <w:rsid w:val="5AE24FEF"/>
    <w:rsid w:val="5AEA430E"/>
    <w:rsid w:val="5AED1886"/>
    <w:rsid w:val="5AED4CF3"/>
    <w:rsid w:val="5AEF35DC"/>
    <w:rsid w:val="5AF14E6E"/>
    <w:rsid w:val="5AF44C48"/>
    <w:rsid w:val="5AF8164A"/>
    <w:rsid w:val="5AFE101C"/>
    <w:rsid w:val="5AFF728A"/>
    <w:rsid w:val="5B034DF6"/>
    <w:rsid w:val="5B072470"/>
    <w:rsid w:val="5B0A41A5"/>
    <w:rsid w:val="5B0B2E9A"/>
    <w:rsid w:val="5B0E0543"/>
    <w:rsid w:val="5B0F454B"/>
    <w:rsid w:val="5B106123"/>
    <w:rsid w:val="5B146CE4"/>
    <w:rsid w:val="5B15448E"/>
    <w:rsid w:val="5B1A6379"/>
    <w:rsid w:val="5B1C04A9"/>
    <w:rsid w:val="5B232050"/>
    <w:rsid w:val="5B2624EA"/>
    <w:rsid w:val="5B2716CD"/>
    <w:rsid w:val="5B357B0C"/>
    <w:rsid w:val="5B3728FC"/>
    <w:rsid w:val="5B392D62"/>
    <w:rsid w:val="5B3972EF"/>
    <w:rsid w:val="5B3A5EB0"/>
    <w:rsid w:val="5B3A6AC3"/>
    <w:rsid w:val="5B3D2259"/>
    <w:rsid w:val="5B42035E"/>
    <w:rsid w:val="5B4519D8"/>
    <w:rsid w:val="5B493C6C"/>
    <w:rsid w:val="5B4E00A7"/>
    <w:rsid w:val="5B544CF4"/>
    <w:rsid w:val="5B546970"/>
    <w:rsid w:val="5B57325A"/>
    <w:rsid w:val="5B5C29BC"/>
    <w:rsid w:val="5B5C6D3B"/>
    <w:rsid w:val="5B5D66C5"/>
    <w:rsid w:val="5B65688E"/>
    <w:rsid w:val="5B6A1C1D"/>
    <w:rsid w:val="5B6B5141"/>
    <w:rsid w:val="5B6F329F"/>
    <w:rsid w:val="5B7163CB"/>
    <w:rsid w:val="5B780BC3"/>
    <w:rsid w:val="5B7A0981"/>
    <w:rsid w:val="5B7A2A88"/>
    <w:rsid w:val="5B7B08C8"/>
    <w:rsid w:val="5B7B7801"/>
    <w:rsid w:val="5B7D3F43"/>
    <w:rsid w:val="5B7D674F"/>
    <w:rsid w:val="5B7E057E"/>
    <w:rsid w:val="5B862600"/>
    <w:rsid w:val="5B862D3F"/>
    <w:rsid w:val="5B8A72A3"/>
    <w:rsid w:val="5B8F7DB3"/>
    <w:rsid w:val="5B906454"/>
    <w:rsid w:val="5B921F7A"/>
    <w:rsid w:val="5B955EB5"/>
    <w:rsid w:val="5B9730FA"/>
    <w:rsid w:val="5B976ED2"/>
    <w:rsid w:val="5B9F1EBB"/>
    <w:rsid w:val="5BA129AD"/>
    <w:rsid w:val="5BA31A20"/>
    <w:rsid w:val="5BA33A82"/>
    <w:rsid w:val="5BA4354B"/>
    <w:rsid w:val="5BA47762"/>
    <w:rsid w:val="5BB866A9"/>
    <w:rsid w:val="5BBA754A"/>
    <w:rsid w:val="5BBD14ED"/>
    <w:rsid w:val="5BC02440"/>
    <w:rsid w:val="5BC24E17"/>
    <w:rsid w:val="5BC34EC9"/>
    <w:rsid w:val="5BC410D8"/>
    <w:rsid w:val="5BC4621A"/>
    <w:rsid w:val="5BC84816"/>
    <w:rsid w:val="5BCD4A55"/>
    <w:rsid w:val="5BCF40B3"/>
    <w:rsid w:val="5BCF4237"/>
    <w:rsid w:val="5BD13DA9"/>
    <w:rsid w:val="5BD77471"/>
    <w:rsid w:val="5BDA7F24"/>
    <w:rsid w:val="5BDE4CE6"/>
    <w:rsid w:val="5BE54CEE"/>
    <w:rsid w:val="5BE91D75"/>
    <w:rsid w:val="5BF2211F"/>
    <w:rsid w:val="5BF234B4"/>
    <w:rsid w:val="5BF556C8"/>
    <w:rsid w:val="5BF86DF8"/>
    <w:rsid w:val="5BFA22B0"/>
    <w:rsid w:val="5BFD5CD7"/>
    <w:rsid w:val="5BFF4953"/>
    <w:rsid w:val="5C006AAA"/>
    <w:rsid w:val="5C014AEF"/>
    <w:rsid w:val="5C074FCE"/>
    <w:rsid w:val="5C0803D7"/>
    <w:rsid w:val="5C0B235C"/>
    <w:rsid w:val="5C1003FE"/>
    <w:rsid w:val="5C104ECE"/>
    <w:rsid w:val="5C114ED1"/>
    <w:rsid w:val="5C1849CE"/>
    <w:rsid w:val="5C193FE7"/>
    <w:rsid w:val="5C214408"/>
    <w:rsid w:val="5C217732"/>
    <w:rsid w:val="5C222E3C"/>
    <w:rsid w:val="5C240070"/>
    <w:rsid w:val="5C2D5208"/>
    <w:rsid w:val="5C2F7D8A"/>
    <w:rsid w:val="5C3766AB"/>
    <w:rsid w:val="5C3900F1"/>
    <w:rsid w:val="5C39595A"/>
    <w:rsid w:val="5C3A4A98"/>
    <w:rsid w:val="5C3A671C"/>
    <w:rsid w:val="5C3D49D3"/>
    <w:rsid w:val="5C400EBB"/>
    <w:rsid w:val="5C44757D"/>
    <w:rsid w:val="5C454E70"/>
    <w:rsid w:val="5C4C1702"/>
    <w:rsid w:val="5C4E2FDE"/>
    <w:rsid w:val="5C4F014C"/>
    <w:rsid w:val="5C4F366A"/>
    <w:rsid w:val="5C4F659A"/>
    <w:rsid w:val="5C5F3355"/>
    <w:rsid w:val="5C620153"/>
    <w:rsid w:val="5C622D9C"/>
    <w:rsid w:val="5C633606"/>
    <w:rsid w:val="5C655EB7"/>
    <w:rsid w:val="5C674B17"/>
    <w:rsid w:val="5C676350"/>
    <w:rsid w:val="5C6B7EB7"/>
    <w:rsid w:val="5C7578A9"/>
    <w:rsid w:val="5C787D9F"/>
    <w:rsid w:val="5C7B73BE"/>
    <w:rsid w:val="5C7E7D60"/>
    <w:rsid w:val="5C825AC8"/>
    <w:rsid w:val="5C846DF2"/>
    <w:rsid w:val="5C891F53"/>
    <w:rsid w:val="5C8C1E3C"/>
    <w:rsid w:val="5C8C31AD"/>
    <w:rsid w:val="5C900968"/>
    <w:rsid w:val="5C934795"/>
    <w:rsid w:val="5C937F43"/>
    <w:rsid w:val="5C956A1B"/>
    <w:rsid w:val="5C9843B1"/>
    <w:rsid w:val="5C9A4C96"/>
    <w:rsid w:val="5C9A7A20"/>
    <w:rsid w:val="5C9C4D24"/>
    <w:rsid w:val="5C9D4BBB"/>
    <w:rsid w:val="5CA0308A"/>
    <w:rsid w:val="5CA03A2B"/>
    <w:rsid w:val="5CA417FA"/>
    <w:rsid w:val="5CA53518"/>
    <w:rsid w:val="5CA55E9E"/>
    <w:rsid w:val="5CA577F3"/>
    <w:rsid w:val="5CAD6AA2"/>
    <w:rsid w:val="5CAE04D6"/>
    <w:rsid w:val="5CB10CAC"/>
    <w:rsid w:val="5CB139E4"/>
    <w:rsid w:val="5CB15D14"/>
    <w:rsid w:val="5CB4651D"/>
    <w:rsid w:val="5CB5638F"/>
    <w:rsid w:val="5CB841CB"/>
    <w:rsid w:val="5CB878CE"/>
    <w:rsid w:val="5CBA455C"/>
    <w:rsid w:val="5CBD3B3A"/>
    <w:rsid w:val="5CBD4F35"/>
    <w:rsid w:val="5CBE5B3F"/>
    <w:rsid w:val="5CC4099C"/>
    <w:rsid w:val="5CC92C3F"/>
    <w:rsid w:val="5CCC7538"/>
    <w:rsid w:val="5CD12A4E"/>
    <w:rsid w:val="5CD27F16"/>
    <w:rsid w:val="5CD30283"/>
    <w:rsid w:val="5CD4015B"/>
    <w:rsid w:val="5CDA4C0E"/>
    <w:rsid w:val="5CDC3176"/>
    <w:rsid w:val="5CE16B5D"/>
    <w:rsid w:val="5CE239B7"/>
    <w:rsid w:val="5CEA741D"/>
    <w:rsid w:val="5CEC58AA"/>
    <w:rsid w:val="5CF03682"/>
    <w:rsid w:val="5CF14285"/>
    <w:rsid w:val="5CF22748"/>
    <w:rsid w:val="5CF32CF0"/>
    <w:rsid w:val="5CF44970"/>
    <w:rsid w:val="5CF84176"/>
    <w:rsid w:val="5CF92A25"/>
    <w:rsid w:val="5CFA1EDA"/>
    <w:rsid w:val="5CFC104D"/>
    <w:rsid w:val="5CFC1E2A"/>
    <w:rsid w:val="5CFD70FC"/>
    <w:rsid w:val="5D030F02"/>
    <w:rsid w:val="5D042BEF"/>
    <w:rsid w:val="5D0B10C5"/>
    <w:rsid w:val="5D0F7C45"/>
    <w:rsid w:val="5D123325"/>
    <w:rsid w:val="5D151F06"/>
    <w:rsid w:val="5D192886"/>
    <w:rsid w:val="5D1B6E23"/>
    <w:rsid w:val="5D1B7DFE"/>
    <w:rsid w:val="5D213A79"/>
    <w:rsid w:val="5D23551E"/>
    <w:rsid w:val="5D301045"/>
    <w:rsid w:val="5D383963"/>
    <w:rsid w:val="5D383DED"/>
    <w:rsid w:val="5D3E7D21"/>
    <w:rsid w:val="5D413E64"/>
    <w:rsid w:val="5D44596E"/>
    <w:rsid w:val="5D461616"/>
    <w:rsid w:val="5D483182"/>
    <w:rsid w:val="5D4C0944"/>
    <w:rsid w:val="5D4E0EDF"/>
    <w:rsid w:val="5D541371"/>
    <w:rsid w:val="5D542517"/>
    <w:rsid w:val="5D546310"/>
    <w:rsid w:val="5D56106F"/>
    <w:rsid w:val="5D601FF9"/>
    <w:rsid w:val="5D6324B2"/>
    <w:rsid w:val="5D651FE3"/>
    <w:rsid w:val="5D69259E"/>
    <w:rsid w:val="5D6F371D"/>
    <w:rsid w:val="5D811941"/>
    <w:rsid w:val="5D841AE0"/>
    <w:rsid w:val="5D846E95"/>
    <w:rsid w:val="5D882D48"/>
    <w:rsid w:val="5D8E7EE7"/>
    <w:rsid w:val="5D973F38"/>
    <w:rsid w:val="5D9E34E8"/>
    <w:rsid w:val="5D9F212C"/>
    <w:rsid w:val="5DA34046"/>
    <w:rsid w:val="5DA60181"/>
    <w:rsid w:val="5DA8582C"/>
    <w:rsid w:val="5DAD66DA"/>
    <w:rsid w:val="5DB218C2"/>
    <w:rsid w:val="5DB301B9"/>
    <w:rsid w:val="5DB63BEE"/>
    <w:rsid w:val="5DB8152D"/>
    <w:rsid w:val="5DB90088"/>
    <w:rsid w:val="5DBD55CD"/>
    <w:rsid w:val="5DBF205C"/>
    <w:rsid w:val="5DBF774F"/>
    <w:rsid w:val="5DC00B6A"/>
    <w:rsid w:val="5DC3548C"/>
    <w:rsid w:val="5DC671D1"/>
    <w:rsid w:val="5DC91E4D"/>
    <w:rsid w:val="5DC931C1"/>
    <w:rsid w:val="5DCA6759"/>
    <w:rsid w:val="5DCB5E84"/>
    <w:rsid w:val="5DD05B1B"/>
    <w:rsid w:val="5DD13D1C"/>
    <w:rsid w:val="5DD47072"/>
    <w:rsid w:val="5DD71A84"/>
    <w:rsid w:val="5DD7294D"/>
    <w:rsid w:val="5DD75890"/>
    <w:rsid w:val="5DDC270A"/>
    <w:rsid w:val="5DE667D0"/>
    <w:rsid w:val="5DE671C2"/>
    <w:rsid w:val="5DE94A09"/>
    <w:rsid w:val="5DEA3893"/>
    <w:rsid w:val="5DF31BEA"/>
    <w:rsid w:val="5DF465BF"/>
    <w:rsid w:val="5DF96042"/>
    <w:rsid w:val="5DFB5DA4"/>
    <w:rsid w:val="5DFD4955"/>
    <w:rsid w:val="5E027057"/>
    <w:rsid w:val="5E02728B"/>
    <w:rsid w:val="5E05696A"/>
    <w:rsid w:val="5E0772C4"/>
    <w:rsid w:val="5E093534"/>
    <w:rsid w:val="5E0A418A"/>
    <w:rsid w:val="5E1770F3"/>
    <w:rsid w:val="5E1A2303"/>
    <w:rsid w:val="5E200CF9"/>
    <w:rsid w:val="5E21151E"/>
    <w:rsid w:val="5E24442B"/>
    <w:rsid w:val="5E2622F8"/>
    <w:rsid w:val="5E26260B"/>
    <w:rsid w:val="5E2F5A52"/>
    <w:rsid w:val="5E303A2F"/>
    <w:rsid w:val="5E3122AB"/>
    <w:rsid w:val="5E32049A"/>
    <w:rsid w:val="5E343937"/>
    <w:rsid w:val="5E351705"/>
    <w:rsid w:val="5E375504"/>
    <w:rsid w:val="5E387CDB"/>
    <w:rsid w:val="5E3B3730"/>
    <w:rsid w:val="5E416205"/>
    <w:rsid w:val="5E453FB3"/>
    <w:rsid w:val="5E4A6D4F"/>
    <w:rsid w:val="5E4D537E"/>
    <w:rsid w:val="5E56506F"/>
    <w:rsid w:val="5E5A5CC0"/>
    <w:rsid w:val="5E5A6CA4"/>
    <w:rsid w:val="5E5D7C67"/>
    <w:rsid w:val="5E617917"/>
    <w:rsid w:val="5E617FA2"/>
    <w:rsid w:val="5E65739E"/>
    <w:rsid w:val="5E6643A7"/>
    <w:rsid w:val="5E6972E6"/>
    <w:rsid w:val="5E71494E"/>
    <w:rsid w:val="5E717C0E"/>
    <w:rsid w:val="5E781E84"/>
    <w:rsid w:val="5E7C7C52"/>
    <w:rsid w:val="5E7D27EC"/>
    <w:rsid w:val="5E7D4445"/>
    <w:rsid w:val="5E7E4840"/>
    <w:rsid w:val="5E7F0BD7"/>
    <w:rsid w:val="5E8152F4"/>
    <w:rsid w:val="5E827A57"/>
    <w:rsid w:val="5E8F1166"/>
    <w:rsid w:val="5E9100E8"/>
    <w:rsid w:val="5E911EF5"/>
    <w:rsid w:val="5E967A70"/>
    <w:rsid w:val="5E973153"/>
    <w:rsid w:val="5E986364"/>
    <w:rsid w:val="5E990C73"/>
    <w:rsid w:val="5E9E6BB7"/>
    <w:rsid w:val="5E9F1C28"/>
    <w:rsid w:val="5EA55DFC"/>
    <w:rsid w:val="5EAF1C82"/>
    <w:rsid w:val="5EAF3480"/>
    <w:rsid w:val="5EAF7AD2"/>
    <w:rsid w:val="5EB065CC"/>
    <w:rsid w:val="5EB25D2F"/>
    <w:rsid w:val="5EB52E5D"/>
    <w:rsid w:val="5EB64407"/>
    <w:rsid w:val="5EBC53F7"/>
    <w:rsid w:val="5EC00232"/>
    <w:rsid w:val="5EC71CA0"/>
    <w:rsid w:val="5EC72425"/>
    <w:rsid w:val="5EC965F9"/>
    <w:rsid w:val="5ECE61BA"/>
    <w:rsid w:val="5ECF27E6"/>
    <w:rsid w:val="5ED36D94"/>
    <w:rsid w:val="5ED42DD2"/>
    <w:rsid w:val="5ED45865"/>
    <w:rsid w:val="5ED563A2"/>
    <w:rsid w:val="5ED6565E"/>
    <w:rsid w:val="5ED86E45"/>
    <w:rsid w:val="5ED96F2E"/>
    <w:rsid w:val="5EDA5154"/>
    <w:rsid w:val="5EDA5AF6"/>
    <w:rsid w:val="5EDA5C3B"/>
    <w:rsid w:val="5EDB2DFB"/>
    <w:rsid w:val="5EDC7727"/>
    <w:rsid w:val="5EDF4732"/>
    <w:rsid w:val="5EE53C7B"/>
    <w:rsid w:val="5EE7478B"/>
    <w:rsid w:val="5EE76106"/>
    <w:rsid w:val="5EEE5F6B"/>
    <w:rsid w:val="5EF34FA7"/>
    <w:rsid w:val="5EF72E97"/>
    <w:rsid w:val="5EFD63C7"/>
    <w:rsid w:val="5F0445AB"/>
    <w:rsid w:val="5F0658B7"/>
    <w:rsid w:val="5F0A3386"/>
    <w:rsid w:val="5F0B32C7"/>
    <w:rsid w:val="5F0C5649"/>
    <w:rsid w:val="5F0D019A"/>
    <w:rsid w:val="5F1106D8"/>
    <w:rsid w:val="5F122D12"/>
    <w:rsid w:val="5F1476FA"/>
    <w:rsid w:val="5F1C2FDE"/>
    <w:rsid w:val="5F1F13F7"/>
    <w:rsid w:val="5F222DDE"/>
    <w:rsid w:val="5F2547B3"/>
    <w:rsid w:val="5F272ADA"/>
    <w:rsid w:val="5F2B1F7E"/>
    <w:rsid w:val="5F2B72F4"/>
    <w:rsid w:val="5F2D5237"/>
    <w:rsid w:val="5F323F63"/>
    <w:rsid w:val="5F354816"/>
    <w:rsid w:val="5F3670A2"/>
    <w:rsid w:val="5F374F79"/>
    <w:rsid w:val="5F382418"/>
    <w:rsid w:val="5F3A6C6A"/>
    <w:rsid w:val="5F3E0EB1"/>
    <w:rsid w:val="5F3E373B"/>
    <w:rsid w:val="5F467013"/>
    <w:rsid w:val="5F49684D"/>
    <w:rsid w:val="5F4B04CC"/>
    <w:rsid w:val="5F4E500B"/>
    <w:rsid w:val="5F4F0B50"/>
    <w:rsid w:val="5F4F33B4"/>
    <w:rsid w:val="5F5A6C35"/>
    <w:rsid w:val="5F5C1EAB"/>
    <w:rsid w:val="5F5C3889"/>
    <w:rsid w:val="5F600D11"/>
    <w:rsid w:val="5F6042D8"/>
    <w:rsid w:val="5F6247AA"/>
    <w:rsid w:val="5F6523CC"/>
    <w:rsid w:val="5F6805A2"/>
    <w:rsid w:val="5F68190F"/>
    <w:rsid w:val="5F695708"/>
    <w:rsid w:val="5F6C14CE"/>
    <w:rsid w:val="5F7038EB"/>
    <w:rsid w:val="5F7655A9"/>
    <w:rsid w:val="5F766A7A"/>
    <w:rsid w:val="5F77115B"/>
    <w:rsid w:val="5F790062"/>
    <w:rsid w:val="5F791727"/>
    <w:rsid w:val="5F7B2227"/>
    <w:rsid w:val="5F7E5F7D"/>
    <w:rsid w:val="5F7F4602"/>
    <w:rsid w:val="5F80087F"/>
    <w:rsid w:val="5F806E50"/>
    <w:rsid w:val="5F8C3BA8"/>
    <w:rsid w:val="5F8D1034"/>
    <w:rsid w:val="5F8D5089"/>
    <w:rsid w:val="5F946241"/>
    <w:rsid w:val="5F9644F7"/>
    <w:rsid w:val="5F965DBA"/>
    <w:rsid w:val="5F9A17B3"/>
    <w:rsid w:val="5F9F062E"/>
    <w:rsid w:val="5FA249E8"/>
    <w:rsid w:val="5FA36F5B"/>
    <w:rsid w:val="5FA75975"/>
    <w:rsid w:val="5FA84F4B"/>
    <w:rsid w:val="5FAC743A"/>
    <w:rsid w:val="5FB71FB1"/>
    <w:rsid w:val="5FB9599F"/>
    <w:rsid w:val="5FBA4A6A"/>
    <w:rsid w:val="5FC00F82"/>
    <w:rsid w:val="5FC05321"/>
    <w:rsid w:val="5FC35924"/>
    <w:rsid w:val="5FC36317"/>
    <w:rsid w:val="5FC752C0"/>
    <w:rsid w:val="5FC92188"/>
    <w:rsid w:val="5FC93BAD"/>
    <w:rsid w:val="5FCF0E46"/>
    <w:rsid w:val="5FD25BFE"/>
    <w:rsid w:val="5FD7205F"/>
    <w:rsid w:val="5FD97FE3"/>
    <w:rsid w:val="5FDA0D13"/>
    <w:rsid w:val="5FE879A4"/>
    <w:rsid w:val="5FEE02FA"/>
    <w:rsid w:val="5FF24F8B"/>
    <w:rsid w:val="5FF431AE"/>
    <w:rsid w:val="5FF61788"/>
    <w:rsid w:val="5FF824D5"/>
    <w:rsid w:val="5FF829DC"/>
    <w:rsid w:val="5FFA207A"/>
    <w:rsid w:val="5FFD6FC6"/>
    <w:rsid w:val="5FFF2BBC"/>
    <w:rsid w:val="6000431E"/>
    <w:rsid w:val="600141CB"/>
    <w:rsid w:val="600206B1"/>
    <w:rsid w:val="600367F1"/>
    <w:rsid w:val="60044C86"/>
    <w:rsid w:val="60077AD9"/>
    <w:rsid w:val="600F18E4"/>
    <w:rsid w:val="600F433F"/>
    <w:rsid w:val="601314E5"/>
    <w:rsid w:val="60150C18"/>
    <w:rsid w:val="6019178A"/>
    <w:rsid w:val="601E62B0"/>
    <w:rsid w:val="602101D4"/>
    <w:rsid w:val="602342D8"/>
    <w:rsid w:val="6024490B"/>
    <w:rsid w:val="60266AF1"/>
    <w:rsid w:val="602B1759"/>
    <w:rsid w:val="602F2F0B"/>
    <w:rsid w:val="603063CB"/>
    <w:rsid w:val="60310DA0"/>
    <w:rsid w:val="60336A1C"/>
    <w:rsid w:val="603E71B3"/>
    <w:rsid w:val="60426DCD"/>
    <w:rsid w:val="60460090"/>
    <w:rsid w:val="604A10D6"/>
    <w:rsid w:val="604D186E"/>
    <w:rsid w:val="604D1E7D"/>
    <w:rsid w:val="604D2506"/>
    <w:rsid w:val="604D5D8B"/>
    <w:rsid w:val="604F49E4"/>
    <w:rsid w:val="605277B9"/>
    <w:rsid w:val="605341AF"/>
    <w:rsid w:val="60536944"/>
    <w:rsid w:val="60547B63"/>
    <w:rsid w:val="60586586"/>
    <w:rsid w:val="605E0BC9"/>
    <w:rsid w:val="60673035"/>
    <w:rsid w:val="60686777"/>
    <w:rsid w:val="606A32CA"/>
    <w:rsid w:val="606D2429"/>
    <w:rsid w:val="606F2694"/>
    <w:rsid w:val="606F7F75"/>
    <w:rsid w:val="60707C0C"/>
    <w:rsid w:val="60720025"/>
    <w:rsid w:val="60766D28"/>
    <w:rsid w:val="607D4E23"/>
    <w:rsid w:val="607D7060"/>
    <w:rsid w:val="607F18EE"/>
    <w:rsid w:val="608972AE"/>
    <w:rsid w:val="608B7023"/>
    <w:rsid w:val="608D66C3"/>
    <w:rsid w:val="608F7A76"/>
    <w:rsid w:val="60966E81"/>
    <w:rsid w:val="60993272"/>
    <w:rsid w:val="609933B1"/>
    <w:rsid w:val="609C5F56"/>
    <w:rsid w:val="60A10A77"/>
    <w:rsid w:val="60A15BE7"/>
    <w:rsid w:val="60B60056"/>
    <w:rsid w:val="60B97313"/>
    <w:rsid w:val="60BC19BA"/>
    <w:rsid w:val="60BF3852"/>
    <w:rsid w:val="60C00D50"/>
    <w:rsid w:val="60C134C0"/>
    <w:rsid w:val="60C5403A"/>
    <w:rsid w:val="60C85B7A"/>
    <w:rsid w:val="60C95885"/>
    <w:rsid w:val="60CA1833"/>
    <w:rsid w:val="60D021C7"/>
    <w:rsid w:val="60D15EFC"/>
    <w:rsid w:val="60D4159D"/>
    <w:rsid w:val="60D81E97"/>
    <w:rsid w:val="60D82846"/>
    <w:rsid w:val="60DA2386"/>
    <w:rsid w:val="60E020E0"/>
    <w:rsid w:val="60E0612A"/>
    <w:rsid w:val="60E138BB"/>
    <w:rsid w:val="60E244AC"/>
    <w:rsid w:val="60EB44D9"/>
    <w:rsid w:val="60F527C0"/>
    <w:rsid w:val="60F646D0"/>
    <w:rsid w:val="60FA0043"/>
    <w:rsid w:val="60FA07E7"/>
    <w:rsid w:val="60FD475E"/>
    <w:rsid w:val="61096EFE"/>
    <w:rsid w:val="610C436D"/>
    <w:rsid w:val="610E770F"/>
    <w:rsid w:val="611072A0"/>
    <w:rsid w:val="611168CC"/>
    <w:rsid w:val="61143468"/>
    <w:rsid w:val="611A46FD"/>
    <w:rsid w:val="611B2462"/>
    <w:rsid w:val="6120213B"/>
    <w:rsid w:val="61250CDE"/>
    <w:rsid w:val="61274926"/>
    <w:rsid w:val="612A3D71"/>
    <w:rsid w:val="612C73BE"/>
    <w:rsid w:val="612E6359"/>
    <w:rsid w:val="61301EDF"/>
    <w:rsid w:val="61353B10"/>
    <w:rsid w:val="61386C28"/>
    <w:rsid w:val="61397B82"/>
    <w:rsid w:val="613A443B"/>
    <w:rsid w:val="613D2419"/>
    <w:rsid w:val="61414FCB"/>
    <w:rsid w:val="61424519"/>
    <w:rsid w:val="61451ECF"/>
    <w:rsid w:val="614A286A"/>
    <w:rsid w:val="614C21DD"/>
    <w:rsid w:val="614C6C99"/>
    <w:rsid w:val="61532DAD"/>
    <w:rsid w:val="615E3D01"/>
    <w:rsid w:val="61682C58"/>
    <w:rsid w:val="61693B89"/>
    <w:rsid w:val="616A5E9D"/>
    <w:rsid w:val="618312E7"/>
    <w:rsid w:val="618759D2"/>
    <w:rsid w:val="618939CA"/>
    <w:rsid w:val="6189715A"/>
    <w:rsid w:val="618C7CFE"/>
    <w:rsid w:val="618E7A71"/>
    <w:rsid w:val="619D2534"/>
    <w:rsid w:val="619F261B"/>
    <w:rsid w:val="61A06F42"/>
    <w:rsid w:val="61A1303C"/>
    <w:rsid w:val="61A327F8"/>
    <w:rsid w:val="61A61466"/>
    <w:rsid w:val="61A723F2"/>
    <w:rsid w:val="61A81276"/>
    <w:rsid w:val="61AA7E99"/>
    <w:rsid w:val="61AC107E"/>
    <w:rsid w:val="61B15874"/>
    <w:rsid w:val="61B36A92"/>
    <w:rsid w:val="61B51CD4"/>
    <w:rsid w:val="61B51D19"/>
    <w:rsid w:val="61B651B6"/>
    <w:rsid w:val="61B971A9"/>
    <w:rsid w:val="61BC1700"/>
    <w:rsid w:val="61BF711A"/>
    <w:rsid w:val="61C2079C"/>
    <w:rsid w:val="61C41E26"/>
    <w:rsid w:val="61C625D3"/>
    <w:rsid w:val="61D07DDD"/>
    <w:rsid w:val="61D92480"/>
    <w:rsid w:val="61DA6E6A"/>
    <w:rsid w:val="61DD1A35"/>
    <w:rsid w:val="61E228C8"/>
    <w:rsid w:val="61E31F9D"/>
    <w:rsid w:val="61E478E3"/>
    <w:rsid w:val="61E620E1"/>
    <w:rsid w:val="61EC5544"/>
    <w:rsid w:val="61EC5BA4"/>
    <w:rsid w:val="61EC7551"/>
    <w:rsid w:val="61ED2F97"/>
    <w:rsid w:val="61ED31FB"/>
    <w:rsid w:val="61ED38C4"/>
    <w:rsid w:val="61F17A48"/>
    <w:rsid w:val="61F734D3"/>
    <w:rsid w:val="61F91FDF"/>
    <w:rsid w:val="620F3FC2"/>
    <w:rsid w:val="62131763"/>
    <w:rsid w:val="62153EA9"/>
    <w:rsid w:val="6217731D"/>
    <w:rsid w:val="621D4A9C"/>
    <w:rsid w:val="621E3BDA"/>
    <w:rsid w:val="62204AAA"/>
    <w:rsid w:val="62210224"/>
    <w:rsid w:val="62251C93"/>
    <w:rsid w:val="622C2615"/>
    <w:rsid w:val="622E586E"/>
    <w:rsid w:val="62327793"/>
    <w:rsid w:val="623847B9"/>
    <w:rsid w:val="62386315"/>
    <w:rsid w:val="623D13C0"/>
    <w:rsid w:val="62407BF4"/>
    <w:rsid w:val="624746B2"/>
    <w:rsid w:val="624A35A0"/>
    <w:rsid w:val="62551BA7"/>
    <w:rsid w:val="626062F1"/>
    <w:rsid w:val="62630A14"/>
    <w:rsid w:val="62650907"/>
    <w:rsid w:val="62660E14"/>
    <w:rsid w:val="6268370E"/>
    <w:rsid w:val="626C4791"/>
    <w:rsid w:val="626C69BA"/>
    <w:rsid w:val="627135D6"/>
    <w:rsid w:val="62721062"/>
    <w:rsid w:val="627C67FC"/>
    <w:rsid w:val="627F27FA"/>
    <w:rsid w:val="6280130B"/>
    <w:rsid w:val="62801837"/>
    <w:rsid w:val="628168AF"/>
    <w:rsid w:val="62847B7B"/>
    <w:rsid w:val="628627F1"/>
    <w:rsid w:val="62896332"/>
    <w:rsid w:val="628F3C8E"/>
    <w:rsid w:val="62916859"/>
    <w:rsid w:val="6293443A"/>
    <w:rsid w:val="629D23E5"/>
    <w:rsid w:val="629E3663"/>
    <w:rsid w:val="62A01608"/>
    <w:rsid w:val="62A12880"/>
    <w:rsid w:val="62A466A3"/>
    <w:rsid w:val="62A6405B"/>
    <w:rsid w:val="62A758A6"/>
    <w:rsid w:val="62AB4082"/>
    <w:rsid w:val="62AD1EBF"/>
    <w:rsid w:val="62B0203A"/>
    <w:rsid w:val="62B65E13"/>
    <w:rsid w:val="62C01FFC"/>
    <w:rsid w:val="62C23DAB"/>
    <w:rsid w:val="62C66A16"/>
    <w:rsid w:val="62C67E53"/>
    <w:rsid w:val="62CB06BE"/>
    <w:rsid w:val="62CF5AB8"/>
    <w:rsid w:val="62D035BC"/>
    <w:rsid w:val="62D1718A"/>
    <w:rsid w:val="62D22F78"/>
    <w:rsid w:val="62D2525C"/>
    <w:rsid w:val="62D314DC"/>
    <w:rsid w:val="62D7101E"/>
    <w:rsid w:val="62DE6FCF"/>
    <w:rsid w:val="62E2124E"/>
    <w:rsid w:val="62E31C3F"/>
    <w:rsid w:val="62E915CE"/>
    <w:rsid w:val="62EA30B6"/>
    <w:rsid w:val="62EA6CBB"/>
    <w:rsid w:val="62EC4D36"/>
    <w:rsid w:val="62F07B17"/>
    <w:rsid w:val="62F4531D"/>
    <w:rsid w:val="62F851EF"/>
    <w:rsid w:val="62FB12D6"/>
    <w:rsid w:val="62FB6765"/>
    <w:rsid w:val="6301109E"/>
    <w:rsid w:val="63022081"/>
    <w:rsid w:val="63072AFD"/>
    <w:rsid w:val="63073529"/>
    <w:rsid w:val="630F18CF"/>
    <w:rsid w:val="63114176"/>
    <w:rsid w:val="631500E8"/>
    <w:rsid w:val="631A2DA6"/>
    <w:rsid w:val="631D7A99"/>
    <w:rsid w:val="63204955"/>
    <w:rsid w:val="63241746"/>
    <w:rsid w:val="632B2DBD"/>
    <w:rsid w:val="63342F36"/>
    <w:rsid w:val="63363FE9"/>
    <w:rsid w:val="6339543A"/>
    <w:rsid w:val="633D36B6"/>
    <w:rsid w:val="633E4B21"/>
    <w:rsid w:val="633E655A"/>
    <w:rsid w:val="6340463A"/>
    <w:rsid w:val="63407AB3"/>
    <w:rsid w:val="63421FC6"/>
    <w:rsid w:val="63430A2D"/>
    <w:rsid w:val="634474F9"/>
    <w:rsid w:val="63463454"/>
    <w:rsid w:val="6347332B"/>
    <w:rsid w:val="6348370C"/>
    <w:rsid w:val="634E547B"/>
    <w:rsid w:val="63506B7E"/>
    <w:rsid w:val="635120C5"/>
    <w:rsid w:val="63547C2E"/>
    <w:rsid w:val="63551AE7"/>
    <w:rsid w:val="63564E74"/>
    <w:rsid w:val="63572BDA"/>
    <w:rsid w:val="63596A81"/>
    <w:rsid w:val="635C5BAE"/>
    <w:rsid w:val="63622ECB"/>
    <w:rsid w:val="636663E2"/>
    <w:rsid w:val="636801CA"/>
    <w:rsid w:val="636D3448"/>
    <w:rsid w:val="637152C8"/>
    <w:rsid w:val="63746E4F"/>
    <w:rsid w:val="637819AC"/>
    <w:rsid w:val="637C1434"/>
    <w:rsid w:val="637D1DF2"/>
    <w:rsid w:val="637D7EA2"/>
    <w:rsid w:val="637E0964"/>
    <w:rsid w:val="637E240B"/>
    <w:rsid w:val="63815842"/>
    <w:rsid w:val="638547D3"/>
    <w:rsid w:val="638656AD"/>
    <w:rsid w:val="63883011"/>
    <w:rsid w:val="638B3FFC"/>
    <w:rsid w:val="638D5670"/>
    <w:rsid w:val="63903507"/>
    <w:rsid w:val="63925EC1"/>
    <w:rsid w:val="63954DF8"/>
    <w:rsid w:val="63955E05"/>
    <w:rsid w:val="639746EB"/>
    <w:rsid w:val="639933EB"/>
    <w:rsid w:val="639C1586"/>
    <w:rsid w:val="639D1A0B"/>
    <w:rsid w:val="639F1510"/>
    <w:rsid w:val="63A805D4"/>
    <w:rsid w:val="63AD57CC"/>
    <w:rsid w:val="63B15DDC"/>
    <w:rsid w:val="63B31E53"/>
    <w:rsid w:val="63B46607"/>
    <w:rsid w:val="63BD0A3E"/>
    <w:rsid w:val="63BE145F"/>
    <w:rsid w:val="63BE4F3B"/>
    <w:rsid w:val="63BF36CA"/>
    <w:rsid w:val="63C00631"/>
    <w:rsid w:val="63C32E5F"/>
    <w:rsid w:val="63C401B8"/>
    <w:rsid w:val="63C57DDF"/>
    <w:rsid w:val="63CB152D"/>
    <w:rsid w:val="63CB6D80"/>
    <w:rsid w:val="63D4358C"/>
    <w:rsid w:val="63D60A88"/>
    <w:rsid w:val="63D9117F"/>
    <w:rsid w:val="63DF7A7B"/>
    <w:rsid w:val="63E7122A"/>
    <w:rsid w:val="63E743C0"/>
    <w:rsid w:val="63EA7139"/>
    <w:rsid w:val="63EF77C6"/>
    <w:rsid w:val="63F86819"/>
    <w:rsid w:val="63FB12FE"/>
    <w:rsid w:val="63FC17CB"/>
    <w:rsid w:val="63FF16A7"/>
    <w:rsid w:val="64033475"/>
    <w:rsid w:val="64061812"/>
    <w:rsid w:val="64063233"/>
    <w:rsid w:val="64070DAC"/>
    <w:rsid w:val="640B65BE"/>
    <w:rsid w:val="64113952"/>
    <w:rsid w:val="641E070D"/>
    <w:rsid w:val="64292B18"/>
    <w:rsid w:val="642D5F7B"/>
    <w:rsid w:val="642E19A4"/>
    <w:rsid w:val="64364748"/>
    <w:rsid w:val="643A13D8"/>
    <w:rsid w:val="643A7108"/>
    <w:rsid w:val="643D3240"/>
    <w:rsid w:val="643D6A5B"/>
    <w:rsid w:val="644915DE"/>
    <w:rsid w:val="644A5AD5"/>
    <w:rsid w:val="644C436D"/>
    <w:rsid w:val="644C6A7A"/>
    <w:rsid w:val="644E117F"/>
    <w:rsid w:val="644F3850"/>
    <w:rsid w:val="64564EDA"/>
    <w:rsid w:val="645659AB"/>
    <w:rsid w:val="645A72C0"/>
    <w:rsid w:val="646426C1"/>
    <w:rsid w:val="64647C72"/>
    <w:rsid w:val="6466350A"/>
    <w:rsid w:val="64694AEC"/>
    <w:rsid w:val="646C2F78"/>
    <w:rsid w:val="646E31F6"/>
    <w:rsid w:val="646E3AE0"/>
    <w:rsid w:val="646E5BDB"/>
    <w:rsid w:val="64707B6B"/>
    <w:rsid w:val="64730575"/>
    <w:rsid w:val="64795606"/>
    <w:rsid w:val="647B3773"/>
    <w:rsid w:val="647C1079"/>
    <w:rsid w:val="647F29DA"/>
    <w:rsid w:val="647F5D18"/>
    <w:rsid w:val="64817E79"/>
    <w:rsid w:val="64893931"/>
    <w:rsid w:val="648D1497"/>
    <w:rsid w:val="648D44C1"/>
    <w:rsid w:val="648F2A8D"/>
    <w:rsid w:val="648F2FF8"/>
    <w:rsid w:val="64952FD7"/>
    <w:rsid w:val="649F1960"/>
    <w:rsid w:val="64A03E8B"/>
    <w:rsid w:val="64A32E83"/>
    <w:rsid w:val="64A4489F"/>
    <w:rsid w:val="64A55BA4"/>
    <w:rsid w:val="64A715C6"/>
    <w:rsid w:val="64A76D93"/>
    <w:rsid w:val="64A856EF"/>
    <w:rsid w:val="64A903C0"/>
    <w:rsid w:val="64AB4C10"/>
    <w:rsid w:val="64B03EA1"/>
    <w:rsid w:val="64B21F0C"/>
    <w:rsid w:val="64BC7ED3"/>
    <w:rsid w:val="64C10AFC"/>
    <w:rsid w:val="64C134E9"/>
    <w:rsid w:val="64C94E85"/>
    <w:rsid w:val="64CE7516"/>
    <w:rsid w:val="64D946BC"/>
    <w:rsid w:val="64DF0BBE"/>
    <w:rsid w:val="64E26F35"/>
    <w:rsid w:val="64E63611"/>
    <w:rsid w:val="64E90742"/>
    <w:rsid w:val="64EC48B0"/>
    <w:rsid w:val="64EE7F8D"/>
    <w:rsid w:val="64FA1C44"/>
    <w:rsid w:val="64FD418E"/>
    <w:rsid w:val="65016FE5"/>
    <w:rsid w:val="650220FF"/>
    <w:rsid w:val="65023B06"/>
    <w:rsid w:val="6504178E"/>
    <w:rsid w:val="6504201A"/>
    <w:rsid w:val="650839BE"/>
    <w:rsid w:val="650E1045"/>
    <w:rsid w:val="651008F0"/>
    <w:rsid w:val="65121D77"/>
    <w:rsid w:val="65187830"/>
    <w:rsid w:val="65191059"/>
    <w:rsid w:val="65194346"/>
    <w:rsid w:val="651F4A1D"/>
    <w:rsid w:val="651F68D1"/>
    <w:rsid w:val="6521351D"/>
    <w:rsid w:val="65274C8C"/>
    <w:rsid w:val="652C156A"/>
    <w:rsid w:val="652F41EE"/>
    <w:rsid w:val="653E0604"/>
    <w:rsid w:val="653F55CB"/>
    <w:rsid w:val="654505E7"/>
    <w:rsid w:val="65450884"/>
    <w:rsid w:val="65472E3E"/>
    <w:rsid w:val="65482037"/>
    <w:rsid w:val="654C21EB"/>
    <w:rsid w:val="6550334F"/>
    <w:rsid w:val="65511291"/>
    <w:rsid w:val="6553210F"/>
    <w:rsid w:val="655428DC"/>
    <w:rsid w:val="65582D4B"/>
    <w:rsid w:val="655B3A70"/>
    <w:rsid w:val="65625491"/>
    <w:rsid w:val="656A58DA"/>
    <w:rsid w:val="656B1A8C"/>
    <w:rsid w:val="656C03F5"/>
    <w:rsid w:val="657135DA"/>
    <w:rsid w:val="657164A8"/>
    <w:rsid w:val="657225B5"/>
    <w:rsid w:val="657373C2"/>
    <w:rsid w:val="65750740"/>
    <w:rsid w:val="657715BE"/>
    <w:rsid w:val="65773042"/>
    <w:rsid w:val="65773623"/>
    <w:rsid w:val="657737B3"/>
    <w:rsid w:val="657747EB"/>
    <w:rsid w:val="65791A62"/>
    <w:rsid w:val="657A0B96"/>
    <w:rsid w:val="657D1F65"/>
    <w:rsid w:val="65830A61"/>
    <w:rsid w:val="65842FEA"/>
    <w:rsid w:val="65852CF0"/>
    <w:rsid w:val="658533E3"/>
    <w:rsid w:val="658656D1"/>
    <w:rsid w:val="658B0C76"/>
    <w:rsid w:val="658C241E"/>
    <w:rsid w:val="659117F1"/>
    <w:rsid w:val="659356CD"/>
    <w:rsid w:val="65963FBA"/>
    <w:rsid w:val="65A16078"/>
    <w:rsid w:val="65A2778B"/>
    <w:rsid w:val="65A44982"/>
    <w:rsid w:val="65A87CD9"/>
    <w:rsid w:val="65A95838"/>
    <w:rsid w:val="65AD4C99"/>
    <w:rsid w:val="65AE4093"/>
    <w:rsid w:val="65B1531C"/>
    <w:rsid w:val="65B35C47"/>
    <w:rsid w:val="65B554DE"/>
    <w:rsid w:val="65BB2903"/>
    <w:rsid w:val="65BE46D2"/>
    <w:rsid w:val="65C445F4"/>
    <w:rsid w:val="65C80F5F"/>
    <w:rsid w:val="65CF49B3"/>
    <w:rsid w:val="65D20C90"/>
    <w:rsid w:val="65D44AA7"/>
    <w:rsid w:val="65DC57CA"/>
    <w:rsid w:val="65E31804"/>
    <w:rsid w:val="65E60E49"/>
    <w:rsid w:val="65EB6029"/>
    <w:rsid w:val="65ED3268"/>
    <w:rsid w:val="65F259FB"/>
    <w:rsid w:val="65FC096A"/>
    <w:rsid w:val="65FC6D5D"/>
    <w:rsid w:val="65FF5E30"/>
    <w:rsid w:val="66042DA9"/>
    <w:rsid w:val="66091D8B"/>
    <w:rsid w:val="660D7F61"/>
    <w:rsid w:val="660E73B3"/>
    <w:rsid w:val="660F7781"/>
    <w:rsid w:val="6610285A"/>
    <w:rsid w:val="66106399"/>
    <w:rsid w:val="6620778E"/>
    <w:rsid w:val="6622551C"/>
    <w:rsid w:val="66227AC4"/>
    <w:rsid w:val="662432EC"/>
    <w:rsid w:val="662C6B0B"/>
    <w:rsid w:val="662D505E"/>
    <w:rsid w:val="662F28DF"/>
    <w:rsid w:val="663557E0"/>
    <w:rsid w:val="66370D1B"/>
    <w:rsid w:val="66382A92"/>
    <w:rsid w:val="66386DC7"/>
    <w:rsid w:val="663A36D2"/>
    <w:rsid w:val="663B6201"/>
    <w:rsid w:val="663C3F5A"/>
    <w:rsid w:val="663D4C16"/>
    <w:rsid w:val="663E2795"/>
    <w:rsid w:val="664556FC"/>
    <w:rsid w:val="66472B6C"/>
    <w:rsid w:val="66474170"/>
    <w:rsid w:val="66487264"/>
    <w:rsid w:val="664B2BA9"/>
    <w:rsid w:val="66566A9F"/>
    <w:rsid w:val="66574339"/>
    <w:rsid w:val="665833A2"/>
    <w:rsid w:val="665A03B7"/>
    <w:rsid w:val="665B0845"/>
    <w:rsid w:val="665F7CC2"/>
    <w:rsid w:val="6662284E"/>
    <w:rsid w:val="666527DF"/>
    <w:rsid w:val="66751FDA"/>
    <w:rsid w:val="667863FC"/>
    <w:rsid w:val="667D0390"/>
    <w:rsid w:val="667F363F"/>
    <w:rsid w:val="6681429A"/>
    <w:rsid w:val="66816281"/>
    <w:rsid w:val="66864F02"/>
    <w:rsid w:val="668E6FAF"/>
    <w:rsid w:val="66903C35"/>
    <w:rsid w:val="66905ABC"/>
    <w:rsid w:val="669422B9"/>
    <w:rsid w:val="6694508C"/>
    <w:rsid w:val="66954311"/>
    <w:rsid w:val="669606AF"/>
    <w:rsid w:val="66971075"/>
    <w:rsid w:val="669A0565"/>
    <w:rsid w:val="669F1198"/>
    <w:rsid w:val="66A0390A"/>
    <w:rsid w:val="66A36B82"/>
    <w:rsid w:val="66A37EC1"/>
    <w:rsid w:val="66A62655"/>
    <w:rsid w:val="66AB2846"/>
    <w:rsid w:val="66AB57CE"/>
    <w:rsid w:val="66AE66C3"/>
    <w:rsid w:val="66AF0B59"/>
    <w:rsid w:val="66B31560"/>
    <w:rsid w:val="66B45034"/>
    <w:rsid w:val="66B46D7F"/>
    <w:rsid w:val="66B94948"/>
    <w:rsid w:val="66BC0900"/>
    <w:rsid w:val="66BD7A06"/>
    <w:rsid w:val="66C47BE6"/>
    <w:rsid w:val="66C76E4B"/>
    <w:rsid w:val="66CC1936"/>
    <w:rsid w:val="66CF31C8"/>
    <w:rsid w:val="66D174B4"/>
    <w:rsid w:val="66D31F0F"/>
    <w:rsid w:val="66D37B9A"/>
    <w:rsid w:val="66D97F36"/>
    <w:rsid w:val="66DB7498"/>
    <w:rsid w:val="66DC6FC1"/>
    <w:rsid w:val="66DF5355"/>
    <w:rsid w:val="66DF6D79"/>
    <w:rsid w:val="66E4761A"/>
    <w:rsid w:val="66F12A1E"/>
    <w:rsid w:val="66F15BE2"/>
    <w:rsid w:val="66F27FC7"/>
    <w:rsid w:val="66FC116C"/>
    <w:rsid w:val="6701237D"/>
    <w:rsid w:val="67044317"/>
    <w:rsid w:val="670534FA"/>
    <w:rsid w:val="67092C4A"/>
    <w:rsid w:val="670A5151"/>
    <w:rsid w:val="67113DD6"/>
    <w:rsid w:val="671366E7"/>
    <w:rsid w:val="67185796"/>
    <w:rsid w:val="67186342"/>
    <w:rsid w:val="671A4E9D"/>
    <w:rsid w:val="671B1C65"/>
    <w:rsid w:val="672A5940"/>
    <w:rsid w:val="672D4A82"/>
    <w:rsid w:val="6732139F"/>
    <w:rsid w:val="673410BB"/>
    <w:rsid w:val="67357718"/>
    <w:rsid w:val="673739CF"/>
    <w:rsid w:val="673B0861"/>
    <w:rsid w:val="673B70A2"/>
    <w:rsid w:val="673D65D1"/>
    <w:rsid w:val="673F4BFD"/>
    <w:rsid w:val="67453EBB"/>
    <w:rsid w:val="674852BF"/>
    <w:rsid w:val="67496CF0"/>
    <w:rsid w:val="674B7E50"/>
    <w:rsid w:val="674F0E66"/>
    <w:rsid w:val="675278B9"/>
    <w:rsid w:val="67571AA4"/>
    <w:rsid w:val="675E50B4"/>
    <w:rsid w:val="676433D1"/>
    <w:rsid w:val="67672BE9"/>
    <w:rsid w:val="67681729"/>
    <w:rsid w:val="676B4E97"/>
    <w:rsid w:val="6770174B"/>
    <w:rsid w:val="67702B1F"/>
    <w:rsid w:val="677249AD"/>
    <w:rsid w:val="67795A13"/>
    <w:rsid w:val="677E45DF"/>
    <w:rsid w:val="678313C6"/>
    <w:rsid w:val="678468F1"/>
    <w:rsid w:val="67883EF9"/>
    <w:rsid w:val="67890CCB"/>
    <w:rsid w:val="678B3D0E"/>
    <w:rsid w:val="678B5281"/>
    <w:rsid w:val="67914A68"/>
    <w:rsid w:val="67946B8B"/>
    <w:rsid w:val="679D0FB6"/>
    <w:rsid w:val="679E2E52"/>
    <w:rsid w:val="679E7E10"/>
    <w:rsid w:val="679F7D0D"/>
    <w:rsid w:val="67A3339F"/>
    <w:rsid w:val="67A763CA"/>
    <w:rsid w:val="67A95719"/>
    <w:rsid w:val="67AA445E"/>
    <w:rsid w:val="67AC4D5F"/>
    <w:rsid w:val="67AC5911"/>
    <w:rsid w:val="67B0079C"/>
    <w:rsid w:val="67B26005"/>
    <w:rsid w:val="67B3066F"/>
    <w:rsid w:val="67B77635"/>
    <w:rsid w:val="67B8766A"/>
    <w:rsid w:val="67B97B53"/>
    <w:rsid w:val="67BD62A1"/>
    <w:rsid w:val="67C2066B"/>
    <w:rsid w:val="67C322BC"/>
    <w:rsid w:val="67C5577A"/>
    <w:rsid w:val="67C92792"/>
    <w:rsid w:val="67CA54FB"/>
    <w:rsid w:val="67CC4012"/>
    <w:rsid w:val="67CE2761"/>
    <w:rsid w:val="67CE3A9B"/>
    <w:rsid w:val="67D17846"/>
    <w:rsid w:val="67D345BA"/>
    <w:rsid w:val="67D45DA9"/>
    <w:rsid w:val="67DA4E6E"/>
    <w:rsid w:val="67E31266"/>
    <w:rsid w:val="67E86BA1"/>
    <w:rsid w:val="67F307C7"/>
    <w:rsid w:val="67F34E07"/>
    <w:rsid w:val="67F75B4E"/>
    <w:rsid w:val="67F81391"/>
    <w:rsid w:val="67F90CFC"/>
    <w:rsid w:val="67FB2CAF"/>
    <w:rsid w:val="67FB69CC"/>
    <w:rsid w:val="68040DBB"/>
    <w:rsid w:val="680854F2"/>
    <w:rsid w:val="680C4F0C"/>
    <w:rsid w:val="680D2882"/>
    <w:rsid w:val="680E3D6B"/>
    <w:rsid w:val="68105DF3"/>
    <w:rsid w:val="68160BC6"/>
    <w:rsid w:val="68180414"/>
    <w:rsid w:val="68182CFA"/>
    <w:rsid w:val="68255CC8"/>
    <w:rsid w:val="68280611"/>
    <w:rsid w:val="682C3619"/>
    <w:rsid w:val="68316CEF"/>
    <w:rsid w:val="68371023"/>
    <w:rsid w:val="68393E0C"/>
    <w:rsid w:val="68395DCD"/>
    <w:rsid w:val="683D4E43"/>
    <w:rsid w:val="68427894"/>
    <w:rsid w:val="6843730C"/>
    <w:rsid w:val="68471F81"/>
    <w:rsid w:val="6849477C"/>
    <w:rsid w:val="68497763"/>
    <w:rsid w:val="684C0338"/>
    <w:rsid w:val="684C198A"/>
    <w:rsid w:val="6850271B"/>
    <w:rsid w:val="68516FD4"/>
    <w:rsid w:val="68531B9F"/>
    <w:rsid w:val="685A6F50"/>
    <w:rsid w:val="685C1B12"/>
    <w:rsid w:val="685E6684"/>
    <w:rsid w:val="685F009A"/>
    <w:rsid w:val="685F6291"/>
    <w:rsid w:val="68630407"/>
    <w:rsid w:val="68637ABA"/>
    <w:rsid w:val="686A099F"/>
    <w:rsid w:val="687009BC"/>
    <w:rsid w:val="68707194"/>
    <w:rsid w:val="68743ED9"/>
    <w:rsid w:val="687B49FD"/>
    <w:rsid w:val="687D3938"/>
    <w:rsid w:val="687D39E4"/>
    <w:rsid w:val="68803047"/>
    <w:rsid w:val="688034AE"/>
    <w:rsid w:val="68813334"/>
    <w:rsid w:val="68820B19"/>
    <w:rsid w:val="68824130"/>
    <w:rsid w:val="68856AE1"/>
    <w:rsid w:val="68925A45"/>
    <w:rsid w:val="6893478F"/>
    <w:rsid w:val="68935A40"/>
    <w:rsid w:val="6897165C"/>
    <w:rsid w:val="689E4E82"/>
    <w:rsid w:val="68A022A9"/>
    <w:rsid w:val="68A0738E"/>
    <w:rsid w:val="68A6166E"/>
    <w:rsid w:val="68A9054B"/>
    <w:rsid w:val="68AA102A"/>
    <w:rsid w:val="68AF2BFA"/>
    <w:rsid w:val="68B01692"/>
    <w:rsid w:val="68B33D88"/>
    <w:rsid w:val="68B83F24"/>
    <w:rsid w:val="68B85B5A"/>
    <w:rsid w:val="68BA3911"/>
    <w:rsid w:val="68C3726C"/>
    <w:rsid w:val="68CB258A"/>
    <w:rsid w:val="68CC6A3F"/>
    <w:rsid w:val="68CE23B0"/>
    <w:rsid w:val="68CE2D2C"/>
    <w:rsid w:val="68D37964"/>
    <w:rsid w:val="68DA5383"/>
    <w:rsid w:val="68ED1BDF"/>
    <w:rsid w:val="68EF6009"/>
    <w:rsid w:val="68F24E1B"/>
    <w:rsid w:val="68FF3BEE"/>
    <w:rsid w:val="690148EE"/>
    <w:rsid w:val="690574A9"/>
    <w:rsid w:val="69150C45"/>
    <w:rsid w:val="69196DF8"/>
    <w:rsid w:val="691B1FC9"/>
    <w:rsid w:val="691C578A"/>
    <w:rsid w:val="691D6AE7"/>
    <w:rsid w:val="691E1F8F"/>
    <w:rsid w:val="69210A62"/>
    <w:rsid w:val="69223C25"/>
    <w:rsid w:val="692E5CB6"/>
    <w:rsid w:val="6934184C"/>
    <w:rsid w:val="69373055"/>
    <w:rsid w:val="69393A50"/>
    <w:rsid w:val="693A4D0B"/>
    <w:rsid w:val="693B0415"/>
    <w:rsid w:val="694076C8"/>
    <w:rsid w:val="6941540E"/>
    <w:rsid w:val="69494BB7"/>
    <w:rsid w:val="6953045F"/>
    <w:rsid w:val="695523DA"/>
    <w:rsid w:val="69585947"/>
    <w:rsid w:val="69595CF9"/>
    <w:rsid w:val="695A3AA3"/>
    <w:rsid w:val="695C312E"/>
    <w:rsid w:val="695C6C88"/>
    <w:rsid w:val="695F1BE9"/>
    <w:rsid w:val="696D4D3E"/>
    <w:rsid w:val="69743AA3"/>
    <w:rsid w:val="69744D56"/>
    <w:rsid w:val="69774AFC"/>
    <w:rsid w:val="697755FE"/>
    <w:rsid w:val="69822162"/>
    <w:rsid w:val="698B25E7"/>
    <w:rsid w:val="698D3182"/>
    <w:rsid w:val="69947635"/>
    <w:rsid w:val="69951FBE"/>
    <w:rsid w:val="699741CD"/>
    <w:rsid w:val="69982A7D"/>
    <w:rsid w:val="699B3056"/>
    <w:rsid w:val="69A24E6D"/>
    <w:rsid w:val="69A5171E"/>
    <w:rsid w:val="69A611E4"/>
    <w:rsid w:val="69A66A83"/>
    <w:rsid w:val="69AA0F35"/>
    <w:rsid w:val="69AD3FB3"/>
    <w:rsid w:val="69B35957"/>
    <w:rsid w:val="69B4279C"/>
    <w:rsid w:val="69B44BE7"/>
    <w:rsid w:val="69B7675C"/>
    <w:rsid w:val="69B76F44"/>
    <w:rsid w:val="69B82BD8"/>
    <w:rsid w:val="69B83A44"/>
    <w:rsid w:val="69C07DAD"/>
    <w:rsid w:val="69C40078"/>
    <w:rsid w:val="69CA632B"/>
    <w:rsid w:val="69CD158A"/>
    <w:rsid w:val="69D34514"/>
    <w:rsid w:val="69D6032D"/>
    <w:rsid w:val="69D90F08"/>
    <w:rsid w:val="69E15FA7"/>
    <w:rsid w:val="69E222BD"/>
    <w:rsid w:val="69E50DA4"/>
    <w:rsid w:val="69E5225C"/>
    <w:rsid w:val="69EC1898"/>
    <w:rsid w:val="69F11A4A"/>
    <w:rsid w:val="69F3060C"/>
    <w:rsid w:val="69F42625"/>
    <w:rsid w:val="69F43FEF"/>
    <w:rsid w:val="69F553A6"/>
    <w:rsid w:val="69F814D6"/>
    <w:rsid w:val="69FE4E66"/>
    <w:rsid w:val="6A0A184C"/>
    <w:rsid w:val="6A0A2634"/>
    <w:rsid w:val="6A0E3CD4"/>
    <w:rsid w:val="6A122ACA"/>
    <w:rsid w:val="6A1314C7"/>
    <w:rsid w:val="6A1329AC"/>
    <w:rsid w:val="6A162D48"/>
    <w:rsid w:val="6A170468"/>
    <w:rsid w:val="6A170EED"/>
    <w:rsid w:val="6A1A236A"/>
    <w:rsid w:val="6A1D0AC5"/>
    <w:rsid w:val="6A1E69F3"/>
    <w:rsid w:val="6A205512"/>
    <w:rsid w:val="6A21215C"/>
    <w:rsid w:val="6A2B11D9"/>
    <w:rsid w:val="6A2B6E93"/>
    <w:rsid w:val="6A3268FC"/>
    <w:rsid w:val="6A350AA0"/>
    <w:rsid w:val="6A3A6220"/>
    <w:rsid w:val="6A400B9A"/>
    <w:rsid w:val="6A404F32"/>
    <w:rsid w:val="6A430A00"/>
    <w:rsid w:val="6A4348D8"/>
    <w:rsid w:val="6A48099C"/>
    <w:rsid w:val="6A4A07AC"/>
    <w:rsid w:val="6A4A0BA3"/>
    <w:rsid w:val="6A4B387B"/>
    <w:rsid w:val="6A4C7236"/>
    <w:rsid w:val="6A4E7AB6"/>
    <w:rsid w:val="6A4F24C1"/>
    <w:rsid w:val="6A526FE4"/>
    <w:rsid w:val="6A53190E"/>
    <w:rsid w:val="6A573747"/>
    <w:rsid w:val="6A5C3B5B"/>
    <w:rsid w:val="6A5D041A"/>
    <w:rsid w:val="6A600F32"/>
    <w:rsid w:val="6A636825"/>
    <w:rsid w:val="6A67073F"/>
    <w:rsid w:val="6A67275F"/>
    <w:rsid w:val="6A6738D3"/>
    <w:rsid w:val="6A691408"/>
    <w:rsid w:val="6A6E11CF"/>
    <w:rsid w:val="6A6E3469"/>
    <w:rsid w:val="6A7167B0"/>
    <w:rsid w:val="6A730B3E"/>
    <w:rsid w:val="6A740631"/>
    <w:rsid w:val="6A745E97"/>
    <w:rsid w:val="6A76753E"/>
    <w:rsid w:val="6A7847DD"/>
    <w:rsid w:val="6A7F46A6"/>
    <w:rsid w:val="6A822F51"/>
    <w:rsid w:val="6A823DB5"/>
    <w:rsid w:val="6A831170"/>
    <w:rsid w:val="6A880A5C"/>
    <w:rsid w:val="6A893381"/>
    <w:rsid w:val="6A9254E9"/>
    <w:rsid w:val="6A950690"/>
    <w:rsid w:val="6A9563F3"/>
    <w:rsid w:val="6A982D4D"/>
    <w:rsid w:val="6AA1055B"/>
    <w:rsid w:val="6AA20B53"/>
    <w:rsid w:val="6AA451AF"/>
    <w:rsid w:val="6AAB14C4"/>
    <w:rsid w:val="6AAC2CCB"/>
    <w:rsid w:val="6AAD0B93"/>
    <w:rsid w:val="6AAE3C81"/>
    <w:rsid w:val="6AB20A86"/>
    <w:rsid w:val="6AB27CA1"/>
    <w:rsid w:val="6AB37126"/>
    <w:rsid w:val="6AB417BA"/>
    <w:rsid w:val="6AB660CC"/>
    <w:rsid w:val="6AB779A3"/>
    <w:rsid w:val="6ABD0E92"/>
    <w:rsid w:val="6ABE6D17"/>
    <w:rsid w:val="6ABF6072"/>
    <w:rsid w:val="6AC21E22"/>
    <w:rsid w:val="6AC47B7C"/>
    <w:rsid w:val="6AC95C54"/>
    <w:rsid w:val="6AD261E7"/>
    <w:rsid w:val="6ADB1A5A"/>
    <w:rsid w:val="6ADB7204"/>
    <w:rsid w:val="6ADF0223"/>
    <w:rsid w:val="6ADF31D7"/>
    <w:rsid w:val="6AE341E7"/>
    <w:rsid w:val="6AE46751"/>
    <w:rsid w:val="6AE651F6"/>
    <w:rsid w:val="6AE96821"/>
    <w:rsid w:val="6AEA2C8C"/>
    <w:rsid w:val="6AEC4A05"/>
    <w:rsid w:val="6AEE3242"/>
    <w:rsid w:val="6AF10F1B"/>
    <w:rsid w:val="6AF60CC8"/>
    <w:rsid w:val="6AF726D1"/>
    <w:rsid w:val="6AF807CA"/>
    <w:rsid w:val="6AFD362E"/>
    <w:rsid w:val="6AFF1CB3"/>
    <w:rsid w:val="6B00655E"/>
    <w:rsid w:val="6B006C8D"/>
    <w:rsid w:val="6B0A618F"/>
    <w:rsid w:val="6B0A710C"/>
    <w:rsid w:val="6B0B02BC"/>
    <w:rsid w:val="6B0B0678"/>
    <w:rsid w:val="6B11091F"/>
    <w:rsid w:val="6B114056"/>
    <w:rsid w:val="6B125E0A"/>
    <w:rsid w:val="6B1C222B"/>
    <w:rsid w:val="6B1C5698"/>
    <w:rsid w:val="6B241B3B"/>
    <w:rsid w:val="6B275EF0"/>
    <w:rsid w:val="6B2B639C"/>
    <w:rsid w:val="6B2D3129"/>
    <w:rsid w:val="6B304AB1"/>
    <w:rsid w:val="6B313CA8"/>
    <w:rsid w:val="6B327535"/>
    <w:rsid w:val="6B39222E"/>
    <w:rsid w:val="6B3F050D"/>
    <w:rsid w:val="6B3F60DF"/>
    <w:rsid w:val="6B405786"/>
    <w:rsid w:val="6B4773F3"/>
    <w:rsid w:val="6B4D16B9"/>
    <w:rsid w:val="6B5336D3"/>
    <w:rsid w:val="6B5700FA"/>
    <w:rsid w:val="6B5A5F11"/>
    <w:rsid w:val="6B5C36FF"/>
    <w:rsid w:val="6B5E07F9"/>
    <w:rsid w:val="6B611B25"/>
    <w:rsid w:val="6B62489A"/>
    <w:rsid w:val="6B67004D"/>
    <w:rsid w:val="6B676310"/>
    <w:rsid w:val="6B68004F"/>
    <w:rsid w:val="6B6E5D29"/>
    <w:rsid w:val="6B7578AE"/>
    <w:rsid w:val="6B757F9D"/>
    <w:rsid w:val="6B7B5F51"/>
    <w:rsid w:val="6B7D4910"/>
    <w:rsid w:val="6B842A07"/>
    <w:rsid w:val="6B8814C0"/>
    <w:rsid w:val="6B8971D9"/>
    <w:rsid w:val="6B8F19C4"/>
    <w:rsid w:val="6B8F4D7E"/>
    <w:rsid w:val="6B9041F1"/>
    <w:rsid w:val="6B924F94"/>
    <w:rsid w:val="6B925E2A"/>
    <w:rsid w:val="6B9323EF"/>
    <w:rsid w:val="6B962B1D"/>
    <w:rsid w:val="6B9D78AB"/>
    <w:rsid w:val="6BA16656"/>
    <w:rsid w:val="6BA2151F"/>
    <w:rsid w:val="6BA22665"/>
    <w:rsid w:val="6BA90B0C"/>
    <w:rsid w:val="6BAB7F69"/>
    <w:rsid w:val="6BAD1D99"/>
    <w:rsid w:val="6BAD515D"/>
    <w:rsid w:val="6BB50B16"/>
    <w:rsid w:val="6BB77E62"/>
    <w:rsid w:val="6BC22A16"/>
    <w:rsid w:val="6BC36D2A"/>
    <w:rsid w:val="6BC53C06"/>
    <w:rsid w:val="6BC56DB9"/>
    <w:rsid w:val="6BCA6566"/>
    <w:rsid w:val="6BCB2F95"/>
    <w:rsid w:val="6BD025D7"/>
    <w:rsid w:val="6BD56058"/>
    <w:rsid w:val="6BD63A35"/>
    <w:rsid w:val="6BDE407A"/>
    <w:rsid w:val="6BDF2A02"/>
    <w:rsid w:val="6BE04A06"/>
    <w:rsid w:val="6BE1105B"/>
    <w:rsid w:val="6BE229D7"/>
    <w:rsid w:val="6BE24846"/>
    <w:rsid w:val="6BE6261D"/>
    <w:rsid w:val="6BE62CEA"/>
    <w:rsid w:val="6BEB084F"/>
    <w:rsid w:val="6BED3FD8"/>
    <w:rsid w:val="6BEE7890"/>
    <w:rsid w:val="6BF0089F"/>
    <w:rsid w:val="6BF0197B"/>
    <w:rsid w:val="6BF24470"/>
    <w:rsid w:val="6BF3387B"/>
    <w:rsid w:val="6BF42801"/>
    <w:rsid w:val="6BFD0937"/>
    <w:rsid w:val="6BFE74CC"/>
    <w:rsid w:val="6C024A6E"/>
    <w:rsid w:val="6C053630"/>
    <w:rsid w:val="6C071C71"/>
    <w:rsid w:val="6C0819DE"/>
    <w:rsid w:val="6C0B75F7"/>
    <w:rsid w:val="6C0B79AA"/>
    <w:rsid w:val="6C0C6E5C"/>
    <w:rsid w:val="6C101513"/>
    <w:rsid w:val="6C125E66"/>
    <w:rsid w:val="6C14602A"/>
    <w:rsid w:val="6C146D0E"/>
    <w:rsid w:val="6C257748"/>
    <w:rsid w:val="6C275BC8"/>
    <w:rsid w:val="6C2936BD"/>
    <w:rsid w:val="6C2D1EF4"/>
    <w:rsid w:val="6C2D25D2"/>
    <w:rsid w:val="6C335DD2"/>
    <w:rsid w:val="6C34246D"/>
    <w:rsid w:val="6C3425F2"/>
    <w:rsid w:val="6C3B45BD"/>
    <w:rsid w:val="6C3D50D4"/>
    <w:rsid w:val="6C40688A"/>
    <w:rsid w:val="6C411CEB"/>
    <w:rsid w:val="6C42678C"/>
    <w:rsid w:val="6C441E36"/>
    <w:rsid w:val="6C447C1E"/>
    <w:rsid w:val="6C4632D7"/>
    <w:rsid w:val="6C477908"/>
    <w:rsid w:val="6C4913CB"/>
    <w:rsid w:val="6C4C3E85"/>
    <w:rsid w:val="6C4C7588"/>
    <w:rsid w:val="6C4D2AD9"/>
    <w:rsid w:val="6C4F3EFB"/>
    <w:rsid w:val="6C585670"/>
    <w:rsid w:val="6C5B07A0"/>
    <w:rsid w:val="6C5B67B3"/>
    <w:rsid w:val="6C5C593D"/>
    <w:rsid w:val="6C5F7E6C"/>
    <w:rsid w:val="6C637368"/>
    <w:rsid w:val="6C677E03"/>
    <w:rsid w:val="6C680792"/>
    <w:rsid w:val="6C697E84"/>
    <w:rsid w:val="6C705573"/>
    <w:rsid w:val="6C706304"/>
    <w:rsid w:val="6C731BDE"/>
    <w:rsid w:val="6C832C51"/>
    <w:rsid w:val="6C862DCB"/>
    <w:rsid w:val="6C8648C6"/>
    <w:rsid w:val="6C877AD4"/>
    <w:rsid w:val="6C8A3D19"/>
    <w:rsid w:val="6C967FF0"/>
    <w:rsid w:val="6C977CD0"/>
    <w:rsid w:val="6C980E5A"/>
    <w:rsid w:val="6CA02C3A"/>
    <w:rsid w:val="6CA27683"/>
    <w:rsid w:val="6CA43696"/>
    <w:rsid w:val="6CA44AF2"/>
    <w:rsid w:val="6CAD19EC"/>
    <w:rsid w:val="6CB23D9C"/>
    <w:rsid w:val="6CB24A88"/>
    <w:rsid w:val="6CB2527A"/>
    <w:rsid w:val="6CB27F5C"/>
    <w:rsid w:val="6CB369CE"/>
    <w:rsid w:val="6CB87995"/>
    <w:rsid w:val="6CB96A96"/>
    <w:rsid w:val="6CBA0AE2"/>
    <w:rsid w:val="6CBB55C3"/>
    <w:rsid w:val="6CC04FB9"/>
    <w:rsid w:val="6CC707BF"/>
    <w:rsid w:val="6CC76144"/>
    <w:rsid w:val="6CC86D08"/>
    <w:rsid w:val="6CC9357D"/>
    <w:rsid w:val="6CC95AC8"/>
    <w:rsid w:val="6CCC4545"/>
    <w:rsid w:val="6CCD0EFE"/>
    <w:rsid w:val="6CCF0F29"/>
    <w:rsid w:val="6CD01235"/>
    <w:rsid w:val="6CD34CB0"/>
    <w:rsid w:val="6CD34FCD"/>
    <w:rsid w:val="6CDC7621"/>
    <w:rsid w:val="6CDD43E7"/>
    <w:rsid w:val="6CDE4366"/>
    <w:rsid w:val="6CE3675C"/>
    <w:rsid w:val="6CEC3DC6"/>
    <w:rsid w:val="6CEF06AA"/>
    <w:rsid w:val="6CF06D73"/>
    <w:rsid w:val="6CF17489"/>
    <w:rsid w:val="6CF20783"/>
    <w:rsid w:val="6CF24145"/>
    <w:rsid w:val="6D007AFD"/>
    <w:rsid w:val="6D0438CF"/>
    <w:rsid w:val="6D050661"/>
    <w:rsid w:val="6D0B7AD5"/>
    <w:rsid w:val="6D1573A2"/>
    <w:rsid w:val="6D1648B1"/>
    <w:rsid w:val="6D180B22"/>
    <w:rsid w:val="6D1B2C3A"/>
    <w:rsid w:val="6D1C045C"/>
    <w:rsid w:val="6D210BFA"/>
    <w:rsid w:val="6D225F3D"/>
    <w:rsid w:val="6D2C5B89"/>
    <w:rsid w:val="6D2C6189"/>
    <w:rsid w:val="6D2E01BD"/>
    <w:rsid w:val="6D2F7768"/>
    <w:rsid w:val="6D303B4C"/>
    <w:rsid w:val="6D344B51"/>
    <w:rsid w:val="6D3461D1"/>
    <w:rsid w:val="6D350201"/>
    <w:rsid w:val="6D371DD9"/>
    <w:rsid w:val="6D3B5EBA"/>
    <w:rsid w:val="6D3F3BA5"/>
    <w:rsid w:val="6D406A76"/>
    <w:rsid w:val="6D427C24"/>
    <w:rsid w:val="6D440D60"/>
    <w:rsid w:val="6D447819"/>
    <w:rsid w:val="6D461A89"/>
    <w:rsid w:val="6D472E77"/>
    <w:rsid w:val="6D4E4686"/>
    <w:rsid w:val="6D5F00BA"/>
    <w:rsid w:val="6D690A9E"/>
    <w:rsid w:val="6D690EA0"/>
    <w:rsid w:val="6D6A6157"/>
    <w:rsid w:val="6D741BDE"/>
    <w:rsid w:val="6D7F7866"/>
    <w:rsid w:val="6D803A7A"/>
    <w:rsid w:val="6D80598E"/>
    <w:rsid w:val="6D8259D9"/>
    <w:rsid w:val="6D877871"/>
    <w:rsid w:val="6D8A7C23"/>
    <w:rsid w:val="6D8F5C66"/>
    <w:rsid w:val="6D907D73"/>
    <w:rsid w:val="6D921BB0"/>
    <w:rsid w:val="6D940BEE"/>
    <w:rsid w:val="6D950B12"/>
    <w:rsid w:val="6D9A0535"/>
    <w:rsid w:val="6D9A1E4A"/>
    <w:rsid w:val="6D9C4A35"/>
    <w:rsid w:val="6DA025BF"/>
    <w:rsid w:val="6DA23B98"/>
    <w:rsid w:val="6DA351CD"/>
    <w:rsid w:val="6DA4072E"/>
    <w:rsid w:val="6DB05D95"/>
    <w:rsid w:val="6DC73E03"/>
    <w:rsid w:val="6DC905C7"/>
    <w:rsid w:val="6DCA56CE"/>
    <w:rsid w:val="6DD46B5F"/>
    <w:rsid w:val="6DD46F07"/>
    <w:rsid w:val="6DD52476"/>
    <w:rsid w:val="6DD670CE"/>
    <w:rsid w:val="6DDB4E23"/>
    <w:rsid w:val="6DDB62ED"/>
    <w:rsid w:val="6DDC09DB"/>
    <w:rsid w:val="6DDE21FD"/>
    <w:rsid w:val="6DE064AF"/>
    <w:rsid w:val="6DE216DB"/>
    <w:rsid w:val="6DE971CC"/>
    <w:rsid w:val="6DEB7FA1"/>
    <w:rsid w:val="6DEC0339"/>
    <w:rsid w:val="6DED3A09"/>
    <w:rsid w:val="6DED61C0"/>
    <w:rsid w:val="6DF057D0"/>
    <w:rsid w:val="6DF34EBF"/>
    <w:rsid w:val="6DF7206C"/>
    <w:rsid w:val="6DF72C81"/>
    <w:rsid w:val="6DF81523"/>
    <w:rsid w:val="6DFB7142"/>
    <w:rsid w:val="6DFE3BF8"/>
    <w:rsid w:val="6E044463"/>
    <w:rsid w:val="6E0562A8"/>
    <w:rsid w:val="6E0B1A62"/>
    <w:rsid w:val="6E0D0AF9"/>
    <w:rsid w:val="6E0D5EA8"/>
    <w:rsid w:val="6E0E5613"/>
    <w:rsid w:val="6E0E6957"/>
    <w:rsid w:val="6E0F192F"/>
    <w:rsid w:val="6E0F46B0"/>
    <w:rsid w:val="6E1012EF"/>
    <w:rsid w:val="6E122256"/>
    <w:rsid w:val="6E146F21"/>
    <w:rsid w:val="6E147902"/>
    <w:rsid w:val="6E166516"/>
    <w:rsid w:val="6E176D16"/>
    <w:rsid w:val="6E1E4CA0"/>
    <w:rsid w:val="6E212290"/>
    <w:rsid w:val="6E266F8F"/>
    <w:rsid w:val="6E2953C8"/>
    <w:rsid w:val="6E2F5C83"/>
    <w:rsid w:val="6E311908"/>
    <w:rsid w:val="6E3313E8"/>
    <w:rsid w:val="6E384268"/>
    <w:rsid w:val="6E3851BD"/>
    <w:rsid w:val="6E3B12D9"/>
    <w:rsid w:val="6E3C30EF"/>
    <w:rsid w:val="6E3D264F"/>
    <w:rsid w:val="6E446EA7"/>
    <w:rsid w:val="6E4C6B1C"/>
    <w:rsid w:val="6E4F224C"/>
    <w:rsid w:val="6E5062DB"/>
    <w:rsid w:val="6E507B41"/>
    <w:rsid w:val="6E547AEF"/>
    <w:rsid w:val="6E5910C1"/>
    <w:rsid w:val="6E5A4240"/>
    <w:rsid w:val="6E5E2EB4"/>
    <w:rsid w:val="6E5E573D"/>
    <w:rsid w:val="6E6017D0"/>
    <w:rsid w:val="6E6105B4"/>
    <w:rsid w:val="6E6876CC"/>
    <w:rsid w:val="6E6A1E5E"/>
    <w:rsid w:val="6E6A49B1"/>
    <w:rsid w:val="6E6B4D1A"/>
    <w:rsid w:val="6E6E4FEC"/>
    <w:rsid w:val="6E741417"/>
    <w:rsid w:val="6E780283"/>
    <w:rsid w:val="6E7A6380"/>
    <w:rsid w:val="6E7B4839"/>
    <w:rsid w:val="6E7E74D4"/>
    <w:rsid w:val="6E80489F"/>
    <w:rsid w:val="6E811D25"/>
    <w:rsid w:val="6E832B5F"/>
    <w:rsid w:val="6E8340CC"/>
    <w:rsid w:val="6E873350"/>
    <w:rsid w:val="6E8B5C28"/>
    <w:rsid w:val="6E8C09EA"/>
    <w:rsid w:val="6E8D7458"/>
    <w:rsid w:val="6E8F6EF2"/>
    <w:rsid w:val="6E900B0B"/>
    <w:rsid w:val="6E9120AF"/>
    <w:rsid w:val="6E943E48"/>
    <w:rsid w:val="6E95598F"/>
    <w:rsid w:val="6E980D22"/>
    <w:rsid w:val="6E994465"/>
    <w:rsid w:val="6E9F3E93"/>
    <w:rsid w:val="6EA04ECD"/>
    <w:rsid w:val="6EAB095E"/>
    <w:rsid w:val="6EAC544A"/>
    <w:rsid w:val="6EB01F75"/>
    <w:rsid w:val="6EB26F09"/>
    <w:rsid w:val="6EB30179"/>
    <w:rsid w:val="6EB33075"/>
    <w:rsid w:val="6EB6229A"/>
    <w:rsid w:val="6EBB7D15"/>
    <w:rsid w:val="6EBC088E"/>
    <w:rsid w:val="6EC1646D"/>
    <w:rsid w:val="6EC37E22"/>
    <w:rsid w:val="6EC56928"/>
    <w:rsid w:val="6EC84AD6"/>
    <w:rsid w:val="6ED066D4"/>
    <w:rsid w:val="6EDB1E80"/>
    <w:rsid w:val="6EDD275F"/>
    <w:rsid w:val="6EE07661"/>
    <w:rsid w:val="6EE1120B"/>
    <w:rsid w:val="6EE32B4B"/>
    <w:rsid w:val="6EE42C1A"/>
    <w:rsid w:val="6EE66A2F"/>
    <w:rsid w:val="6EE72C3F"/>
    <w:rsid w:val="6EE74B53"/>
    <w:rsid w:val="6EE824DC"/>
    <w:rsid w:val="6EF040EA"/>
    <w:rsid w:val="6EF420DF"/>
    <w:rsid w:val="6EF837D6"/>
    <w:rsid w:val="6EFE52C2"/>
    <w:rsid w:val="6F00199D"/>
    <w:rsid w:val="6F032854"/>
    <w:rsid w:val="6F0A4599"/>
    <w:rsid w:val="6F0B7857"/>
    <w:rsid w:val="6F1475A0"/>
    <w:rsid w:val="6F160D9F"/>
    <w:rsid w:val="6F1C75AB"/>
    <w:rsid w:val="6F215F9C"/>
    <w:rsid w:val="6F236B29"/>
    <w:rsid w:val="6F346DC6"/>
    <w:rsid w:val="6F352B37"/>
    <w:rsid w:val="6F3813B5"/>
    <w:rsid w:val="6F382345"/>
    <w:rsid w:val="6F3A4C47"/>
    <w:rsid w:val="6F3C2135"/>
    <w:rsid w:val="6F3E46D8"/>
    <w:rsid w:val="6F40307A"/>
    <w:rsid w:val="6F465798"/>
    <w:rsid w:val="6F465EC3"/>
    <w:rsid w:val="6F487E96"/>
    <w:rsid w:val="6F4C3E03"/>
    <w:rsid w:val="6F4F6A5A"/>
    <w:rsid w:val="6F573554"/>
    <w:rsid w:val="6F587CB2"/>
    <w:rsid w:val="6F5E482E"/>
    <w:rsid w:val="6F601806"/>
    <w:rsid w:val="6F6602F8"/>
    <w:rsid w:val="6F6B2FF8"/>
    <w:rsid w:val="6F6D404E"/>
    <w:rsid w:val="6F6D7CF9"/>
    <w:rsid w:val="6F79380F"/>
    <w:rsid w:val="6F7C302F"/>
    <w:rsid w:val="6F8100E2"/>
    <w:rsid w:val="6F814671"/>
    <w:rsid w:val="6F8212FB"/>
    <w:rsid w:val="6F8A09BD"/>
    <w:rsid w:val="6F8D4112"/>
    <w:rsid w:val="6F8E0DF3"/>
    <w:rsid w:val="6F99568A"/>
    <w:rsid w:val="6F9B4B57"/>
    <w:rsid w:val="6F9F2EE9"/>
    <w:rsid w:val="6F9F745C"/>
    <w:rsid w:val="6FA7767A"/>
    <w:rsid w:val="6FB35F43"/>
    <w:rsid w:val="6FB63267"/>
    <w:rsid w:val="6FB840EF"/>
    <w:rsid w:val="6FBA6541"/>
    <w:rsid w:val="6FBC6142"/>
    <w:rsid w:val="6FBE3343"/>
    <w:rsid w:val="6FBF125E"/>
    <w:rsid w:val="6FBF341E"/>
    <w:rsid w:val="6FC0030F"/>
    <w:rsid w:val="6FC0458A"/>
    <w:rsid w:val="6FC71CD1"/>
    <w:rsid w:val="6FCB0988"/>
    <w:rsid w:val="6FD26CF9"/>
    <w:rsid w:val="6FD60E60"/>
    <w:rsid w:val="6FDA0DBD"/>
    <w:rsid w:val="6FDD019B"/>
    <w:rsid w:val="6FE15E9E"/>
    <w:rsid w:val="6FE32CC3"/>
    <w:rsid w:val="6FEC0474"/>
    <w:rsid w:val="6FEE533A"/>
    <w:rsid w:val="6FEF006D"/>
    <w:rsid w:val="6FF919A9"/>
    <w:rsid w:val="70004BDE"/>
    <w:rsid w:val="7004036C"/>
    <w:rsid w:val="700511A9"/>
    <w:rsid w:val="70067B41"/>
    <w:rsid w:val="700C17FF"/>
    <w:rsid w:val="70105834"/>
    <w:rsid w:val="7013546A"/>
    <w:rsid w:val="70172694"/>
    <w:rsid w:val="701D34EB"/>
    <w:rsid w:val="701E6951"/>
    <w:rsid w:val="702A1A98"/>
    <w:rsid w:val="702D129C"/>
    <w:rsid w:val="702D2A37"/>
    <w:rsid w:val="702E62C2"/>
    <w:rsid w:val="70324FEE"/>
    <w:rsid w:val="7034167F"/>
    <w:rsid w:val="703809C2"/>
    <w:rsid w:val="703930EA"/>
    <w:rsid w:val="70396715"/>
    <w:rsid w:val="703F2AAA"/>
    <w:rsid w:val="70443241"/>
    <w:rsid w:val="704D5381"/>
    <w:rsid w:val="70503240"/>
    <w:rsid w:val="7056007C"/>
    <w:rsid w:val="705A50CD"/>
    <w:rsid w:val="705D0975"/>
    <w:rsid w:val="70614FD2"/>
    <w:rsid w:val="70630BBC"/>
    <w:rsid w:val="70635344"/>
    <w:rsid w:val="706704EE"/>
    <w:rsid w:val="706A0D62"/>
    <w:rsid w:val="706F7564"/>
    <w:rsid w:val="70736C53"/>
    <w:rsid w:val="70764FC9"/>
    <w:rsid w:val="70770007"/>
    <w:rsid w:val="70786D41"/>
    <w:rsid w:val="707A35FA"/>
    <w:rsid w:val="707A410C"/>
    <w:rsid w:val="707E399E"/>
    <w:rsid w:val="70814248"/>
    <w:rsid w:val="70824104"/>
    <w:rsid w:val="70886C14"/>
    <w:rsid w:val="708D15EA"/>
    <w:rsid w:val="708D3AF4"/>
    <w:rsid w:val="708E30EC"/>
    <w:rsid w:val="70914FE2"/>
    <w:rsid w:val="709644AC"/>
    <w:rsid w:val="709A066C"/>
    <w:rsid w:val="709B3D9B"/>
    <w:rsid w:val="709F7994"/>
    <w:rsid w:val="70A17154"/>
    <w:rsid w:val="70AA4242"/>
    <w:rsid w:val="70AC7589"/>
    <w:rsid w:val="70B51862"/>
    <w:rsid w:val="70B80E1F"/>
    <w:rsid w:val="70B83F6D"/>
    <w:rsid w:val="70B90C3D"/>
    <w:rsid w:val="70BD6534"/>
    <w:rsid w:val="70BF5189"/>
    <w:rsid w:val="70C957EA"/>
    <w:rsid w:val="70CA3130"/>
    <w:rsid w:val="70CF4638"/>
    <w:rsid w:val="70D04B60"/>
    <w:rsid w:val="70D05F15"/>
    <w:rsid w:val="70D076D1"/>
    <w:rsid w:val="70D47E6E"/>
    <w:rsid w:val="70D9272D"/>
    <w:rsid w:val="70DF5438"/>
    <w:rsid w:val="70DF76AF"/>
    <w:rsid w:val="70E52463"/>
    <w:rsid w:val="70E53A67"/>
    <w:rsid w:val="70E706F3"/>
    <w:rsid w:val="70E92AF9"/>
    <w:rsid w:val="70F34166"/>
    <w:rsid w:val="70FC3D36"/>
    <w:rsid w:val="70FE650D"/>
    <w:rsid w:val="71063024"/>
    <w:rsid w:val="71075128"/>
    <w:rsid w:val="710949AE"/>
    <w:rsid w:val="710A419D"/>
    <w:rsid w:val="710E5BC8"/>
    <w:rsid w:val="71104992"/>
    <w:rsid w:val="71123BF7"/>
    <w:rsid w:val="71193E11"/>
    <w:rsid w:val="711B7071"/>
    <w:rsid w:val="711C092A"/>
    <w:rsid w:val="711C568C"/>
    <w:rsid w:val="711D331A"/>
    <w:rsid w:val="711E70BA"/>
    <w:rsid w:val="7120357B"/>
    <w:rsid w:val="71234397"/>
    <w:rsid w:val="7123573D"/>
    <w:rsid w:val="712E1D99"/>
    <w:rsid w:val="712E5634"/>
    <w:rsid w:val="71351343"/>
    <w:rsid w:val="71360A2D"/>
    <w:rsid w:val="71376366"/>
    <w:rsid w:val="713A361D"/>
    <w:rsid w:val="713C358E"/>
    <w:rsid w:val="71487B55"/>
    <w:rsid w:val="71497A0A"/>
    <w:rsid w:val="714C3A39"/>
    <w:rsid w:val="714D1BC2"/>
    <w:rsid w:val="714E120D"/>
    <w:rsid w:val="71514BAC"/>
    <w:rsid w:val="715B173A"/>
    <w:rsid w:val="715C5D3F"/>
    <w:rsid w:val="715E0241"/>
    <w:rsid w:val="716101D4"/>
    <w:rsid w:val="71617594"/>
    <w:rsid w:val="716224B2"/>
    <w:rsid w:val="7163034A"/>
    <w:rsid w:val="71666356"/>
    <w:rsid w:val="716A3E96"/>
    <w:rsid w:val="717345D5"/>
    <w:rsid w:val="717A4AEF"/>
    <w:rsid w:val="717A763B"/>
    <w:rsid w:val="7185225E"/>
    <w:rsid w:val="71853D31"/>
    <w:rsid w:val="718A0ADC"/>
    <w:rsid w:val="718F2259"/>
    <w:rsid w:val="719070B2"/>
    <w:rsid w:val="71930FE0"/>
    <w:rsid w:val="7193458D"/>
    <w:rsid w:val="71997BB3"/>
    <w:rsid w:val="71A071EB"/>
    <w:rsid w:val="71A13F90"/>
    <w:rsid w:val="71A60FA3"/>
    <w:rsid w:val="71A616DB"/>
    <w:rsid w:val="71B14B44"/>
    <w:rsid w:val="71B170E4"/>
    <w:rsid w:val="71C07AD4"/>
    <w:rsid w:val="71C53A52"/>
    <w:rsid w:val="71C64920"/>
    <w:rsid w:val="71C67CC6"/>
    <w:rsid w:val="71C7549A"/>
    <w:rsid w:val="71CA4A5B"/>
    <w:rsid w:val="71D20516"/>
    <w:rsid w:val="71D67DE1"/>
    <w:rsid w:val="71D7053C"/>
    <w:rsid w:val="71D728D2"/>
    <w:rsid w:val="71D74215"/>
    <w:rsid w:val="71D833CE"/>
    <w:rsid w:val="71D8527F"/>
    <w:rsid w:val="71DB6D53"/>
    <w:rsid w:val="71DC3BEE"/>
    <w:rsid w:val="71E22196"/>
    <w:rsid w:val="71E81EF7"/>
    <w:rsid w:val="71E820AD"/>
    <w:rsid w:val="71E85E31"/>
    <w:rsid w:val="71EB7EB6"/>
    <w:rsid w:val="71EC10BB"/>
    <w:rsid w:val="71ED1C4C"/>
    <w:rsid w:val="71F14959"/>
    <w:rsid w:val="71F76CCD"/>
    <w:rsid w:val="71FD5642"/>
    <w:rsid w:val="7201606A"/>
    <w:rsid w:val="7202225B"/>
    <w:rsid w:val="72027515"/>
    <w:rsid w:val="72051DFF"/>
    <w:rsid w:val="720C4773"/>
    <w:rsid w:val="720E030B"/>
    <w:rsid w:val="7212383A"/>
    <w:rsid w:val="721356C8"/>
    <w:rsid w:val="72166B75"/>
    <w:rsid w:val="72170DF6"/>
    <w:rsid w:val="72173C1F"/>
    <w:rsid w:val="7219445F"/>
    <w:rsid w:val="721B2D71"/>
    <w:rsid w:val="721B2E70"/>
    <w:rsid w:val="722007E7"/>
    <w:rsid w:val="72207C47"/>
    <w:rsid w:val="722129E3"/>
    <w:rsid w:val="72247A03"/>
    <w:rsid w:val="7229079D"/>
    <w:rsid w:val="722E02EB"/>
    <w:rsid w:val="72313AE1"/>
    <w:rsid w:val="7233490B"/>
    <w:rsid w:val="72390BCF"/>
    <w:rsid w:val="723A687E"/>
    <w:rsid w:val="723A7107"/>
    <w:rsid w:val="7242772B"/>
    <w:rsid w:val="724542BC"/>
    <w:rsid w:val="72455E52"/>
    <w:rsid w:val="72465327"/>
    <w:rsid w:val="72491485"/>
    <w:rsid w:val="72500AD8"/>
    <w:rsid w:val="72533111"/>
    <w:rsid w:val="72540001"/>
    <w:rsid w:val="725B2C4E"/>
    <w:rsid w:val="725B7400"/>
    <w:rsid w:val="725E69D4"/>
    <w:rsid w:val="72614A1C"/>
    <w:rsid w:val="72631D69"/>
    <w:rsid w:val="726358FB"/>
    <w:rsid w:val="72672649"/>
    <w:rsid w:val="726A7A61"/>
    <w:rsid w:val="726D072E"/>
    <w:rsid w:val="726F2296"/>
    <w:rsid w:val="727344DF"/>
    <w:rsid w:val="727370C1"/>
    <w:rsid w:val="727A11FC"/>
    <w:rsid w:val="727E3BAB"/>
    <w:rsid w:val="727F7DA5"/>
    <w:rsid w:val="7280231A"/>
    <w:rsid w:val="72846FCC"/>
    <w:rsid w:val="7285618B"/>
    <w:rsid w:val="72874852"/>
    <w:rsid w:val="72885901"/>
    <w:rsid w:val="728C3BED"/>
    <w:rsid w:val="728E75B6"/>
    <w:rsid w:val="729207B5"/>
    <w:rsid w:val="72964515"/>
    <w:rsid w:val="72A47BAD"/>
    <w:rsid w:val="72A61D2C"/>
    <w:rsid w:val="72A833F0"/>
    <w:rsid w:val="72AD6914"/>
    <w:rsid w:val="72AE7B26"/>
    <w:rsid w:val="72AF4647"/>
    <w:rsid w:val="72B00721"/>
    <w:rsid w:val="72B0313A"/>
    <w:rsid w:val="72B45ADB"/>
    <w:rsid w:val="72BA2E1D"/>
    <w:rsid w:val="72BD6788"/>
    <w:rsid w:val="72BF1C59"/>
    <w:rsid w:val="72C50AAD"/>
    <w:rsid w:val="72C77602"/>
    <w:rsid w:val="72CB4517"/>
    <w:rsid w:val="72CD3F5C"/>
    <w:rsid w:val="72CF21C9"/>
    <w:rsid w:val="72D03EC2"/>
    <w:rsid w:val="72DA3ABD"/>
    <w:rsid w:val="72DA4E21"/>
    <w:rsid w:val="72DD7794"/>
    <w:rsid w:val="72DF313C"/>
    <w:rsid w:val="72DF6A98"/>
    <w:rsid w:val="72DF79F9"/>
    <w:rsid w:val="72E23CA0"/>
    <w:rsid w:val="72E717AF"/>
    <w:rsid w:val="72E831DB"/>
    <w:rsid w:val="72E95292"/>
    <w:rsid w:val="72EA1000"/>
    <w:rsid w:val="72EA1E1E"/>
    <w:rsid w:val="72EC16C2"/>
    <w:rsid w:val="72F0385C"/>
    <w:rsid w:val="72F71EB9"/>
    <w:rsid w:val="72F85B9E"/>
    <w:rsid w:val="72FA1325"/>
    <w:rsid w:val="72FA2993"/>
    <w:rsid w:val="72FC7195"/>
    <w:rsid w:val="730018FE"/>
    <w:rsid w:val="7302722F"/>
    <w:rsid w:val="730409EB"/>
    <w:rsid w:val="73117945"/>
    <w:rsid w:val="73126769"/>
    <w:rsid w:val="731279B1"/>
    <w:rsid w:val="73166585"/>
    <w:rsid w:val="731A4165"/>
    <w:rsid w:val="731C287F"/>
    <w:rsid w:val="73201BD1"/>
    <w:rsid w:val="7321259B"/>
    <w:rsid w:val="732245C7"/>
    <w:rsid w:val="73233ACB"/>
    <w:rsid w:val="73251F21"/>
    <w:rsid w:val="73265A85"/>
    <w:rsid w:val="7327179F"/>
    <w:rsid w:val="73284CE7"/>
    <w:rsid w:val="732B02E4"/>
    <w:rsid w:val="732C0F61"/>
    <w:rsid w:val="732C2924"/>
    <w:rsid w:val="732C3487"/>
    <w:rsid w:val="732C660B"/>
    <w:rsid w:val="73305F9A"/>
    <w:rsid w:val="7330662B"/>
    <w:rsid w:val="733340CD"/>
    <w:rsid w:val="73336B70"/>
    <w:rsid w:val="733569DF"/>
    <w:rsid w:val="733A10BF"/>
    <w:rsid w:val="733A3984"/>
    <w:rsid w:val="733D1D63"/>
    <w:rsid w:val="7343050F"/>
    <w:rsid w:val="73467074"/>
    <w:rsid w:val="73495F65"/>
    <w:rsid w:val="734A6ACE"/>
    <w:rsid w:val="734B2FF3"/>
    <w:rsid w:val="734D20D7"/>
    <w:rsid w:val="734D6D45"/>
    <w:rsid w:val="734F4F79"/>
    <w:rsid w:val="735279E3"/>
    <w:rsid w:val="735A5EFD"/>
    <w:rsid w:val="735C08DB"/>
    <w:rsid w:val="735E6179"/>
    <w:rsid w:val="736038BA"/>
    <w:rsid w:val="73662C05"/>
    <w:rsid w:val="736D3CFE"/>
    <w:rsid w:val="736E5023"/>
    <w:rsid w:val="737125DD"/>
    <w:rsid w:val="737457BC"/>
    <w:rsid w:val="73791379"/>
    <w:rsid w:val="737A6DC5"/>
    <w:rsid w:val="737B2861"/>
    <w:rsid w:val="73853622"/>
    <w:rsid w:val="73861235"/>
    <w:rsid w:val="738626CA"/>
    <w:rsid w:val="738A07E0"/>
    <w:rsid w:val="73907456"/>
    <w:rsid w:val="739374D3"/>
    <w:rsid w:val="739976CC"/>
    <w:rsid w:val="739A0E18"/>
    <w:rsid w:val="739A6F95"/>
    <w:rsid w:val="739B6097"/>
    <w:rsid w:val="739C7B39"/>
    <w:rsid w:val="73A1279B"/>
    <w:rsid w:val="73A73E29"/>
    <w:rsid w:val="73A77A4A"/>
    <w:rsid w:val="73AC4A53"/>
    <w:rsid w:val="73AD1058"/>
    <w:rsid w:val="73AF7328"/>
    <w:rsid w:val="73B1095B"/>
    <w:rsid w:val="73B1759B"/>
    <w:rsid w:val="73B20AF5"/>
    <w:rsid w:val="73B274DA"/>
    <w:rsid w:val="73B9674A"/>
    <w:rsid w:val="73BA504E"/>
    <w:rsid w:val="73C672D1"/>
    <w:rsid w:val="73C91368"/>
    <w:rsid w:val="73CC1374"/>
    <w:rsid w:val="73CC25A8"/>
    <w:rsid w:val="73D13CE7"/>
    <w:rsid w:val="73D248F5"/>
    <w:rsid w:val="73D46C62"/>
    <w:rsid w:val="73D70DB4"/>
    <w:rsid w:val="73D71036"/>
    <w:rsid w:val="73D71CFF"/>
    <w:rsid w:val="73DF0DA4"/>
    <w:rsid w:val="73EC42C0"/>
    <w:rsid w:val="73EF26B4"/>
    <w:rsid w:val="73F62AA7"/>
    <w:rsid w:val="73F67093"/>
    <w:rsid w:val="73F70335"/>
    <w:rsid w:val="73F75AC7"/>
    <w:rsid w:val="73FD2081"/>
    <w:rsid w:val="73FF4254"/>
    <w:rsid w:val="74003014"/>
    <w:rsid w:val="74022F2B"/>
    <w:rsid w:val="74041F98"/>
    <w:rsid w:val="74070507"/>
    <w:rsid w:val="74080242"/>
    <w:rsid w:val="740F4EB3"/>
    <w:rsid w:val="74156D74"/>
    <w:rsid w:val="741A025D"/>
    <w:rsid w:val="741D7DAD"/>
    <w:rsid w:val="741E6EEA"/>
    <w:rsid w:val="7423171E"/>
    <w:rsid w:val="7428072F"/>
    <w:rsid w:val="742A2E6D"/>
    <w:rsid w:val="742B6E4F"/>
    <w:rsid w:val="7433287F"/>
    <w:rsid w:val="74340C2E"/>
    <w:rsid w:val="743422B0"/>
    <w:rsid w:val="74352AF1"/>
    <w:rsid w:val="74355EE9"/>
    <w:rsid w:val="74416B43"/>
    <w:rsid w:val="74433D68"/>
    <w:rsid w:val="74454ADB"/>
    <w:rsid w:val="74461FB6"/>
    <w:rsid w:val="7448045B"/>
    <w:rsid w:val="744F6DA6"/>
    <w:rsid w:val="74517497"/>
    <w:rsid w:val="7457799B"/>
    <w:rsid w:val="745B38F0"/>
    <w:rsid w:val="745C23F5"/>
    <w:rsid w:val="745C6E48"/>
    <w:rsid w:val="745D2A99"/>
    <w:rsid w:val="745E2903"/>
    <w:rsid w:val="746132A8"/>
    <w:rsid w:val="746554D6"/>
    <w:rsid w:val="746600D1"/>
    <w:rsid w:val="746601D9"/>
    <w:rsid w:val="74686C5B"/>
    <w:rsid w:val="746D6A08"/>
    <w:rsid w:val="746E6B03"/>
    <w:rsid w:val="746F330B"/>
    <w:rsid w:val="74771499"/>
    <w:rsid w:val="74775451"/>
    <w:rsid w:val="74781D22"/>
    <w:rsid w:val="747841D7"/>
    <w:rsid w:val="748731E3"/>
    <w:rsid w:val="7489045F"/>
    <w:rsid w:val="74892B68"/>
    <w:rsid w:val="748B6873"/>
    <w:rsid w:val="748F61AB"/>
    <w:rsid w:val="74910534"/>
    <w:rsid w:val="749554C7"/>
    <w:rsid w:val="74963975"/>
    <w:rsid w:val="74975846"/>
    <w:rsid w:val="74990E3E"/>
    <w:rsid w:val="749B47BF"/>
    <w:rsid w:val="749C4CBF"/>
    <w:rsid w:val="749D644C"/>
    <w:rsid w:val="749D7401"/>
    <w:rsid w:val="74A07E8E"/>
    <w:rsid w:val="74A33CCF"/>
    <w:rsid w:val="74A34DF8"/>
    <w:rsid w:val="74A41246"/>
    <w:rsid w:val="74AF0E9B"/>
    <w:rsid w:val="74B05F2B"/>
    <w:rsid w:val="74B07E2C"/>
    <w:rsid w:val="74B64F7F"/>
    <w:rsid w:val="74B8680F"/>
    <w:rsid w:val="74BA1E06"/>
    <w:rsid w:val="74BC26A0"/>
    <w:rsid w:val="74BD1844"/>
    <w:rsid w:val="74BD1875"/>
    <w:rsid w:val="74C27141"/>
    <w:rsid w:val="74C7186C"/>
    <w:rsid w:val="74D24B4E"/>
    <w:rsid w:val="74D70552"/>
    <w:rsid w:val="74D77E55"/>
    <w:rsid w:val="74DB542B"/>
    <w:rsid w:val="74DC0D83"/>
    <w:rsid w:val="74DD51CF"/>
    <w:rsid w:val="74E03BFE"/>
    <w:rsid w:val="74E04551"/>
    <w:rsid w:val="74E11895"/>
    <w:rsid w:val="74E33958"/>
    <w:rsid w:val="74ED6D2F"/>
    <w:rsid w:val="74F05B32"/>
    <w:rsid w:val="74F72799"/>
    <w:rsid w:val="74F9446C"/>
    <w:rsid w:val="74FB0DFB"/>
    <w:rsid w:val="74FB44D0"/>
    <w:rsid w:val="74FD4206"/>
    <w:rsid w:val="75001E49"/>
    <w:rsid w:val="750031BA"/>
    <w:rsid w:val="750256DB"/>
    <w:rsid w:val="75100FD4"/>
    <w:rsid w:val="751235C7"/>
    <w:rsid w:val="75196826"/>
    <w:rsid w:val="751B71E3"/>
    <w:rsid w:val="751D0118"/>
    <w:rsid w:val="751E5F87"/>
    <w:rsid w:val="752071A7"/>
    <w:rsid w:val="752256AE"/>
    <w:rsid w:val="752754C8"/>
    <w:rsid w:val="753110B8"/>
    <w:rsid w:val="75315170"/>
    <w:rsid w:val="753462BC"/>
    <w:rsid w:val="75373264"/>
    <w:rsid w:val="753A2E3C"/>
    <w:rsid w:val="753C700F"/>
    <w:rsid w:val="753F202D"/>
    <w:rsid w:val="75443220"/>
    <w:rsid w:val="75461F21"/>
    <w:rsid w:val="754D3B17"/>
    <w:rsid w:val="7550328E"/>
    <w:rsid w:val="7551675E"/>
    <w:rsid w:val="75560976"/>
    <w:rsid w:val="755660E1"/>
    <w:rsid w:val="75567701"/>
    <w:rsid w:val="75573AAA"/>
    <w:rsid w:val="75642CBA"/>
    <w:rsid w:val="75646717"/>
    <w:rsid w:val="756947F8"/>
    <w:rsid w:val="756F60DF"/>
    <w:rsid w:val="75714B7D"/>
    <w:rsid w:val="75727AA8"/>
    <w:rsid w:val="75743931"/>
    <w:rsid w:val="7576359C"/>
    <w:rsid w:val="757703D1"/>
    <w:rsid w:val="75805BFC"/>
    <w:rsid w:val="75836F46"/>
    <w:rsid w:val="758523D2"/>
    <w:rsid w:val="75856DA4"/>
    <w:rsid w:val="75863348"/>
    <w:rsid w:val="758946ED"/>
    <w:rsid w:val="758F6A4C"/>
    <w:rsid w:val="7592259D"/>
    <w:rsid w:val="7592477B"/>
    <w:rsid w:val="7593181A"/>
    <w:rsid w:val="7598453B"/>
    <w:rsid w:val="75985D9F"/>
    <w:rsid w:val="759A4210"/>
    <w:rsid w:val="759F077C"/>
    <w:rsid w:val="759F4824"/>
    <w:rsid w:val="759F672C"/>
    <w:rsid w:val="75A41776"/>
    <w:rsid w:val="75A4229D"/>
    <w:rsid w:val="75A72C75"/>
    <w:rsid w:val="75AE0565"/>
    <w:rsid w:val="75AE0DDA"/>
    <w:rsid w:val="75B84AAE"/>
    <w:rsid w:val="75BA1268"/>
    <w:rsid w:val="75BA2F6D"/>
    <w:rsid w:val="75BA696C"/>
    <w:rsid w:val="75BB795C"/>
    <w:rsid w:val="75BE3282"/>
    <w:rsid w:val="75BF7AE5"/>
    <w:rsid w:val="75C50821"/>
    <w:rsid w:val="75CC7EA2"/>
    <w:rsid w:val="75CE637E"/>
    <w:rsid w:val="75D414E4"/>
    <w:rsid w:val="75D51142"/>
    <w:rsid w:val="75D5423D"/>
    <w:rsid w:val="75D73629"/>
    <w:rsid w:val="75D92EE9"/>
    <w:rsid w:val="75E10A47"/>
    <w:rsid w:val="75E44ABD"/>
    <w:rsid w:val="75E9293B"/>
    <w:rsid w:val="75EB2F1F"/>
    <w:rsid w:val="75EB6670"/>
    <w:rsid w:val="75EB6753"/>
    <w:rsid w:val="75ED5E0E"/>
    <w:rsid w:val="75EE08AD"/>
    <w:rsid w:val="75F20655"/>
    <w:rsid w:val="75F71ABB"/>
    <w:rsid w:val="75F72021"/>
    <w:rsid w:val="75F752E2"/>
    <w:rsid w:val="75F81A14"/>
    <w:rsid w:val="75F94F95"/>
    <w:rsid w:val="75FA4156"/>
    <w:rsid w:val="75FB0D1C"/>
    <w:rsid w:val="75FE26FA"/>
    <w:rsid w:val="76075F02"/>
    <w:rsid w:val="760C5932"/>
    <w:rsid w:val="76174604"/>
    <w:rsid w:val="761A0B8A"/>
    <w:rsid w:val="76247DB9"/>
    <w:rsid w:val="762578F0"/>
    <w:rsid w:val="76291214"/>
    <w:rsid w:val="762D1DED"/>
    <w:rsid w:val="762E3C6B"/>
    <w:rsid w:val="762F47DE"/>
    <w:rsid w:val="7631168D"/>
    <w:rsid w:val="76325E73"/>
    <w:rsid w:val="76327B41"/>
    <w:rsid w:val="76344482"/>
    <w:rsid w:val="763631B6"/>
    <w:rsid w:val="76395B7C"/>
    <w:rsid w:val="764266D1"/>
    <w:rsid w:val="76432918"/>
    <w:rsid w:val="76462E35"/>
    <w:rsid w:val="7647696D"/>
    <w:rsid w:val="76485F65"/>
    <w:rsid w:val="764E2337"/>
    <w:rsid w:val="765641CC"/>
    <w:rsid w:val="7657327C"/>
    <w:rsid w:val="765B1290"/>
    <w:rsid w:val="765B3B4F"/>
    <w:rsid w:val="765C213A"/>
    <w:rsid w:val="766118EE"/>
    <w:rsid w:val="766223F1"/>
    <w:rsid w:val="7663262E"/>
    <w:rsid w:val="76783B74"/>
    <w:rsid w:val="767D74D5"/>
    <w:rsid w:val="768040E8"/>
    <w:rsid w:val="76847E14"/>
    <w:rsid w:val="76942CDF"/>
    <w:rsid w:val="76976D00"/>
    <w:rsid w:val="76984D62"/>
    <w:rsid w:val="769A4E4E"/>
    <w:rsid w:val="769B6F04"/>
    <w:rsid w:val="769E19FB"/>
    <w:rsid w:val="76A03CD2"/>
    <w:rsid w:val="76A065B8"/>
    <w:rsid w:val="76A0690F"/>
    <w:rsid w:val="76A72C47"/>
    <w:rsid w:val="76AD0817"/>
    <w:rsid w:val="76AF582F"/>
    <w:rsid w:val="76B344EE"/>
    <w:rsid w:val="76B86CB9"/>
    <w:rsid w:val="76BA1140"/>
    <w:rsid w:val="76C00AF9"/>
    <w:rsid w:val="76C07442"/>
    <w:rsid w:val="76C150AC"/>
    <w:rsid w:val="76C20607"/>
    <w:rsid w:val="76C37F59"/>
    <w:rsid w:val="76C503E6"/>
    <w:rsid w:val="76CA166C"/>
    <w:rsid w:val="76CF0447"/>
    <w:rsid w:val="76D1220F"/>
    <w:rsid w:val="76D3016D"/>
    <w:rsid w:val="76D85C6C"/>
    <w:rsid w:val="76DB3ADE"/>
    <w:rsid w:val="76DE1A86"/>
    <w:rsid w:val="76E43392"/>
    <w:rsid w:val="76EC072A"/>
    <w:rsid w:val="76F07B23"/>
    <w:rsid w:val="76F535AF"/>
    <w:rsid w:val="76F93266"/>
    <w:rsid w:val="76FC4E2A"/>
    <w:rsid w:val="76FD4453"/>
    <w:rsid w:val="770D513F"/>
    <w:rsid w:val="770D5948"/>
    <w:rsid w:val="770E17C2"/>
    <w:rsid w:val="770E3D8B"/>
    <w:rsid w:val="770F49BA"/>
    <w:rsid w:val="770F5A71"/>
    <w:rsid w:val="771739C9"/>
    <w:rsid w:val="771926F1"/>
    <w:rsid w:val="771A0847"/>
    <w:rsid w:val="771A086C"/>
    <w:rsid w:val="771A6CFE"/>
    <w:rsid w:val="7720033E"/>
    <w:rsid w:val="7725149B"/>
    <w:rsid w:val="77285359"/>
    <w:rsid w:val="77293AD8"/>
    <w:rsid w:val="773848B2"/>
    <w:rsid w:val="7739085D"/>
    <w:rsid w:val="77393F0B"/>
    <w:rsid w:val="773B2070"/>
    <w:rsid w:val="77430770"/>
    <w:rsid w:val="77440DA3"/>
    <w:rsid w:val="7745332B"/>
    <w:rsid w:val="774949A3"/>
    <w:rsid w:val="774B6DB6"/>
    <w:rsid w:val="774D5D11"/>
    <w:rsid w:val="77510F1A"/>
    <w:rsid w:val="77520B84"/>
    <w:rsid w:val="77524A93"/>
    <w:rsid w:val="775A3E0F"/>
    <w:rsid w:val="775B2E4A"/>
    <w:rsid w:val="775C4DCF"/>
    <w:rsid w:val="775F27CD"/>
    <w:rsid w:val="77601613"/>
    <w:rsid w:val="77622E4B"/>
    <w:rsid w:val="77674387"/>
    <w:rsid w:val="776B37D8"/>
    <w:rsid w:val="776B6702"/>
    <w:rsid w:val="777017F7"/>
    <w:rsid w:val="777423FB"/>
    <w:rsid w:val="77747F01"/>
    <w:rsid w:val="77755B5B"/>
    <w:rsid w:val="77780576"/>
    <w:rsid w:val="777A13AA"/>
    <w:rsid w:val="777A3544"/>
    <w:rsid w:val="777E43FF"/>
    <w:rsid w:val="77835C00"/>
    <w:rsid w:val="77844871"/>
    <w:rsid w:val="77870780"/>
    <w:rsid w:val="778A3A79"/>
    <w:rsid w:val="779011A0"/>
    <w:rsid w:val="77987F99"/>
    <w:rsid w:val="77990D92"/>
    <w:rsid w:val="779A1B17"/>
    <w:rsid w:val="779D1A08"/>
    <w:rsid w:val="77A21BCA"/>
    <w:rsid w:val="77A62504"/>
    <w:rsid w:val="77A73C38"/>
    <w:rsid w:val="77A7635C"/>
    <w:rsid w:val="77A8675C"/>
    <w:rsid w:val="77AF57D9"/>
    <w:rsid w:val="77B32F5B"/>
    <w:rsid w:val="77B629C0"/>
    <w:rsid w:val="77B66498"/>
    <w:rsid w:val="77B76C48"/>
    <w:rsid w:val="77BA550F"/>
    <w:rsid w:val="77BA66CB"/>
    <w:rsid w:val="77C537A5"/>
    <w:rsid w:val="77C75A93"/>
    <w:rsid w:val="77D53F60"/>
    <w:rsid w:val="77D76E6A"/>
    <w:rsid w:val="77E4291A"/>
    <w:rsid w:val="77E91E2C"/>
    <w:rsid w:val="77E960A3"/>
    <w:rsid w:val="77F512F1"/>
    <w:rsid w:val="77F571B8"/>
    <w:rsid w:val="77F61C8B"/>
    <w:rsid w:val="78007BB8"/>
    <w:rsid w:val="78013158"/>
    <w:rsid w:val="78045BE9"/>
    <w:rsid w:val="7805333A"/>
    <w:rsid w:val="780B2543"/>
    <w:rsid w:val="780E04DD"/>
    <w:rsid w:val="78103844"/>
    <w:rsid w:val="7813225A"/>
    <w:rsid w:val="781523FC"/>
    <w:rsid w:val="781734AE"/>
    <w:rsid w:val="781B119D"/>
    <w:rsid w:val="781B4ACD"/>
    <w:rsid w:val="781E5B3C"/>
    <w:rsid w:val="78217266"/>
    <w:rsid w:val="78252381"/>
    <w:rsid w:val="782A13CB"/>
    <w:rsid w:val="782B3818"/>
    <w:rsid w:val="782D6D6D"/>
    <w:rsid w:val="7830275E"/>
    <w:rsid w:val="783071DC"/>
    <w:rsid w:val="78336869"/>
    <w:rsid w:val="78354DE4"/>
    <w:rsid w:val="78355362"/>
    <w:rsid w:val="78374298"/>
    <w:rsid w:val="783B18CB"/>
    <w:rsid w:val="783C4DDD"/>
    <w:rsid w:val="783D0147"/>
    <w:rsid w:val="783D5C2C"/>
    <w:rsid w:val="783E37A5"/>
    <w:rsid w:val="783F015A"/>
    <w:rsid w:val="78406499"/>
    <w:rsid w:val="784169B0"/>
    <w:rsid w:val="784237E1"/>
    <w:rsid w:val="78444898"/>
    <w:rsid w:val="784633FF"/>
    <w:rsid w:val="7846523A"/>
    <w:rsid w:val="784B3C75"/>
    <w:rsid w:val="784C2F3A"/>
    <w:rsid w:val="784C7342"/>
    <w:rsid w:val="785B2B07"/>
    <w:rsid w:val="785D0E78"/>
    <w:rsid w:val="785E3356"/>
    <w:rsid w:val="785E705A"/>
    <w:rsid w:val="7862243A"/>
    <w:rsid w:val="78632DB5"/>
    <w:rsid w:val="78672B1E"/>
    <w:rsid w:val="786B5F0F"/>
    <w:rsid w:val="78702DA2"/>
    <w:rsid w:val="78704364"/>
    <w:rsid w:val="78713E91"/>
    <w:rsid w:val="78714DCD"/>
    <w:rsid w:val="7873729B"/>
    <w:rsid w:val="78741CF7"/>
    <w:rsid w:val="787508C5"/>
    <w:rsid w:val="787826FA"/>
    <w:rsid w:val="787B32AD"/>
    <w:rsid w:val="787D431F"/>
    <w:rsid w:val="787E70AD"/>
    <w:rsid w:val="78845311"/>
    <w:rsid w:val="78867ECD"/>
    <w:rsid w:val="78896B97"/>
    <w:rsid w:val="788A7FE3"/>
    <w:rsid w:val="788D065D"/>
    <w:rsid w:val="7895545E"/>
    <w:rsid w:val="78972CDA"/>
    <w:rsid w:val="78976715"/>
    <w:rsid w:val="78992467"/>
    <w:rsid w:val="789A573E"/>
    <w:rsid w:val="78A77983"/>
    <w:rsid w:val="78AB3C4C"/>
    <w:rsid w:val="78AB46F8"/>
    <w:rsid w:val="78AC511C"/>
    <w:rsid w:val="78AF1D15"/>
    <w:rsid w:val="78B369FA"/>
    <w:rsid w:val="78B50A50"/>
    <w:rsid w:val="78B7000B"/>
    <w:rsid w:val="78B9299D"/>
    <w:rsid w:val="78C321FA"/>
    <w:rsid w:val="78C7476F"/>
    <w:rsid w:val="78CC6403"/>
    <w:rsid w:val="78E866EB"/>
    <w:rsid w:val="78EA50D6"/>
    <w:rsid w:val="78EB0B09"/>
    <w:rsid w:val="78EB2844"/>
    <w:rsid w:val="78ED40AD"/>
    <w:rsid w:val="78F511D2"/>
    <w:rsid w:val="78F533D0"/>
    <w:rsid w:val="78F60795"/>
    <w:rsid w:val="78FA5994"/>
    <w:rsid w:val="78FC3444"/>
    <w:rsid w:val="79074ECA"/>
    <w:rsid w:val="79082061"/>
    <w:rsid w:val="790B7196"/>
    <w:rsid w:val="790C57E8"/>
    <w:rsid w:val="790C739A"/>
    <w:rsid w:val="790E3A7E"/>
    <w:rsid w:val="790F0A1D"/>
    <w:rsid w:val="791265C9"/>
    <w:rsid w:val="79134A3D"/>
    <w:rsid w:val="79145859"/>
    <w:rsid w:val="79157CBB"/>
    <w:rsid w:val="791727E7"/>
    <w:rsid w:val="791C2233"/>
    <w:rsid w:val="791E2774"/>
    <w:rsid w:val="791E4170"/>
    <w:rsid w:val="79305BAE"/>
    <w:rsid w:val="79311046"/>
    <w:rsid w:val="793F05A7"/>
    <w:rsid w:val="793F072B"/>
    <w:rsid w:val="79425898"/>
    <w:rsid w:val="794571D7"/>
    <w:rsid w:val="794974CC"/>
    <w:rsid w:val="79537D2A"/>
    <w:rsid w:val="7957402A"/>
    <w:rsid w:val="79656129"/>
    <w:rsid w:val="79657B16"/>
    <w:rsid w:val="796966D2"/>
    <w:rsid w:val="796A1410"/>
    <w:rsid w:val="797038BC"/>
    <w:rsid w:val="79706723"/>
    <w:rsid w:val="79721FB4"/>
    <w:rsid w:val="79740E8A"/>
    <w:rsid w:val="797D5668"/>
    <w:rsid w:val="797F14B6"/>
    <w:rsid w:val="797F642D"/>
    <w:rsid w:val="79814C48"/>
    <w:rsid w:val="79822656"/>
    <w:rsid w:val="79855664"/>
    <w:rsid w:val="798A1428"/>
    <w:rsid w:val="798A247E"/>
    <w:rsid w:val="798B336B"/>
    <w:rsid w:val="798C1E50"/>
    <w:rsid w:val="798C3ED9"/>
    <w:rsid w:val="798C4EB1"/>
    <w:rsid w:val="79927E88"/>
    <w:rsid w:val="799972DB"/>
    <w:rsid w:val="799A6778"/>
    <w:rsid w:val="799B56FA"/>
    <w:rsid w:val="799D34FE"/>
    <w:rsid w:val="79A61713"/>
    <w:rsid w:val="79A62B0A"/>
    <w:rsid w:val="79AB1431"/>
    <w:rsid w:val="79B25AD2"/>
    <w:rsid w:val="79B27DD8"/>
    <w:rsid w:val="79BC2C9A"/>
    <w:rsid w:val="79C87D5F"/>
    <w:rsid w:val="79CA3EFE"/>
    <w:rsid w:val="79CF5A7A"/>
    <w:rsid w:val="79D05E95"/>
    <w:rsid w:val="79DB1AC1"/>
    <w:rsid w:val="79DD4349"/>
    <w:rsid w:val="79E05A5E"/>
    <w:rsid w:val="79E22E83"/>
    <w:rsid w:val="79E26123"/>
    <w:rsid w:val="79E4251D"/>
    <w:rsid w:val="79E6112F"/>
    <w:rsid w:val="79E62001"/>
    <w:rsid w:val="79E71B38"/>
    <w:rsid w:val="79E97FBF"/>
    <w:rsid w:val="79EB139B"/>
    <w:rsid w:val="79EE42F4"/>
    <w:rsid w:val="79EF392F"/>
    <w:rsid w:val="79F01D86"/>
    <w:rsid w:val="79F24B4C"/>
    <w:rsid w:val="79F42ED8"/>
    <w:rsid w:val="7A015B47"/>
    <w:rsid w:val="7A0249F6"/>
    <w:rsid w:val="7A092910"/>
    <w:rsid w:val="7A0C2F1F"/>
    <w:rsid w:val="7A0E597F"/>
    <w:rsid w:val="7A143252"/>
    <w:rsid w:val="7A197871"/>
    <w:rsid w:val="7A1B65E0"/>
    <w:rsid w:val="7A1D5C2F"/>
    <w:rsid w:val="7A1F406C"/>
    <w:rsid w:val="7A224338"/>
    <w:rsid w:val="7A23141E"/>
    <w:rsid w:val="7A233F85"/>
    <w:rsid w:val="7A2754C7"/>
    <w:rsid w:val="7A277725"/>
    <w:rsid w:val="7A29073B"/>
    <w:rsid w:val="7A3151ED"/>
    <w:rsid w:val="7A345595"/>
    <w:rsid w:val="7A38364A"/>
    <w:rsid w:val="7A406D7D"/>
    <w:rsid w:val="7A411540"/>
    <w:rsid w:val="7A4353A3"/>
    <w:rsid w:val="7A446BFD"/>
    <w:rsid w:val="7A4A099E"/>
    <w:rsid w:val="7A4C7347"/>
    <w:rsid w:val="7A536E31"/>
    <w:rsid w:val="7A5C63F6"/>
    <w:rsid w:val="7A61244E"/>
    <w:rsid w:val="7A6253D7"/>
    <w:rsid w:val="7A626214"/>
    <w:rsid w:val="7A65309E"/>
    <w:rsid w:val="7A674500"/>
    <w:rsid w:val="7A6E5715"/>
    <w:rsid w:val="7A6E5CEB"/>
    <w:rsid w:val="7A6F23FC"/>
    <w:rsid w:val="7A794317"/>
    <w:rsid w:val="7A7E44A4"/>
    <w:rsid w:val="7A80126F"/>
    <w:rsid w:val="7A82358E"/>
    <w:rsid w:val="7A853446"/>
    <w:rsid w:val="7A86222D"/>
    <w:rsid w:val="7A890A27"/>
    <w:rsid w:val="7A8B3E56"/>
    <w:rsid w:val="7A8C5528"/>
    <w:rsid w:val="7A907360"/>
    <w:rsid w:val="7A961F30"/>
    <w:rsid w:val="7A97185B"/>
    <w:rsid w:val="7A9858D3"/>
    <w:rsid w:val="7A9B0BF7"/>
    <w:rsid w:val="7A9B31A7"/>
    <w:rsid w:val="7AA07C69"/>
    <w:rsid w:val="7AA30AE6"/>
    <w:rsid w:val="7AA32C52"/>
    <w:rsid w:val="7AA94077"/>
    <w:rsid w:val="7AA94D10"/>
    <w:rsid w:val="7AB06C1B"/>
    <w:rsid w:val="7AB3143B"/>
    <w:rsid w:val="7AB8522D"/>
    <w:rsid w:val="7ABC0BFD"/>
    <w:rsid w:val="7AC2675A"/>
    <w:rsid w:val="7AC9370A"/>
    <w:rsid w:val="7ACA71F4"/>
    <w:rsid w:val="7ACB48EB"/>
    <w:rsid w:val="7ACF4416"/>
    <w:rsid w:val="7AD15D1B"/>
    <w:rsid w:val="7AD53A22"/>
    <w:rsid w:val="7AD55ED4"/>
    <w:rsid w:val="7AD76B1E"/>
    <w:rsid w:val="7ADD060E"/>
    <w:rsid w:val="7ADE3750"/>
    <w:rsid w:val="7ADE616B"/>
    <w:rsid w:val="7AE30214"/>
    <w:rsid w:val="7AE557AA"/>
    <w:rsid w:val="7AE77528"/>
    <w:rsid w:val="7AEA089A"/>
    <w:rsid w:val="7AEB3A34"/>
    <w:rsid w:val="7AEE5BD4"/>
    <w:rsid w:val="7AEE6901"/>
    <w:rsid w:val="7AF01D65"/>
    <w:rsid w:val="7AF42729"/>
    <w:rsid w:val="7AF60041"/>
    <w:rsid w:val="7AF60C59"/>
    <w:rsid w:val="7AFD15AD"/>
    <w:rsid w:val="7B000BAB"/>
    <w:rsid w:val="7B070049"/>
    <w:rsid w:val="7B0907DA"/>
    <w:rsid w:val="7B0B2623"/>
    <w:rsid w:val="7B0C7FC7"/>
    <w:rsid w:val="7B116894"/>
    <w:rsid w:val="7B165EC9"/>
    <w:rsid w:val="7B180900"/>
    <w:rsid w:val="7B1E5950"/>
    <w:rsid w:val="7B210289"/>
    <w:rsid w:val="7B252C11"/>
    <w:rsid w:val="7B2A3F73"/>
    <w:rsid w:val="7B2D3068"/>
    <w:rsid w:val="7B31051A"/>
    <w:rsid w:val="7B3A5BB5"/>
    <w:rsid w:val="7B3F1E45"/>
    <w:rsid w:val="7B3F598F"/>
    <w:rsid w:val="7B4152D9"/>
    <w:rsid w:val="7B4603A3"/>
    <w:rsid w:val="7B4A3DC9"/>
    <w:rsid w:val="7B4D6F0C"/>
    <w:rsid w:val="7B4E4C98"/>
    <w:rsid w:val="7B566C42"/>
    <w:rsid w:val="7B6453B0"/>
    <w:rsid w:val="7B653482"/>
    <w:rsid w:val="7B6616B2"/>
    <w:rsid w:val="7B697E56"/>
    <w:rsid w:val="7B6A5873"/>
    <w:rsid w:val="7B6A7561"/>
    <w:rsid w:val="7B6C7976"/>
    <w:rsid w:val="7B7070BB"/>
    <w:rsid w:val="7B725DD3"/>
    <w:rsid w:val="7B756FFD"/>
    <w:rsid w:val="7B776DF9"/>
    <w:rsid w:val="7B786924"/>
    <w:rsid w:val="7B7C605F"/>
    <w:rsid w:val="7B7D21AD"/>
    <w:rsid w:val="7B815CE8"/>
    <w:rsid w:val="7B824CDC"/>
    <w:rsid w:val="7B866B75"/>
    <w:rsid w:val="7B867B89"/>
    <w:rsid w:val="7B8871D6"/>
    <w:rsid w:val="7B8F5EF4"/>
    <w:rsid w:val="7B9051B3"/>
    <w:rsid w:val="7B917D78"/>
    <w:rsid w:val="7B960625"/>
    <w:rsid w:val="7B96350B"/>
    <w:rsid w:val="7B980C53"/>
    <w:rsid w:val="7B98258C"/>
    <w:rsid w:val="7BAB5B7C"/>
    <w:rsid w:val="7BAB7DC7"/>
    <w:rsid w:val="7BAF130E"/>
    <w:rsid w:val="7BB10C7F"/>
    <w:rsid w:val="7BB16C39"/>
    <w:rsid w:val="7BB25350"/>
    <w:rsid w:val="7BB63134"/>
    <w:rsid w:val="7BB83BDB"/>
    <w:rsid w:val="7BBC1A88"/>
    <w:rsid w:val="7BBC3A4B"/>
    <w:rsid w:val="7BBD420A"/>
    <w:rsid w:val="7BBF48EB"/>
    <w:rsid w:val="7BBF4D16"/>
    <w:rsid w:val="7BC14247"/>
    <w:rsid w:val="7BC22AFC"/>
    <w:rsid w:val="7BC34325"/>
    <w:rsid w:val="7BC3647F"/>
    <w:rsid w:val="7BC57310"/>
    <w:rsid w:val="7BCD5684"/>
    <w:rsid w:val="7BD22884"/>
    <w:rsid w:val="7BD80F73"/>
    <w:rsid w:val="7BE067BC"/>
    <w:rsid w:val="7BE15B50"/>
    <w:rsid w:val="7BE6419F"/>
    <w:rsid w:val="7BE71494"/>
    <w:rsid w:val="7BE978F4"/>
    <w:rsid w:val="7BEA291D"/>
    <w:rsid w:val="7BED218F"/>
    <w:rsid w:val="7BEE63B2"/>
    <w:rsid w:val="7BF078CE"/>
    <w:rsid w:val="7BF52C9E"/>
    <w:rsid w:val="7BF97E23"/>
    <w:rsid w:val="7C0253D8"/>
    <w:rsid w:val="7C03362F"/>
    <w:rsid w:val="7C037C8E"/>
    <w:rsid w:val="7C080478"/>
    <w:rsid w:val="7C082FE7"/>
    <w:rsid w:val="7C097F49"/>
    <w:rsid w:val="7C0A5391"/>
    <w:rsid w:val="7C1438B5"/>
    <w:rsid w:val="7C147EF1"/>
    <w:rsid w:val="7C1C0E10"/>
    <w:rsid w:val="7C1C2862"/>
    <w:rsid w:val="7C1D045C"/>
    <w:rsid w:val="7C1D295E"/>
    <w:rsid w:val="7C1E183E"/>
    <w:rsid w:val="7C237F9D"/>
    <w:rsid w:val="7C2F1AC8"/>
    <w:rsid w:val="7C331CB4"/>
    <w:rsid w:val="7C3603F8"/>
    <w:rsid w:val="7C37266B"/>
    <w:rsid w:val="7C3756A1"/>
    <w:rsid w:val="7C3B1E58"/>
    <w:rsid w:val="7C435AA8"/>
    <w:rsid w:val="7C481AE4"/>
    <w:rsid w:val="7C483B34"/>
    <w:rsid w:val="7C536081"/>
    <w:rsid w:val="7C5505DB"/>
    <w:rsid w:val="7C583723"/>
    <w:rsid w:val="7C5848D3"/>
    <w:rsid w:val="7C5C4A36"/>
    <w:rsid w:val="7C5D5EA7"/>
    <w:rsid w:val="7C627AC3"/>
    <w:rsid w:val="7C63512E"/>
    <w:rsid w:val="7C6643FD"/>
    <w:rsid w:val="7C6A4EAB"/>
    <w:rsid w:val="7C6F7594"/>
    <w:rsid w:val="7C705B6A"/>
    <w:rsid w:val="7C7A1DEB"/>
    <w:rsid w:val="7C7B6D7D"/>
    <w:rsid w:val="7C7D776A"/>
    <w:rsid w:val="7C7E0F92"/>
    <w:rsid w:val="7C8649AD"/>
    <w:rsid w:val="7C871226"/>
    <w:rsid w:val="7C8C1EB9"/>
    <w:rsid w:val="7C8C59C6"/>
    <w:rsid w:val="7C8D0F25"/>
    <w:rsid w:val="7C8D140A"/>
    <w:rsid w:val="7C8E290A"/>
    <w:rsid w:val="7C9443F1"/>
    <w:rsid w:val="7C964068"/>
    <w:rsid w:val="7C97427C"/>
    <w:rsid w:val="7C9B6AEB"/>
    <w:rsid w:val="7CA51568"/>
    <w:rsid w:val="7CAD393D"/>
    <w:rsid w:val="7CAD5955"/>
    <w:rsid w:val="7CBC5B89"/>
    <w:rsid w:val="7CC24126"/>
    <w:rsid w:val="7CC44FF6"/>
    <w:rsid w:val="7CC602A5"/>
    <w:rsid w:val="7CC9449E"/>
    <w:rsid w:val="7CC970E4"/>
    <w:rsid w:val="7CCC7628"/>
    <w:rsid w:val="7CCE10A5"/>
    <w:rsid w:val="7CD40972"/>
    <w:rsid w:val="7CD73AAE"/>
    <w:rsid w:val="7CD8090A"/>
    <w:rsid w:val="7CE80F3B"/>
    <w:rsid w:val="7CF13797"/>
    <w:rsid w:val="7CF2188B"/>
    <w:rsid w:val="7CF21C49"/>
    <w:rsid w:val="7CF52A96"/>
    <w:rsid w:val="7CFF5F33"/>
    <w:rsid w:val="7D036943"/>
    <w:rsid w:val="7D0559FA"/>
    <w:rsid w:val="7D08044D"/>
    <w:rsid w:val="7D086E7F"/>
    <w:rsid w:val="7D096998"/>
    <w:rsid w:val="7D097BC1"/>
    <w:rsid w:val="7D0D3E0B"/>
    <w:rsid w:val="7D0D7D47"/>
    <w:rsid w:val="7D103944"/>
    <w:rsid w:val="7D104CA2"/>
    <w:rsid w:val="7D111AB4"/>
    <w:rsid w:val="7D12427E"/>
    <w:rsid w:val="7D1347CE"/>
    <w:rsid w:val="7D14566B"/>
    <w:rsid w:val="7D155C15"/>
    <w:rsid w:val="7D157348"/>
    <w:rsid w:val="7D186B2D"/>
    <w:rsid w:val="7D1A2A0F"/>
    <w:rsid w:val="7D203087"/>
    <w:rsid w:val="7D222437"/>
    <w:rsid w:val="7D225387"/>
    <w:rsid w:val="7D271E83"/>
    <w:rsid w:val="7D281DD6"/>
    <w:rsid w:val="7D290B04"/>
    <w:rsid w:val="7D3322BD"/>
    <w:rsid w:val="7D361FEB"/>
    <w:rsid w:val="7D3724BE"/>
    <w:rsid w:val="7D385A5F"/>
    <w:rsid w:val="7D3E0180"/>
    <w:rsid w:val="7D3F6659"/>
    <w:rsid w:val="7D406EA1"/>
    <w:rsid w:val="7D427704"/>
    <w:rsid w:val="7D433C50"/>
    <w:rsid w:val="7D440360"/>
    <w:rsid w:val="7D452892"/>
    <w:rsid w:val="7D4B0F6C"/>
    <w:rsid w:val="7D4E4385"/>
    <w:rsid w:val="7D4E6DD6"/>
    <w:rsid w:val="7D51513E"/>
    <w:rsid w:val="7D564DA7"/>
    <w:rsid w:val="7D567349"/>
    <w:rsid w:val="7D5820C1"/>
    <w:rsid w:val="7D5A2A13"/>
    <w:rsid w:val="7D5B206E"/>
    <w:rsid w:val="7D5B40C7"/>
    <w:rsid w:val="7D5E4724"/>
    <w:rsid w:val="7D5F437E"/>
    <w:rsid w:val="7D601C7A"/>
    <w:rsid w:val="7D625FE2"/>
    <w:rsid w:val="7D641AD3"/>
    <w:rsid w:val="7D6602E1"/>
    <w:rsid w:val="7D664947"/>
    <w:rsid w:val="7D6713B5"/>
    <w:rsid w:val="7D682B26"/>
    <w:rsid w:val="7D6B789B"/>
    <w:rsid w:val="7D6B7996"/>
    <w:rsid w:val="7D6D14E6"/>
    <w:rsid w:val="7D6F66F3"/>
    <w:rsid w:val="7D6F72FB"/>
    <w:rsid w:val="7D731B5E"/>
    <w:rsid w:val="7D780915"/>
    <w:rsid w:val="7D7D1A3E"/>
    <w:rsid w:val="7D7D4976"/>
    <w:rsid w:val="7D7E252D"/>
    <w:rsid w:val="7D86239C"/>
    <w:rsid w:val="7D8C3FAD"/>
    <w:rsid w:val="7D8D6E93"/>
    <w:rsid w:val="7D8D6EE5"/>
    <w:rsid w:val="7D90751E"/>
    <w:rsid w:val="7D910C93"/>
    <w:rsid w:val="7D985034"/>
    <w:rsid w:val="7D9A29CC"/>
    <w:rsid w:val="7D9A6EA7"/>
    <w:rsid w:val="7D9B0DC6"/>
    <w:rsid w:val="7DA01168"/>
    <w:rsid w:val="7DAC6AAA"/>
    <w:rsid w:val="7DAD02ED"/>
    <w:rsid w:val="7DAE77FB"/>
    <w:rsid w:val="7DB12089"/>
    <w:rsid w:val="7DB23337"/>
    <w:rsid w:val="7DB32C92"/>
    <w:rsid w:val="7DB46304"/>
    <w:rsid w:val="7DB47095"/>
    <w:rsid w:val="7DC02F75"/>
    <w:rsid w:val="7DC126FD"/>
    <w:rsid w:val="7DC24BD5"/>
    <w:rsid w:val="7DC27B32"/>
    <w:rsid w:val="7DC3104F"/>
    <w:rsid w:val="7DC57B6F"/>
    <w:rsid w:val="7DC72165"/>
    <w:rsid w:val="7DCB1982"/>
    <w:rsid w:val="7DCC0ABB"/>
    <w:rsid w:val="7DCE635A"/>
    <w:rsid w:val="7DCF7473"/>
    <w:rsid w:val="7DD22642"/>
    <w:rsid w:val="7DD72B07"/>
    <w:rsid w:val="7DD968A1"/>
    <w:rsid w:val="7DDB2308"/>
    <w:rsid w:val="7DDB68B1"/>
    <w:rsid w:val="7DE03AAC"/>
    <w:rsid w:val="7DE03BA1"/>
    <w:rsid w:val="7DE32B6F"/>
    <w:rsid w:val="7DE524B6"/>
    <w:rsid w:val="7DEB6D96"/>
    <w:rsid w:val="7DEB782E"/>
    <w:rsid w:val="7DF2178A"/>
    <w:rsid w:val="7DF418BE"/>
    <w:rsid w:val="7DF479C8"/>
    <w:rsid w:val="7DFA6C54"/>
    <w:rsid w:val="7E005E62"/>
    <w:rsid w:val="7E01391C"/>
    <w:rsid w:val="7E0313FA"/>
    <w:rsid w:val="7E0B6E02"/>
    <w:rsid w:val="7E0E3788"/>
    <w:rsid w:val="7E1079E0"/>
    <w:rsid w:val="7E117E01"/>
    <w:rsid w:val="7E1B1EEB"/>
    <w:rsid w:val="7E1C04D6"/>
    <w:rsid w:val="7E1D3D82"/>
    <w:rsid w:val="7E1F025E"/>
    <w:rsid w:val="7E1F4FE3"/>
    <w:rsid w:val="7E21605C"/>
    <w:rsid w:val="7E245969"/>
    <w:rsid w:val="7E2856E1"/>
    <w:rsid w:val="7E287E83"/>
    <w:rsid w:val="7E2F677E"/>
    <w:rsid w:val="7E304480"/>
    <w:rsid w:val="7E3953EB"/>
    <w:rsid w:val="7E3B6E1D"/>
    <w:rsid w:val="7E3C3BD6"/>
    <w:rsid w:val="7E3E2EDF"/>
    <w:rsid w:val="7E420002"/>
    <w:rsid w:val="7E4278A0"/>
    <w:rsid w:val="7E4531AF"/>
    <w:rsid w:val="7E4B6670"/>
    <w:rsid w:val="7E4D43C8"/>
    <w:rsid w:val="7E5068C1"/>
    <w:rsid w:val="7E517E23"/>
    <w:rsid w:val="7E58049F"/>
    <w:rsid w:val="7E5B73DD"/>
    <w:rsid w:val="7E5C2709"/>
    <w:rsid w:val="7E5D3F53"/>
    <w:rsid w:val="7E5E0E39"/>
    <w:rsid w:val="7E610253"/>
    <w:rsid w:val="7E612D50"/>
    <w:rsid w:val="7E655D14"/>
    <w:rsid w:val="7E686D34"/>
    <w:rsid w:val="7E69709A"/>
    <w:rsid w:val="7E6D4084"/>
    <w:rsid w:val="7E7E2AF2"/>
    <w:rsid w:val="7E7F2657"/>
    <w:rsid w:val="7E8207ED"/>
    <w:rsid w:val="7E821B48"/>
    <w:rsid w:val="7E8F0F2E"/>
    <w:rsid w:val="7E9207F8"/>
    <w:rsid w:val="7E93635D"/>
    <w:rsid w:val="7E955C73"/>
    <w:rsid w:val="7E956B1B"/>
    <w:rsid w:val="7E98195E"/>
    <w:rsid w:val="7E9A26D6"/>
    <w:rsid w:val="7E9D2F70"/>
    <w:rsid w:val="7E9F393A"/>
    <w:rsid w:val="7EA45E08"/>
    <w:rsid w:val="7EAB2F29"/>
    <w:rsid w:val="7EAB4751"/>
    <w:rsid w:val="7EAD25B3"/>
    <w:rsid w:val="7EAE5043"/>
    <w:rsid w:val="7EB008B6"/>
    <w:rsid w:val="7EC23F46"/>
    <w:rsid w:val="7EC24D24"/>
    <w:rsid w:val="7EC45432"/>
    <w:rsid w:val="7ECD1E48"/>
    <w:rsid w:val="7ED317BA"/>
    <w:rsid w:val="7ED76FFB"/>
    <w:rsid w:val="7ED94BD3"/>
    <w:rsid w:val="7EDA525A"/>
    <w:rsid w:val="7EDC08BD"/>
    <w:rsid w:val="7EF15341"/>
    <w:rsid w:val="7EF22CFF"/>
    <w:rsid w:val="7EF4219C"/>
    <w:rsid w:val="7EF43600"/>
    <w:rsid w:val="7EF907B4"/>
    <w:rsid w:val="7EFF0FDC"/>
    <w:rsid w:val="7F0126D7"/>
    <w:rsid w:val="7F0179AA"/>
    <w:rsid w:val="7F02397D"/>
    <w:rsid w:val="7F030822"/>
    <w:rsid w:val="7F0555AC"/>
    <w:rsid w:val="7F063F5C"/>
    <w:rsid w:val="7F064698"/>
    <w:rsid w:val="7F070938"/>
    <w:rsid w:val="7F096DA6"/>
    <w:rsid w:val="7F0A22B4"/>
    <w:rsid w:val="7F0A3720"/>
    <w:rsid w:val="7F114BB4"/>
    <w:rsid w:val="7F1179DA"/>
    <w:rsid w:val="7F121EE5"/>
    <w:rsid w:val="7F1350BF"/>
    <w:rsid w:val="7F1A48BC"/>
    <w:rsid w:val="7F2058BB"/>
    <w:rsid w:val="7F217CED"/>
    <w:rsid w:val="7F232DA9"/>
    <w:rsid w:val="7F240184"/>
    <w:rsid w:val="7F2547CB"/>
    <w:rsid w:val="7F28198B"/>
    <w:rsid w:val="7F29680B"/>
    <w:rsid w:val="7F331E02"/>
    <w:rsid w:val="7F411D85"/>
    <w:rsid w:val="7F430FA2"/>
    <w:rsid w:val="7F45637D"/>
    <w:rsid w:val="7F531D79"/>
    <w:rsid w:val="7F555E48"/>
    <w:rsid w:val="7F571032"/>
    <w:rsid w:val="7F5D231A"/>
    <w:rsid w:val="7F5E0FC6"/>
    <w:rsid w:val="7F5F0363"/>
    <w:rsid w:val="7F6024DF"/>
    <w:rsid w:val="7F623B08"/>
    <w:rsid w:val="7F647EAD"/>
    <w:rsid w:val="7F682D98"/>
    <w:rsid w:val="7F684B5B"/>
    <w:rsid w:val="7F6B2CAB"/>
    <w:rsid w:val="7F711B10"/>
    <w:rsid w:val="7F71324B"/>
    <w:rsid w:val="7F7527DE"/>
    <w:rsid w:val="7F7A722A"/>
    <w:rsid w:val="7F810C0D"/>
    <w:rsid w:val="7F872D44"/>
    <w:rsid w:val="7F8A059C"/>
    <w:rsid w:val="7F8D1F94"/>
    <w:rsid w:val="7F8E2810"/>
    <w:rsid w:val="7F8E4D33"/>
    <w:rsid w:val="7F9065C8"/>
    <w:rsid w:val="7F913A0B"/>
    <w:rsid w:val="7F945C84"/>
    <w:rsid w:val="7F961A04"/>
    <w:rsid w:val="7F9909F7"/>
    <w:rsid w:val="7F9B0AF3"/>
    <w:rsid w:val="7F9B20BA"/>
    <w:rsid w:val="7F9F6B1F"/>
    <w:rsid w:val="7F9F6E10"/>
    <w:rsid w:val="7FA42EE5"/>
    <w:rsid w:val="7FA62D0F"/>
    <w:rsid w:val="7FA72B4D"/>
    <w:rsid w:val="7FA83F64"/>
    <w:rsid w:val="7FA84D8C"/>
    <w:rsid w:val="7FA917F4"/>
    <w:rsid w:val="7FAA610F"/>
    <w:rsid w:val="7FB125A5"/>
    <w:rsid w:val="7FB125BE"/>
    <w:rsid w:val="7FBC4276"/>
    <w:rsid w:val="7FBC7FD4"/>
    <w:rsid w:val="7FBE4D52"/>
    <w:rsid w:val="7FBF60DE"/>
    <w:rsid w:val="7FC04F61"/>
    <w:rsid w:val="7FC14721"/>
    <w:rsid w:val="7FC301C8"/>
    <w:rsid w:val="7FC44124"/>
    <w:rsid w:val="7FC66D27"/>
    <w:rsid w:val="7FCB6610"/>
    <w:rsid w:val="7FCF7B18"/>
    <w:rsid w:val="7FD17BF0"/>
    <w:rsid w:val="7FD32853"/>
    <w:rsid w:val="7FD85693"/>
    <w:rsid w:val="7FDD55C0"/>
    <w:rsid w:val="7FE13204"/>
    <w:rsid w:val="7FE170C1"/>
    <w:rsid w:val="7FE64DE1"/>
    <w:rsid w:val="7FE922C5"/>
    <w:rsid w:val="7FED0119"/>
    <w:rsid w:val="7FEE4E98"/>
    <w:rsid w:val="7FEF7DF4"/>
    <w:rsid w:val="7FF1762B"/>
    <w:rsid w:val="7FF23E8B"/>
    <w:rsid w:val="7FF40380"/>
    <w:rsid w:val="7FF64614"/>
    <w:rsid w:val="7FFA00A1"/>
    <w:rsid w:val="7FFE5727"/>
    <w:rsid w:val="BFD5DDE7"/>
    <w:rsid w:val="FBBB135F"/>
    <w:rsid w:val="FDAB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3">
    <w:name w:val="heading 1"/>
    <w:basedOn w:val="1"/>
    <w:next w:val="1"/>
    <w:qFormat/>
    <w:uiPriority w:val="0"/>
    <w:pPr>
      <w:keepNext/>
      <w:tabs>
        <w:tab w:val="left" w:pos="1260"/>
      </w:tabs>
      <w:ind w:left="1260" w:hanging="180"/>
      <w:outlineLvl w:val="0"/>
    </w:pPr>
    <w:rPr>
      <w:color w:val="auto"/>
      <w:sz w:val="3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pPr>
      <w:ind w:firstLine="648" w:firstLineChars="200"/>
    </w:pPr>
    <w:rPr>
      <w:rFonts w:ascii="方正黑体_GBK" w:hAnsi="Courier New"/>
      <w:szCs w:val="24"/>
    </w:rPr>
  </w:style>
  <w:style w:type="paragraph" w:styleId="4">
    <w:name w:val="Normal Indent"/>
    <w:basedOn w:val="1"/>
    <w:unhideWhenUsed/>
    <w:qFormat/>
    <w:uiPriority w:val="99"/>
    <w:pPr>
      <w:ind w:firstLine="420" w:firstLineChars="200"/>
    </w:pPr>
    <w:rPr>
      <w:rFonts w:ascii="Calibri" w:hAnsi="Calibri" w:eastAsia="宋体" w:cs="Times New Roman"/>
    </w:rPr>
  </w:style>
  <w:style w:type="paragraph" w:styleId="5">
    <w:name w:val="Body Text"/>
    <w:basedOn w:val="1"/>
    <w:next w:val="6"/>
    <w:qFormat/>
    <w:uiPriority w:val="1"/>
    <w:rPr>
      <w:rFonts w:ascii="方正仿宋_GBK" w:hAnsi="方正仿宋_GBK" w:eastAsia="方正仿宋_GBK" w:cs="方正仿宋_GBK"/>
      <w:sz w:val="32"/>
      <w:szCs w:val="32"/>
      <w:lang w:val="zh-CN" w:eastAsia="zh-CN" w:bidi="zh-CN"/>
    </w:rPr>
  </w:style>
  <w:style w:type="paragraph" w:styleId="6">
    <w:name w:val="index 7"/>
    <w:basedOn w:val="1"/>
    <w:next w:val="1"/>
    <w:unhideWhenUsed/>
    <w:qFormat/>
    <w:uiPriority w:val="99"/>
    <w:pPr>
      <w:ind w:left="2520"/>
    </w:pPr>
  </w:style>
  <w:style w:type="paragraph" w:styleId="7">
    <w:name w:val="Body Text Indent"/>
    <w:basedOn w:val="1"/>
    <w:qFormat/>
    <w:uiPriority w:val="0"/>
    <w:pPr>
      <w:spacing w:line="560" w:lineRule="exact"/>
      <w:ind w:firstLine="340"/>
    </w:pPr>
    <w:rPr>
      <w:rFonts w:ascii="仿宋_GB2312" w:eastAsia="仿宋_GB2312"/>
    </w:rPr>
  </w:style>
  <w:style w:type="paragraph" w:styleId="8">
    <w:name w:val="Balloon Text"/>
    <w:basedOn w:val="1"/>
    <w:unhideWhenUsed/>
    <w:qFormat/>
    <w:uiPriority w:val="99"/>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line="360" w:lineRule="auto"/>
      <w:jc w:val="left"/>
    </w:pPr>
    <w:rPr>
      <w:rFonts w:eastAsia="宋体"/>
      <w:b/>
      <w:bCs/>
      <w:caps/>
      <w:sz w:val="20"/>
      <w:szCs w:val="20"/>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5"/>
    <w:qFormat/>
    <w:uiPriority w:val="0"/>
    <w:pPr>
      <w:ind w:firstLine="420" w:firstLineChars="100"/>
    </w:pPr>
    <w:rPr>
      <w:sz w:val="21"/>
    </w:rPr>
  </w:style>
  <w:style w:type="paragraph" w:styleId="14">
    <w:name w:val="Body Text First Indent 2"/>
    <w:basedOn w:val="7"/>
    <w:qFormat/>
    <w:uiPriority w:val="0"/>
    <w:pPr>
      <w:ind w:firstLine="420" w:firstLineChars="200"/>
    </w:pPr>
  </w:style>
  <w:style w:type="character" w:styleId="17">
    <w:name w:val="Strong"/>
    <w:basedOn w:val="16"/>
    <w:qFormat/>
    <w:uiPriority w:val="0"/>
    <w:rPr>
      <w:b/>
    </w:rPr>
  </w:style>
  <w:style w:type="character" w:styleId="18">
    <w:name w:val="page number"/>
    <w:basedOn w:val="16"/>
    <w:qFormat/>
    <w:uiPriority w:val="0"/>
  </w:style>
  <w:style w:type="paragraph" w:customStyle="1" w:styleId="19">
    <w:name w:val="Body text|1"/>
    <w:basedOn w:val="1"/>
    <w:qFormat/>
    <w:uiPriority w:val="0"/>
    <w:pPr>
      <w:spacing w:line="408"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390</Words>
  <Characters>423</Characters>
  <Lines>0</Lines>
  <Paragraphs>0</Paragraphs>
  <TotalTime>6</TotalTime>
  <ScaleCrop>false</ScaleCrop>
  <LinksUpToDate>false</LinksUpToDate>
  <CharactersWithSpaces>448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2019-08-06T07:00:00Z</dcterms:created>
  <dc:creator>斐</dc:creator>
  <cp:lastModifiedBy>user</cp:lastModifiedBy>
  <cp:lastPrinted>2021-11-18T01:23:00Z</cp:lastPrinted>
  <dcterms:modified xsi:type="dcterms:W3CDTF">2026-04-22T17:30:17Z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9D21690F51F24308970077ED9EE7CEC6</vt:lpwstr>
  </property>
</Properties>
</file>